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8E68" w14:textId="77777777" w:rsidR="00321D2F" w:rsidRDefault="002B7505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ACUERDO PLENARIO DE REPOSICIÓN DEL PROCEDIMIENTO</w:t>
      </w:r>
    </w:p>
    <w:p w14:paraId="383D0D0A" w14:textId="77777777" w:rsidR="00321D2F" w:rsidRDefault="00321D2F">
      <w:pPr>
        <w:jc w:val="both"/>
        <w:rPr>
          <w:rFonts w:ascii="Arial" w:eastAsia="Arial" w:hAnsi="Arial" w:cs="Arial"/>
          <w:b/>
        </w:rPr>
      </w:pPr>
    </w:p>
    <w:p w14:paraId="607CAFF8" w14:textId="77777777" w:rsidR="008D132C" w:rsidRPr="008D132C" w:rsidRDefault="008D132C" w:rsidP="008D132C">
      <w:pPr>
        <w:tabs>
          <w:tab w:val="left" w:pos="4820"/>
        </w:tabs>
        <w:ind w:left="3686" w:right="-142"/>
        <w:jc w:val="both"/>
        <w:rPr>
          <w:rFonts w:ascii="Arial" w:hAnsi="Arial" w:cs="Arial"/>
          <w:b/>
        </w:rPr>
      </w:pPr>
      <w:bookmarkStart w:id="0" w:name="_heading=h.gjdgxs" w:colFirst="0" w:colLast="0"/>
      <w:bookmarkEnd w:id="0"/>
      <w:r w:rsidRPr="008D132C">
        <w:rPr>
          <w:rFonts w:ascii="Arial" w:hAnsi="Arial" w:cs="Arial"/>
          <w:b/>
        </w:rPr>
        <w:t>PROCEDIMIENTO ESPECIAL SANCIONADOR.</w:t>
      </w:r>
    </w:p>
    <w:p w14:paraId="2A77B56E" w14:textId="77777777" w:rsidR="008D132C" w:rsidRPr="008D132C" w:rsidRDefault="008D132C" w:rsidP="008D132C">
      <w:pPr>
        <w:tabs>
          <w:tab w:val="left" w:pos="4820"/>
        </w:tabs>
        <w:ind w:left="3686" w:right="-142"/>
        <w:jc w:val="both"/>
        <w:rPr>
          <w:rFonts w:ascii="Arial" w:hAnsi="Arial" w:cs="Arial"/>
          <w:b/>
          <w:sz w:val="14"/>
          <w:szCs w:val="14"/>
        </w:rPr>
      </w:pPr>
    </w:p>
    <w:p w14:paraId="4D780BDC" w14:textId="77777777" w:rsidR="008D132C" w:rsidRPr="008D132C" w:rsidRDefault="008D132C" w:rsidP="008D132C">
      <w:pPr>
        <w:ind w:left="3686" w:right="-142"/>
        <w:jc w:val="both"/>
        <w:rPr>
          <w:rFonts w:ascii="Arial" w:eastAsia="Arial" w:hAnsi="Arial" w:cs="Arial"/>
          <w:b/>
        </w:rPr>
      </w:pPr>
      <w:r w:rsidRPr="008D132C">
        <w:rPr>
          <w:rFonts w:ascii="Arial" w:eastAsia="Arial" w:hAnsi="Arial" w:cs="Arial"/>
          <w:b/>
        </w:rPr>
        <w:t xml:space="preserve">EXPEDIENTE: </w:t>
      </w:r>
      <w:r w:rsidRPr="008D132C">
        <w:rPr>
          <w:rFonts w:ascii="Arial" w:eastAsia="Arial" w:hAnsi="Arial" w:cs="Arial"/>
        </w:rPr>
        <w:t>TEEA-PES-011/2022.</w:t>
      </w:r>
      <w:r w:rsidRPr="008D132C">
        <w:rPr>
          <w:rFonts w:ascii="Arial" w:eastAsia="Arial" w:hAnsi="Arial" w:cs="Arial"/>
          <w:b/>
        </w:rPr>
        <w:t xml:space="preserve"> </w:t>
      </w:r>
    </w:p>
    <w:p w14:paraId="116BDB07" w14:textId="77777777" w:rsidR="008D132C" w:rsidRPr="008D132C" w:rsidRDefault="008D132C" w:rsidP="008D132C">
      <w:pPr>
        <w:ind w:left="3686" w:right="-142"/>
        <w:jc w:val="both"/>
        <w:rPr>
          <w:rFonts w:ascii="Arial" w:eastAsia="Arial" w:hAnsi="Arial" w:cs="Arial"/>
          <w:b/>
          <w:sz w:val="14"/>
          <w:szCs w:val="14"/>
        </w:rPr>
      </w:pPr>
    </w:p>
    <w:p w14:paraId="71BE68CB" w14:textId="77777777" w:rsidR="008D132C" w:rsidRPr="008D132C" w:rsidRDefault="008D132C" w:rsidP="008D132C">
      <w:pPr>
        <w:ind w:left="3686" w:right="-142"/>
        <w:jc w:val="both"/>
        <w:rPr>
          <w:rFonts w:ascii="Arial" w:eastAsia="Arial" w:hAnsi="Arial" w:cs="Arial"/>
          <w:color w:val="FFFFFF"/>
        </w:rPr>
      </w:pPr>
      <w:r w:rsidRPr="008D132C">
        <w:rPr>
          <w:rFonts w:ascii="Arial" w:eastAsia="Arial" w:hAnsi="Arial" w:cs="Arial"/>
          <w:b/>
        </w:rPr>
        <w:t xml:space="preserve">DENUNCIANTE: </w:t>
      </w:r>
      <w:r w:rsidRPr="008D132C">
        <w:rPr>
          <w:rFonts w:ascii="Arial" w:eastAsia="Arial" w:hAnsi="Arial" w:cs="Arial"/>
          <w:color w:val="FFFFFF"/>
          <w:highlight w:val="black"/>
        </w:rPr>
        <w:t>Eliminado: dato personal confidencial.</w:t>
      </w:r>
      <w:r w:rsidRPr="008D132C">
        <w:rPr>
          <w:rFonts w:ascii="Arial" w:eastAsia="Arial" w:hAnsi="Arial" w:cs="Arial"/>
          <w:color w:val="FFFFFF"/>
          <w:highlight w:val="black"/>
          <w:vertAlign w:val="superscript"/>
        </w:rPr>
        <w:footnoteReference w:id="1"/>
      </w:r>
    </w:p>
    <w:p w14:paraId="30C71800" w14:textId="77777777" w:rsidR="008D132C" w:rsidRPr="008D132C" w:rsidRDefault="008D132C" w:rsidP="008D132C">
      <w:pPr>
        <w:ind w:left="3686" w:right="-142"/>
        <w:jc w:val="both"/>
        <w:rPr>
          <w:rFonts w:ascii="Arial" w:eastAsia="Arial" w:hAnsi="Arial" w:cs="Arial"/>
          <w:sz w:val="14"/>
          <w:szCs w:val="14"/>
        </w:rPr>
      </w:pPr>
    </w:p>
    <w:p w14:paraId="60F09356" w14:textId="2EB30AC0" w:rsidR="008D132C" w:rsidRPr="008D132C" w:rsidRDefault="008D132C" w:rsidP="008D132C">
      <w:pPr>
        <w:ind w:left="3686" w:right="-142"/>
        <w:jc w:val="both"/>
        <w:rPr>
          <w:rFonts w:ascii="Arial" w:eastAsia="Arial" w:hAnsi="Arial" w:cs="Arial"/>
        </w:rPr>
      </w:pPr>
      <w:r w:rsidRPr="008D132C">
        <w:rPr>
          <w:rFonts w:ascii="Arial" w:eastAsia="Arial" w:hAnsi="Arial" w:cs="Arial"/>
          <w:b/>
        </w:rPr>
        <w:t xml:space="preserve">DENUNCIADOS: </w:t>
      </w:r>
      <w:r w:rsidRPr="008D132C">
        <w:rPr>
          <w:rFonts w:ascii="Arial" w:eastAsia="Arial" w:hAnsi="Arial" w:cs="Arial"/>
        </w:rPr>
        <w:t>RAMÓN ALBERTO GARZA GARCÍA Y OTROS.</w:t>
      </w:r>
    </w:p>
    <w:p w14:paraId="74503AB7" w14:textId="77777777" w:rsidR="00321D2F" w:rsidRDefault="00321D2F">
      <w:pPr>
        <w:ind w:left="3686" w:right="36"/>
        <w:jc w:val="both"/>
        <w:rPr>
          <w:rFonts w:ascii="Arial" w:eastAsia="Arial" w:hAnsi="Arial" w:cs="Arial"/>
          <w:sz w:val="10"/>
          <w:szCs w:val="10"/>
        </w:rPr>
      </w:pPr>
    </w:p>
    <w:p w14:paraId="44E97C6F" w14:textId="77777777" w:rsidR="00321D2F" w:rsidRDefault="002B7505">
      <w:pPr>
        <w:ind w:left="3686" w:right="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MAGISTRADA PONENTE:</w:t>
      </w:r>
      <w:r>
        <w:rPr>
          <w:rFonts w:ascii="Arial" w:eastAsia="Arial" w:hAnsi="Arial" w:cs="Arial"/>
        </w:rPr>
        <w:t xml:space="preserve"> LAURA HORTENSIA LLAMAS HERNÁNDEZ.</w:t>
      </w:r>
    </w:p>
    <w:p w14:paraId="4C579533" w14:textId="77777777" w:rsidR="00321D2F" w:rsidRDefault="00321D2F">
      <w:pPr>
        <w:ind w:left="3686" w:right="36"/>
        <w:jc w:val="both"/>
        <w:rPr>
          <w:rFonts w:ascii="Arial" w:eastAsia="Arial" w:hAnsi="Arial" w:cs="Arial"/>
          <w:sz w:val="10"/>
          <w:szCs w:val="10"/>
        </w:rPr>
      </w:pPr>
    </w:p>
    <w:p w14:paraId="5703AE6D" w14:textId="77777777" w:rsidR="00321D2F" w:rsidRDefault="002B7505">
      <w:pPr>
        <w:ind w:left="3686" w:right="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SECRETARIO DE ESTUDIO</w:t>
      </w:r>
      <w:r>
        <w:rPr>
          <w:rFonts w:ascii="Arial" w:eastAsia="Arial" w:hAnsi="Arial" w:cs="Arial"/>
          <w:b/>
          <w:vertAlign w:val="superscript"/>
        </w:rPr>
        <w:footnoteReference w:id="2"/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EDGAR ALEJANDRO LÓPEZ DÁVILA.</w:t>
      </w:r>
    </w:p>
    <w:p w14:paraId="434770D3" w14:textId="77777777" w:rsidR="00321D2F" w:rsidRPr="00F43E54" w:rsidRDefault="00321D2F" w:rsidP="00F43E54">
      <w:pPr>
        <w:pStyle w:val="Sinespaciado"/>
        <w:rPr>
          <w:rFonts w:eastAsia="Arial"/>
          <w:sz w:val="10"/>
          <w:szCs w:val="10"/>
        </w:rPr>
      </w:pPr>
    </w:p>
    <w:p w14:paraId="26C037B4" w14:textId="77777777" w:rsidR="00321D2F" w:rsidRDefault="002B7505">
      <w:pPr>
        <w:ind w:left="3686" w:right="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COLABORÓ:</w:t>
      </w:r>
      <w:r>
        <w:rPr>
          <w:rFonts w:ascii="Arial" w:eastAsia="Arial" w:hAnsi="Arial" w:cs="Arial"/>
        </w:rPr>
        <w:t xml:space="preserve"> GUADALUPE JOCELYN MARTÍNEZ TAVAREZ E IVONNE AZUCENA ZAVALA SOTO.  </w:t>
      </w:r>
    </w:p>
    <w:p w14:paraId="3725C131" w14:textId="77777777" w:rsidR="00321D2F" w:rsidRDefault="00321D2F" w:rsidP="00F43E54">
      <w:pPr>
        <w:pStyle w:val="Sinespaciado"/>
        <w:rPr>
          <w:rFonts w:eastAsia="Arial"/>
        </w:rPr>
      </w:pPr>
    </w:p>
    <w:p w14:paraId="1CEE0F3A" w14:textId="0D4A894F" w:rsidR="00321D2F" w:rsidRPr="00F43E54" w:rsidRDefault="002B7505" w:rsidP="00F43E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Aguascalientes, Aguascalientes, a </w:t>
      </w:r>
      <w:r w:rsidR="00A16989" w:rsidRPr="00606734">
        <w:rPr>
          <w:rFonts w:ascii="Arial" w:eastAsia="Arial" w:hAnsi="Arial" w:cs="Arial"/>
        </w:rPr>
        <w:t>27</w:t>
      </w:r>
      <w:r w:rsidR="00F20E92">
        <w:rPr>
          <w:rFonts w:ascii="Arial" w:eastAsia="Arial" w:hAnsi="Arial" w:cs="Arial"/>
        </w:rPr>
        <w:t xml:space="preserve"> de mayo</w:t>
      </w:r>
      <w:r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color w:val="000000"/>
        </w:rPr>
        <w:t>.</w:t>
      </w:r>
    </w:p>
    <w:p w14:paraId="73CAD778" w14:textId="0F690316" w:rsidR="00321D2F" w:rsidRPr="00F20E92" w:rsidRDefault="002B7505" w:rsidP="00F43E54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Acuerdo plenario del Tribunal Electoral </w:t>
      </w:r>
      <w:r>
        <w:rPr>
          <w:rFonts w:ascii="Arial" w:eastAsia="Arial" w:hAnsi="Arial" w:cs="Arial"/>
        </w:rPr>
        <w:t>que</w:t>
      </w:r>
      <w:r w:rsidR="00F20E9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ordena la </w:t>
      </w:r>
      <w:r>
        <w:rPr>
          <w:rFonts w:ascii="Arial" w:eastAsia="Arial" w:hAnsi="Arial" w:cs="Arial"/>
          <w:b/>
        </w:rPr>
        <w:t>reposición</w:t>
      </w:r>
      <w:r>
        <w:rPr>
          <w:rFonts w:ascii="Arial" w:eastAsia="Arial" w:hAnsi="Arial" w:cs="Arial"/>
        </w:rPr>
        <w:t xml:space="preserve"> del procedimiento especial sancionador (IEE/PES/0</w:t>
      </w:r>
      <w:r w:rsidR="008D132C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/2022) exclusivamente para que</w:t>
      </w:r>
      <w:r w:rsidR="002A1264">
        <w:rPr>
          <w:rFonts w:ascii="Arial" w:eastAsia="Arial" w:hAnsi="Arial" w:cs="Arial"/>
        </w:rPr>
        <w:t xml:space="preserve"> la autoridad administrativa realice lo siguiente</w:t>
      </w:r>
      <w:r w:rsidR="00F20E92">
        <w:rPr>
          <w:rFonts w:ascii="Arial" w:eastAsia="Arial" w:hAnsi="Arial" w:cs="Arial"/>
        </w:rPr>
        <w:t xml:space="preserve">: </w:t>
      </w:r>
      <w:r w:rsidR="002A1264">
        <w:rPr>
          <w:rFonts w:ascii="Arial" w:eastAsia="Arial" w:hAnsi="Arial" w:cs="Arial"/>
          <w:b/>
          <w:bCs/>
          <w:i/>
          <w:iCs/>
        </w:rPr>
        <w:t xml:space="preserve">a) </w:t>
      </w:r>
      <w:r w:rsidR="002A1264">
        <w:rPr>
          <w:rFonts w:ascii="Arial" w:eastAsia="Arial" w:hAnsi="Arial" w:cs="Arial"/>
        </w:rPr>
        <w:t xml:space="preserve">fije nuevamente la fecha de celebración de la audiencia de pruebas y alegatos, </w:t>
      </w:r>
      <w:r w:rsidR="008D132C">
        <w:rPr>
          <w:rFonts w:ascii="Arial" w:eastAsia="Arial" w:hAnsi="Arial" w:cs="Arial"/>
        </w:rPr>
        <w:t>respetando el plazo previsto por el Código Electoral local</w:t>
      </w:r>
      <w:r w:rsidR="002A1264">
        <w:rPr>
          <w:rFonts w:ascii="Arial" w:eastAsia="Arial" w:hAnsi="Arial" w:cs="Arial"/>
        </w:rPr>
        <w:t xml:space="preserve">, </w:t>
      </w:r>
      <w:r w:rsidR="00546A50">
        <w:rPr>
          <w:rFonts w:ascii="Arial" w:eastAsia="Arial" w:hAnsi="Arial" w:cs="Arial"/>
          <w:b/>
          <w:bCs/>
          <w:i/>
          <w:iCs/>
        </w:rPr>
        <w:t>b</w:t>
      </w:r>
      <w:r w:rsidR="00F20E92">
        <w:rPr>
          <w:rFonts w:ascii="Arial" w:eastAsia="Arial" w:hAnsi="Arial" w:cs="Arial"/>
          <w:b/>
          <w:bCs/>
          <w:i/>
          <w:iCs/>
        </w:rPr>
        <w:t>)</w:t>
      </w:r>
      <w:r>
        <w:rPr>
          <w:rFonts w:ascii="Arial" w:eastAsia="Arial" w:hAnsi="Arial" w:cs="Arial"/>
        </w:rPr>
        <w:t xml:space="preserve"> </w:t>
      </w:r>
      <w:r w:rsidR="00F20E92" w:rsidRPr="008D132C">
        <w:rPr>
          <w:rFonts w:ascii="Arial" w:eastAsia="Arial" w:hAnsi="Arial" w:cs="Arial"/>
          <w:b/>
          <w:bCs/>
        </w:rPr>
        <w:t>cite</w:t>
      </w:r>
      <w:r w:rsidR="00F20E92">
        <w:rPr>
          <w:rFonts w:ascii="Arial" w:eastAsia="Arial" w:hAnsi="Arial" w:cs="Arial"/>
        </w:rPr>
        <w:t xml:space="preserve"> nuevamente a las partes a la audiencia de pruebas </w:t>
      </w:r>
      <w:r w:rsidR="001629C9"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</w:rPr>
        <w:t>celebre nuevamente la audiencia</w:t>
      </w:r>
      <w:r>
        <w:rPr>
          <w:rFonts w:ascii="Arial" w:eastAsia="Arial" w:hAnsi="Arial" w:cs="Arial"/>
          <w:color w:val="000000"/>
        </w:rPr>
        <w:t>,</w:t>
      </w:r>
      <w:r w:rsidR="00F20E92">
        <w:rPr>
          <w:rFonts w:ascii="Arial" w:eastAsia="Arial" w:hAnsi="Arial" w:cs="Arial"/>
          <w:color w:val="000000"/>
        </w:rPr>
        <w:t xml:space="preserve"> y</w:t>
      </w:r>
      <w:r>
        <w:rPr>
          <w:rFonts w:ascii="Arial" w:eastAsia="Arial" w:hAnsi="Arial" w:cs="Arial"/>
          <w:color w:val="000000"/>
        </w:rPr>
        <w:t xml:space="preserve"> </w:t>
      </w:r>
      <w:r w:rsidR="001629C9">
        <w:rPr>
          <w:rFonts w:ascii="Arial" w:eastAsia="Arial" w:hAnsi="Arial" w:cs="Arial"/>
          <w:b/>
          <w:i/>
        </w:rPr>
        <w:t>c</w:t>
      </w:r>
      <w:r>
        <w:rPr>
          <w:rFonts w:ascii="Arial" w:eastAsia="Arial" w:hAnsi="Arial" w:cs="Arial"/>
          <w:b/>
          <w:i/>
        </w:rPr>
        <w:t>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remita </w:t>
      </w:r>
      <w:r>
        <w:rPr>
          <w:rFonts w:ascii="Arial" w:eastAsia="Arial" w:hAnsi="Arial" w:cs="Arial"/>
          <w:color w:val="000000"/>
        </w:rPr>
        <w:t xml:space="preserve">a este Tribunal el expediente para su </w:t>
      </w:r>
      <w:r w:rsidRPr="008D132C">
        <w:rPr>
          <w:rFonts w:ascii="Arial" w:eastAsia="Arial" w:hAnsi="Arial" w:cs="Arial"/>
          <w:bCs/>
          <w:color w:val="000000"/>
        </w:rPr>
        <w:t>resolución.</w:t>
      </w:r>
    </w:p>
    <w:p w14:paraId="7B8E38AE" w14:textId="77777777" w:rsidR="00F43E54" w:rsidRPr="001629C9" w:rsidRDefault="00F43E54" w:rsidP="001629C9">
      <w:pPr>
        <w:pStyle w:val="Sinespaciado"/>
        <w:rPr>
          <w:rFonts w:eastAsia="Arial"/>
        </w:rPr>
      </w:pPr>
    </w:p>
    <w:p w14:paraId="6092AF56" w14:textId="514D3870" w:rsidR="002A5119" w:rsidRPr="00A16989" w:rsidRDefault="002B7505" w:rsidP="00A16989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 anterior, </w:t>
      </w:r>
      <w:r w:rsidRPr="00A16989">
        <w:rPr>
          <w:rFonts w:ascii="Arial" w:eastAsia="Arial" w:hAnsi="Arial" w:cs="Arial"/>
          <w:b/>
          <w:bCs/>
        </w:rPr>
        <w:t xml:space="preserve">porque </w:t>
      </w:r>
      <w:r w:rsidR="008D132C" w:rsidRPr="00A16989">
        <w:rPr>
          <w:rFonts w:ascii="Arial" w:eastAsia="Arial" w:hAnsi="Arial" w:cs="Arial"/>
          <w:b/>
          <w:bCs/>
        </w:rPr>
        <w:t xml:space="preserve">este </w:t>
      </w:r>
      <w:r w:rsidRPr="00A16989">
        <w:rPr>
          <w:rFonts w:ascii="Arial" w:eastAsia="Arial" w:hAnsi="Arial" w:cs="Arial"/>
          <w:b/>
          <w:bCs/>
        </w:rPr>
        <w:t xml:space="preserve">Tribunal Electoral estima </w:t>
      </w:r>
      <w:r w:rsidR="00546A50">
        <w:rPr>
          <w:rFonts w:ascii="Arial" w:eastAsia="Arial" w:hAnsi="Arial" w:cs="Arial"/>
        </w:rPr>
        <w:t>que,</w:t>
      </w:r>
      <w:r w:rsidR="00F20E92">
        <w:rPr>
          <w:rFonts w:ascii="Arial" w:eastAsia="Arial" w:hAnsi="Arial" w:cs="Arial"/>
        </w:rPr>
        <w:t xml:space="preserve"> </w:t>
      </w:r>
      <w:r w:rsidR="00A86AE4">
        <w:rPr>
          <w:rFonts w:ascii="Arial" w:eastAsia="Arial" w:hAnsi="Arial" w:cs="Arial"/>
        </w:rPr>
        <w:t xml:space="preserve">de las constancias </w:t>
      </w:r>
      <w:r w:rsidR="002A5119">
        <w:rPr>
          <w:rFonts w:ascii="Arial" w:eastAsia="Arial" w:hAnsi="Arial" w:cs="Arial"/>
        </w:rPr>
        <w:t xml:space="preserve">que fueron </w:t>
      </w:r>
      <w:r w:rsidR="00A86AE4">
        <w:rPr>
          <w:rFonts w:ascii="Arial" w:eastAsia="Arial" w:hAnsi="Arial" w:cs="Arial"/>
        </w:rPr>
        <w:t>remitidas por el Instituto Local</w:t>
      </w:r>
      <w:r w:rsidR="002A5119">
        <w:rPr>
          <w:rFonts w:ascii="Arial" w:eastAsia="Arial" w:hAnsi="Arial" w:cs="Arial"/>
        </w:rPr>
        <w:t xml:space="preserve"> en atención al</w:t>
      </w:r>
      <w:r w:rsidR="00A86AE4">
        <w:rPr>
          <w:rFonts w:ascii="Arial" w:eastAsia="Arial" w:hAnsi="Arial" w:cs="Arial"/>
        </w:rPr>
        <w:t xml:space="preserve"> cumplimiento a</w:t>
      </w:r>
      <w:r w:rsidR="008D132C">
        <w:rPr>
          <w:rFonts w:ascii="Arial" w:eastAsia="Arial" w:hAnsi="Arial" w:cs="Arial"/>
        </w:rPr>
        <w:t xml:space="preserve"> </w:t>
      </w:r>
      <w:r w:rsidR="00A86AE4">
        <w:rPr>
          <w:rFonts w:ascii="Arial" w:eastAsia="Arial" w:hAnsi="Arial" w:cs="Arial"/>
        </w:rPr>
        <w:t>lo</w:t>
      </w:r>
      <w:r w:rsidR="008D132C">
        <w:rPr>
          <w:rFonts w:ascii="Arial" w:eastAsia="Arial" w:hAnsi="Arial" w:cs="Arial"/>
        </w:rPr>
        <w:t xml:space="preserve"> </w:t>
      </w:r>
      <w:r w:rsidR="00A86AE4">
        <w:rPr>
          <w:rFonts w:ascii="Arial" w:eastAsia="Arial" w:hAnsi="Arial" w:cs="Arial"/>
        </w:rPr>
        <w:t xml:space="preserve">ordenado por la Sala Superior </w:t>
      </w:r>
      <w:r w:rsidR="00723A2A">
        <w:rPr>
          <w:rFonts w:ascii="Arial" w:eastAsia="Arial" w:hAnsi="Arial" w:cs="Arial"/>
        </w:rPr>
        <w:t>(</w:t>
      </w:r>
      <w:r w:rsidR="00A86AE4">
        <w:rPr>
          <w:rFonts w:ascii="Arial" w:eastAsia="Arial" w:hAnsi="Arial" w:cs="Arial"/>
        </w:rPr>
        <w:t>SUP-JE-83/2022 y acumulado</w:t>
      </w:r>
      <w:r w:rsidR="00723A2A">
        <w:rPr>
          <w:rFonts w:ascii="Arial" w:eastAsia="Arial" w:hAnsi="Arial" w:cs="Arial"/>
        </w:rPr>
        <w:t>)</w:t>
      </w:r>
      <w:r w:rsidR="00A86AE4">
        <w:rPr>
          <w:rFonts w:ascii="Arial" w:eastAsia="Arial" w:hAnsi="Arial" w:cs="Arial"/>
        </w:rPr>
        <w:t>,</w:t>
      </w:r>
      <w:r w:rsidR="00F20E92">
        <w:rPr>
          <w:rFonts w:ascii="Arial" w:eastAsia="Arial" w:hAnsi="Arial" w:cs="Arial"/>
        </w:rPr>
        <w:t xml:space="preserve"> </w:t>
      </w:r>
      <w:r w:rsidR="002A5119">
        <w:rPr>
          <w:rFonts w:ascii="Arial" w:eastAsia="Arial" w:hAnsi="Arial" w:cs="Arial"/>
        </w:rPr>
        <w:t xml:space="preserve">específicamente, la reposición del procedimiento para el efecto de que se cite nuevamente a audiencia respetando el plazo previsto por el Código Electoral, se advierte que no existe constancia alguna que acredite que la parte denunciante </w:t>
      </w:r>
      <w:r w:rsidR="00A16989">
        <w:rPr>
          <w:rFonts w:ascii="Arial" w:eastAsia="Arial" w:hAnsi="Arial" w:cs="Arial"/>
        </w:rPr>
        <w:t xml:space="preserve">haya sido </w:t>
      </w:r>
      <w:r w:rsidR="002A5119">
        <w:rPr>
          <w:rFonts w:ascii="Arial" w:eastAsia="Arial" w:hAnsi="Arial" w:cs="Arial"/>
        </w:rPr>
        <w:t>emplazada a la audiencia de pruebas y alegatos, lo cual, implicó una vulneración a su derecho</w:t>
      </w:r>
      <w:r w:rsidR="00723A2A">
        <w:rPr>
          <w:rFonts w:ascii="Arial" w:eastAsia="Arial" w:hAnsi="Arial" w:cs="Arial"/>
        </w:rPr>
        <w:t xml:space="preserve"> al debido proceso.</w:t>
      </w:r>
      <w:r w:rsidR="002A5119">
        <w:rPr>
          <w:rFonts w:ascii="Arial" w:eastAsia="Arial" w:hAnsi="Arial" w:cs="Arial"/>
        </w:rPr>
        <w:t xml:space="preserve"> </w:t>
      </w:r>
    </w:p>
    <w:p w14:paraId="77EF639B" w14:textId="77777777" w:rsidR="002A5119" w:rsidRPr="00830AA3" w:rsidRDefault="002A5119" w:rsidP="00830AA3">
      <w:pPr>
        <w:pStyle w:val="Sinespaciado"/>
        <w:rPr>
          <w:rFonts w:eastAsia="Arial"/>
        </w:rPr>
      </w:pPr>
    </w:p>
    <w:p w14:paraId="2067BBFB" w14:textId="46AF95EF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Contexto de la controversia</w:t>
      </w:r>
      <w:r>
        <w:rPr>
          <w:rFonts w:ascii="Arial" w:eastAsia="Arial" w:hAnsi="Arial" w:cs="Arial"/>
          <w:b/>
          <w:vertAlign w:val="superscript"/>
        </w:rPr>
        <w:footnoteReference w:id="3"/>
      </w:r>
    </w:p>
    <w:p w14:paraId="5917C884" w14:textId="77777777" w:rsidR="00F43E54" w:rsidRPr="00F43E54" w:rsidRDefault="00F43E54" w:rsidP="00F43E54">
      <w:pPr>
        <w:pStyle w:val="Sinespaciado"/>
        <w:rPr>
          <w:rFonts w:eastAsia="Arial"/>
          <w:sz w:val="18"/>
          <w:szCs w:val="18"/>
        </w:rPr>
      </w:pPr>
    </w:p>
    <w:p w14:paraId="04CD2E85" w14:textId="42552B3B" w:rsidR="00321D2F" w:rsidRDefault="002B750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PEL 2021-2022. </w:t>
      </w:r>
      <w:r>
        <w:rPr>
          <w:rFonts w:ascii="Arial" w:eastAsia="Arial" w:hAnsi="Arial" w:cs="Arial"/>
        </w:rPr>
        <w:t>El 7 de octubre de 2021, inició el proceso electoral local para renovar la gubernatura del Estado de Aguascalientes.</w:t>
      </w:r>
    </w:p>
    <w:p w14:paraId="4E7E5EE9" w14:textId="77777777" w:rsidR="00321D2F" w:rsidRDefault="00321D2F">
      <w:pPr>
        <w:rPr>
          <w:sz w:val="20"/>
          <w:szCs w:val="20"/>
          <w:vertAlign w:val="superscript"/>
        </w:rPr>
      </w:pPr>
    </w:p>
    <w:p w14:paraId="62DE1C07" w14:textId="7A145030" w:rsidR="00C30F9B" w:rsidRDefault="00C30F9B" w:rsidP="00C30F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36"/>
        <w:jc w:val="both"/>
        <w:rPr>
          <w:rFonts w:ascii="Arial" w:eastAsia="Arial" w:hAnsi="Arial" w:cs="Arial"/>
        </w:rPr>
      </w:pPr>
      <w:r w:rsidRPr="00877381">
        <w:rPr>
          <w:rFonts w:ascii="Arial" w:eastAsia="Arial" w:hAnsi="Arial" w:cs="Arial"/>
          <w:b/>
        </w:rPr>
        <w:t xml:space="preserve">2. Denuncia. </w:t>
      </w:r>
      <w:r w:rsidRPr="00877381">
        <w:rPr>
          <w:rFonts w:ascii="Arial" w:eastAsia="Arial" w:hAnsi="Arial" w:cs="Arial"/>
        </w:rPr>
        <w:t xml:space="preserve">El 26 de febrero, </w:t>
      </w:r>
      <w:r w:rsidR="004B0DEA" w:rsidRPr="008D132C">
        <w:rPr>
          <w:rFonts w:ascii="Arial" w:eastAsia="Arial" w:hAnsi="Arial" w:cs="Arial"/>
          <w:color w:val="FFFFFF"/>
          <w:highlight w:val="black"/>
        </w:rPr>
        <w:t>Eliminado: dato personal confidencial</w:t>
      </w:r>
      <w:r>
        <w:rPr>
          <w:rFonts w:ascii="Arial" w:eastAsia="Arial" w:hAnsi="Arial" w:cs="Arial"/>
        </w:rPr>
        <w:t xml:space="preserve">, presentó una denuncia ante el Instituto Local, en contra del </w:t>
      </w:r>
      <w:r w:rsidR="00634582">
        <w:rPr>
          <w:rFonts w:ascii="Arial" w:eastAsia="Arial" w:hAnsi="Arial" w:cs="Arial"/>
        </w:rPr>
        <w:t>periodista</w:t>
      </w:r>
      <w:r>
        <w:rPr>
          <w:rFonts w:ascii="Arial" w:eastAsia="Arial" w:hAnsi="Arial" w:cs="Arial"/>
        </w:rPr>
        <w:t xml:space="preserve"> Ramón Alberto Garza García </w:t>
      </w:r>
      <w:r w:rsidR="00634582">
        <w:rPr>
          <w:rFonts w:ascii="Arial" w:eastAsia="Arial" w:hAnsi="Arial" w:cs="Arial"/>
        </w:rPr>
        <w:t>y del medio de</w:t>
      </w:r>
      <w:r>
        <w:rPr>
          <w:rFonts w:ascii="Arial" w:eastAsia="Arial" w:hAnsi="Arial" w:cs="Arial"/>
        </w:rPr>
        <w:t xml:space="preserve"> comunicación Magenta Multimedia S.C. y Magenta Multimedia S.A.P.I. de C.V., </w:t>
      </w:r>
      <w:r>
        <w:rPr>
          <w:rFonts w:ascii="Arial" w:eastAsia="Arial" w:hAnsi="Arial" w:cs="Arial"/>
        </w:rPr>
        <w:lastRenderedPageBreak/>
        <w:t xml:space="preserve">por la publicación de un vídeo en el que se emiten expresiones en su perjuicio, </w:t>
      </w: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a su criterio, actualiza</w:t>
      </w:r>
      <w:r w:rsidR="00634582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la infracción de </w:t>
      </w:r>
      <w:proofErr w:type="spellStart"/>
      <w:r w:rsidRPr="007C2FEC">
        <w:rPr>
          <w:rFonts w:ascii="Arial" w:eastAsia="Arial" w:hAnsi="Arial" w:cs="Arial"/>
          <w:i/>
          <w:iCs/>
        </w:rPr>
        <w:t>vpg</w:t>
      </w:r>
      <w:proofErr w:type="spellEnd"/>
      <w:r>
        <w:rPr>
          <w:rFonts w:ascii="Arial" w:eastAsia="Arial" w:hAnsi="Arial" w:cs="Arial"/>
        </w:rPr>
        <w:t xml:space="preserve">. </w:t>
      </w:r>
    </w:p>
    <w:p w14:paraId="0AA8D9BF" w14:textId="0026BDEE" w:rsidR="00321D2F" w:rsidRDefault="00C30F9B" w:rsidP="00C30F9B">
      <w:pPr>
        <w:tabs>
          <w:tab w:val="left" w:pos="284"/>
        </w:tabs>
        <w:spacing w:before="240" w:after="240" w:line="360" w:lineRule="auto"/>
        <w:ind w:right="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Sentencia</w:t>
      </w:r>
      <w:r w:rsidRPr="00C30F9B">
        <w:rPr>
          <w:rFonts w:ascii="Arial" w:eastAsia="Arial" w:hAnsi="Arial" w:cs="Arial"/>
          <w:bCs/>
        </w:rPr>
        <w:t xml:space="preserve"> </w:t>
      </w:r>
      <w:r w:rsidR="002B7505">
        <w:rPr>
          <w:rFonts w:ascii="Arial" w:eastAsia="Arial" w:hAnsi="Arial" w:cs="Arial"/>
          <w:b/>
        </w:rPr>
        <w:t>TEEA-PES-0</w:t>
      </w:r>
      <w:r>
        <w:rPr>
          <w:rFonts w:ascii="Arial" w:eastAsia="Arial" w:hAnsi="Arial" w:cs="Arial"/>
          <w:b/>
        </w:rPr>
        <w:t>11</w:t>
      </w:r>
      <w:r w:rsidR="002B7505">
        <w:rPr>
          <w:rFonts w:ascii="Arial" w:eastAsia="Arial" w:hAnsi="Arial" w:cs="Arial"/>
          <w:b/>
        </w:rPr>
        <w:t xml:space="preserve">/2022. </w:t>
      </w:r>
      <w:r w:rsidR="002B7505"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</w:rPr>
        <w:t>12</w:t>
      </w:r>
      <w:r w:rsidR="002B7505">
        <w:rPr>
          <w:rFonts w:ascii="Arial" w:eastAsia="Arial" w:hAnsi="Arial" w:cs="Arial"/>
        </w:rPr>
        <w:t xml:space="preserve"> de abril, </w:t>
      </w:r>
      <w:r>
        <w:rPr>
          <w:rFonts w:ascii="Arial" w:eastAsia="Arial" w:hAnsi="Arial" w:cs="Arial"/>
        </w:rPr>
        <w:t xml:space="preserve">el Pleno de este Tribunal Electoral dictó sentencia definitiva, en la que determinó la existencia de la infracción de </w:t>
      </w:r>
      <w:proofErr w:type="spellStart"/>
      <w:r>
        <w:rPr>
          <w:rFonts w:ascii="Arial" w:eastAsia="Arial" w:hAnsi="Arial" w:cs="Arial"/>
          <w:i/>
          <w:iCs/>
        </w:rPr>
        <w:t>vpg</w:t>
      </w:r>
      <w:proofErr w:type="spellEnd"/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</w:rPr>
        <w:t>en perjuicio de la candidata denunciada, atribuida al ciudadano Ramón Alberto Garza García y, por tanto, se le sancionó con una multa económica y se le ordenó la realización de diversas medidas de reparación.</w:t>
      </w:r>
    </w:p>
    <w:p w14:paraId="59CBF83B" w14:textId="378FCB05" w:rsidR="00C30F9B" w:rsidRDefault="00C30F9B" w:rsidP="00C30F9B">
      <w:pPr>
        <w:tabs>
          <w:tab w:val="left" w:pos="284"/>
        </w:tabs>
        <w:spacing w:before="240" w:after="240" w:line="360" w:lineRule="auto"/>
        <w:ind w:right="40"/>
        <w:jc w:val="both"/>
        <w:rPr>
          <w:rFonts w:ascii="Arial" w:eastAsia="Arial" w:hAnsi="Arial" w:cs="Arial"/>
        </w:rPr>
      </w:pPr>
      <w:r w:rsidRPr="00C30F9B">
        <w:rPr>
          <w:rFonts w:ascii="Arial" w:eastAsia="Arial" w:hAnsi="Arial" w:cs="Arial"/>
          <w:b/>
          <w:bCs/>
        </w:rPr>
        <w:t xml:space="preserve">4. Impugnación federal. </w:t>
      </w:r>
      <w:r w:rsidR="000B7094">
        <w:rPr>
          <w:rFonts w:ascii="Arial" w:eastAsia="Arial" w:hAnsi="Arial" w:cs="Arial"/>
        </w:rPr>
        <w:t xml:space="preserve">Inconforme, el 22 siguiente el ciudadano Ramón Alberto Garza García presentó un juicio electoral en contra de la sentencia precisada en el párrafo anterior, </w:t>
      </w:r>
      <w:r w:rsidR="00634582">
        <w:rPr>
          <w:rFonts w:ascii="Arial" w:eastAsia="Arial" w:hAnsi="Arial" w:cs="Arial"/>
        </w:rPr>
        <w:t>al considerar</w:t>
      </w:r>
      <w:r w:rsidR="000B7094">
        <w:rPr>
          <w:rFonts w:ascii="Arial" w:eastAsia="Arial" w:hAnsi="Arial" w:cs="Arial"/>
        </w:rPr>
        <w:t xml:space="preserve">, esencialmente, que se vulneró </w:t>
      </w:r>
      <w:r w:rsidR="00634582">
        <w:rPr>
          <w:rFonts w:ascii="Arial" w:eastAsia="Arial" w:hAnsi="Arial" w:cs="Arial"/>
        </w:rPr>
        <w:t xml:space="preserve">su derecho al </w:t>
      </w:r>
      <w:r w:rsidR="000B7094">
        <w:rPr>
          <w:rFonts w:ascii="Arial" w:eastAsia="Arial" w:hAnsi="Arial" w:cs="Arial"/>
        </w:rPr>
        <w:t>debido proceso, ya que la autoridad sustanciadora no respetó el plazo legal previsto por el Código Electoral para la celebración de la audiencia de pruebas y alegatos.</w:t>
      </w:r>
    </w:p>
    <w:p w14:paraId="6371A848" w14:textId="15F97FFD" w:rsidR="000B7094" w:rsidRDefault="000B7094" w:rsidP="00C30F9B">
      <w:pPr>
        <w:tabs>
          <w:tab w:val="left" w:pos="284"/>
        </w:tabs>
        <w:spacing w:before="240" w:after="240" w:line="360" w:lineRule="auto"/>
        <w:ind w:right="40"/>
        <w:jc w:val="both"/>
        <w:rPr>
          <w:rFonts w:ascii="Arial" w:eastAsia="Arial" w:hAnsi="Arial" w:cs="Arial"/>
        </w:rPr>
      </w:pPr>
      <w:r w:rsidRPr="000B7094">
        <w:rPr>
          <w:rFonts w:ascii="Arial" w:eastAsia="Arial" w:hAnsi="Arial" w:cs="Arial"/>
          <w:b/>
          <w:bCs/>
        </w:rPr>
        <w:t xml:space="preserve">5. Sentencia SUP-JE-83/2022 y acumulado. </w:t>
      </w:r>
      <w:r>
        <w:rPr>
          <w:rFonts w:ascii="Arial" w:eastAsia="Arial" w:hAnsi="Arial" w:cs="Arial"/>
        </w:rPr>
        <w:t xml:space="preserve">El 4 de mayo, la Sala Superior </w:t>
      </w:r>
      <w:r w:rsidR="00634582">
        <w:rPr>
          <w:rFonts w:ascii="Arial" w:eastAsia="Arial" w:hAnsi="Arial" w:cs="Arial"/>
        </w:rPr>
        <w:t>revocó</w:t>
      </w:r>
      <w:r>
        <w:rPr>
          <w:rFonts w:ascii="Arial" w:eastAsia="Arial" w:hAnsi="Arial" w:cs="Arial"/>
        </w:rPr>
        <w:t xml:space="preserve"> la resolución TEEA-PES-011/2022, al considerar fundado el planteamiento del actor y, en consecuencia, ordenó la reposición del procedimiento </w:t>
      </w:r>
      <w:r w:rsidR="00634582">
        <w:rPr>
          <w:rFonts w:ascii="Arial" w:eastAsia="Arial" w:hAnsi="Arial" w:cs="Arial"/>
        </w:rPr>
        <w:t>a efecto</w:t>
      </w:r>
      <w:r>
        <w:rPr>
          <w:rFonts w:ascii="Arial" w:eastAsia="Arial" w:hAnsi="Arial" w:cs="Arial"/>
        </w:rPr>
        <w:t xml:space="preserve"> de que se </w:t>
      </w:r>
      <w:r w:rsidR="00634582">
        <w:rPr>
          <w:rFonts w:ascii="Arial" w:eastAsia="Arial" w:hAnsi="Arial" w:cs="Arial"/>
        </w:rPr>
        <w:t xml:space="preserve">notifique a los denunciados la fecha de celebración de la nueva audiencia de pruebas y alegatos, misma que deberá tener verificativo, al menos tres días posteriores a tal diligencia, sin contar el día en que esta se practique. </w:t>
      </w:r>
    </w:p>
    <w:p w14:paraId="1FAFBA78" w14:textId="071AE352" w:rsidR="00634582" w:rsidRPr="000B7094" w:rsidRDefault="00634582" w:rsidP="00C30F9B">
      <w:pPr>
        <w:tabs>
          <w:tab w:val="left" w:pos="284"/>
        </w:tabs>
        <w:spacing w:before="240" w:after="240" w:line="360" w:lineRule="auto"/>
        <w:ind w:right="40"/>
        <w:jc w:val="both"/>
        <w:rPr>
          <w:rFonts w:ascii="Arial" w:eastAsia="Arial" w:hAnsi="Arial" w:cs="Arial"/>
          <w:color w:val="000000"/>
        </w:rPr>
      </w:pPr>
      <w:r w:rsidRPr="009401EC">
        <w:rPr>
          <w:rFonts w:ascii="Arial" w:eastAsia="Arial" w:hAnsi="Arial" w:cs="Arial"/>
          <w:b/>
          <w:bCs/>
        </w:rPr>
        <w:t>6. Cumplimiento.</w:t>
      </w:r>
      <w:r>
        <w:rPr>
          <w:rFonts w:ascii="Arial" w:eastAsia="Arial" w:hAnsi="Arial" w:cs="Arial"/>
        </w:rPr>
        <w:t xml:space="preserve"> </w:t>
      </w:r>
      <w:r w:rsidR="009401EC">
        <w:rPr>
          <w:rFonts w:ascii="Arial" w:eastAsia="Arial" w:hAnsi="Arial" w:cs="Arial"/>
        </w:rPr>
        <w:t xml:space="preserve">El 20 de mayo, se recibió en la oficialía de partes de este tribunal, el oficio IEE/SE/1633/2022 signado por el </w:t>
      </w:r>
      <w:proofErr w:type="gramStart"/>
      <w:r w:rsidR="009401EC">
        <w:rPr>
          <w:rFonts w:ascii="Arial" w:eastAsia="Arial" w:hAnsi="Arial" w:cs="Arial"/>
        </w:rPr>
        <w:t>Secretario Ejecutivo</w:t>
      </w:r>
      <w:proofErr w:type="gramEnd"/>
      <w:r w:rsidR="009401EC">
        <w:rPr>
          <w:rFonts w:ascii="Arial" w:eastAsia="Arial" w:hAnsi="Arial" w:cs="Arial"/>
        </w:rPr>
        <w:t xml:space="preserve"> del Instituto Local, por el cual remite el expediente en cuestión, así como las actuaciones que dieron cumplimiento a lo ordenado por la Sala Superior en la sentencia SUP-JE-83/2022.</w:t>
      </w:r>
    </w:p>
    <w:p w14:paraId="0AB631C2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II. </w:t>
      </w:r>
      <w:r>
        <w:rPr>
          <w:rFonts w:ascii="Arial" w:eastAsia="Arial" w:hAnsi="Arial" w:cs="Arial"/>
          <w:b/>
          <w:color w:val="000000"/>
        </w:rPr>
        <w:t>Actuación colegiada</w:t>
      </w:r>
    </w:p>
    <w:p w14:paraId="0A9F89E4" w14:textId="77777777" w:rsidR="00321D2F" w:rsidRPr="00830AA3" w:rsidRDefault="00321D2F" w:rsidP="00830AA3">
      <w:pPr>
        <w:pStyle w:val="Sinespaciado"/>
        <w:rPr>
          <w:sz w:val="12"/>
          <w:szCs w:val="12"/>
        </w:rPr>
      </w:pPr>
    </w:p>
    <w:p w14:paraId="48D40A51" w14:textId="54859F26" w:rsidR="00830AA3" w:rsidRDefault="002B7505" w:rsidP="00A169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materia del presente procedimiento especial sancionador, debe realizarse a través de la actuación colegiada y plenaria, porque se encuentra relacionada con la modificación del curso del procedimiento de la queja promovida por </w:t>
      </w:r>
      <w:r w:rsidR="008512B1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denunciante, por lo que el fallo sobre dicho punto debe pronunciarse no s</w:t>
      </w:r>
      <w:r w:rsidR="008512B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lo por </w:t>
      </w:r>
      <w:r w:rsidR="008512B1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 xml:space="preserve"> magistrad</w:t>
      </w:r>
      <w:r w:rsidR="008512B1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ponente, sino por el Pleno de este Tribunal Electoral; ello con fundamento en los artículos 354 y 356, fracción VII, del Código Electoral, así como 15, fracción II, del Reglamento Interior.</w:t>
      </w:r>
      <w:r>
        <w:rPr>
          <w:rFonts w:ascii="Arial" w:eastAsia="Arial" w:hAnsi="Arial" w:cs="Arial"/>
          <w:vertAlign w:val="superscript"/>
        </w:rPr>
        <w:footnoteReference w:id="4"/>
      </w:r>
    </w:p>
    <w:p w14:paraId="25375827" w14:textId="0992C04A" w:rsidR="00606734" w:rsidRDefault="00606734" w:rsidP="00A169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5DE7955F" w14:textId="185A4A16" w:rsidR="00606734" w:rsidRDefault="00606734" w:rsidP="00A169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5AD8E909" w14:textId="4E70DD34" w:rsidR="00606734" w:rsidRDefault="00606734" w:rsidP="00A169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5AE2F30C" w14:textId="77777777" w:rsidR="00606734" w:rsidRPr="00A16989" w:rsidRDefault="00606734" w:rsidP="00A1698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01ED5A8B" w14:textId="09B73554" w:rsidR="00606734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lastRenderedPageBreak/>
        <w:t xml:space="preserve">III. </w:t>
      </w:r>
      <w:r>
        <w:rPr>
          <w:rFonts w:ascii="Arial" w:eastAsia="Arial" w:hAnsi="Arial" w:cs="Arial"/>
          <w:b/>
          <w:color w:val="000000"/>
        </w:rPr>
        <w:t>Materia del acuerdo plenario</w:t>
      </w:r>
    </w:p>
    <w:p w14:paraId="1735A841" w14:textId="77777777" w:rsidR="00321D2F" w:rsidRPr="00830AA3" w:rsidRDefault="00321D2F" w:rsidP="00830AA3">
      <w:pPr>
        <w:pStyle w:val="Sinespaciado"/>
        <w:rPr>
          <w:sz w:val="16"/>
          <w:szCs w:val="16"/>
        </w:rPr>
      </w:pPr>
    </w:p>
    <w:p w14:paraId="70935B9B" w14:textId="7EFF9588" w:rsidR="00B16B5E" w:rsidRDefault="002B7505" w:rsidP="00830A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objeto del presente acuerdo, consiste en determinar si es necesaria la reposición del procedimiento,</w:t>
      </w:r>
      <w:r w:rsidR="008512B1">
        <w:rPr>
          <w:rFonts w:ascii="Arial" w:eastAsia="Arial" w:hAnsi="Arial" w:cs="Arial"/>
        </w:rPr>
        <w:t xml:space="preserve"> </w:t>
      </w:r>
      <w:r w:rsidR="009401EC">
        <w:rPr>
          <w:rFonts w:ascii="Arial" w:eastAsia="Arial" w:hAnsi="Arial" w:cs="Arial"/>
        </w:rPr>
        <w:t xml:space="preserve">derivado del hecho de que la parte denunciante no fue </w:t>
      </w:r>
      <w:r w:rsidR="00905252">
        <w:rPr>
          <w:rFonts w:ascii="Arial" w:eastAsia="Arial" w:hAnsi="Arial" w:cs="Arial"/>
        </w:rPr>
        <w:t xml:space="preserve">emplazada a la audiencia de pruebas y alegatos celebrada </w:t>
      </w:r>
      <w:r w:rsidR="00B16B5E">
        <w:rPr>
          <w:rFonts w:ascii="Arial" w:eastAsia="Arial" w:hAnsi="Arial" w:cs="Arial"/>
        </w:rPr>
        <w:t xml:space="preserve">por la autoridad administrativa </w:t>
      </w:r>
      <w:r w:rsidR="00905252">
        <w:rPr>
          <w:rFonts w:ascii="Arial" w:eastAsia="Arial" w:hAnsi="Arial" w:cs="Arial"/>
        </w:rPr>
        <w:t>en cumplimiento a lo ordenado por la Sala Superior al resolver el asunto SUP-JE-83/2022 y acumulado.</w:t>
      </w:r>
      <w:r w:rsidR="008512B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B16B5E">
        <w:rPr>
          <w:rFonts w:ascii="Arial" w:eastAsia="Arial" w:hAnsi="Arial" w:cs="Arial"/>
        </w:rPr>
        <w:t>E</w:t>
      </w:r>
      <w:r w:rsidR="00723A2A">
        <w:rPr>
          <w:rFonts w:ascii="Arial" w:eastAsia="Arial" w:hAnsi="Arial" w:cs="Arial"/>
        </w:rPr>
        <w:t>sto</w:t>
      </w:r>
      <w:r w:rsidR="00B16B5E">
        <w:rPr>
          <w:rFonts w:ascii="Arial" w:eastAsia="Arial" w:hAnsi="Arial" w:cs="Arial"/>
        </w:rPr>
        <w:t xml:space="preserve">, porque de las constancias que se recibieron en este Tribunal </w:t>
      </w:r>
      <w:r w:rsidR="00A16989">
        <w:rPr>
          <w:rFonts w:ascii="Arial" w:eastAsia="Arial" w:hAnsi="Arial" w:cs="Arial"/>
        </w:rPr>
        <w:t>Electoral,</w:t>
      </w:r>
      <w:r w:rsidR="00723A2A">
        <w:rPr>
          <w:rFonts w:ascii="Arial" w:eastAsia="Arial" w:hAnsi="Arial" w:cs="Arial"/>
        </w:rPr>
        <w:t xml:space="preserve"> así como de las diligencias realizadas</w:t>
      </w:r>
      <w:r w:rsidR="00B16B5E">
        <w:rPr>
          <w:rFonts w:ascii="Arial" w:eastAsia="Arial" w:hAnsi="Arial" w:cs="Arial"/>
        </w:rPr>
        <w:t xml:space="preserve">, no se advierte constancia alguna que demuestre que </w:t>
      </w:r>
      <w:r w:rsidR="00723A2A">
        <w:rPr>
          <w:rFonts w:ascii="Arial" w:eastAsia="Arial" w:hAnsi="Arial" w:cs="Arial"/>
        </w:rPr>
        <w:t>se</w:t>
      </w:r>
      <w:r w:rsidR="00B16B5E">
        <w:rPr>
          <w:rFonts w:ascii="Arial" w:eastAsia="Arial" w:hAnsi="Arial" w:cs="Arial"/>
        </w:rPr>
        <w:t xml:space="preserve"> haya emplazado a la candidata denunciante. </w:t>
      </w:r>
    </w:p>
    <w:p w14:paraId="6E73F95A" w14:textId="77777777" w:rsidR="000C26CC" w:rsidRPr="00830AA3" w:rsidRDefault="000C26CC" w:rsidP="00905252">
      <w:pPr>
        <w:pStyle w:val="Sinespaciado"/>
        <w:rPr>
          <w:rFonts w:eastAsia="Arial"/>
        </w:rPr>
      </w:pPr>
    </w:p>
    <w:p w14:paraId="6766CCA7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 Análisis de la controversia planteada</w:t>
      </w:r>
    </w:p>
    <w:p w14:paraId="6DC61CB9" w14:textId="77777777" w:rsidR="00321D2F" w:rsidRPr="00830AA3" w:rsidRDefault="00321D2F" w:rsidP="00830AA3">
      <w:pPr>
        <w:pStyle w:val="Sinespaciado"/>
        <w:rPr>
          <w:rFonts w:eastAsia="Arial"/>
          <w:sz w:val="18"/>
          <w:szCs w:val="18"/>
        </w:rPr>
      </w:pPr>
    </w:p>
    <w:p w14:paraId="6448E149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  <w:color w:val="000000"/>
        </w:rPr>
        <w:t xml:space="preserve">Marco normativo </w:t>
      </w:r>
    </w:p>
    <w:p w14:paraId="5AF7A5EE" w14:textId="77777777" w:rsidR="00321D2F" w:rsidRPr="00830AA3" w:rsidRDefault="00321D2F" w:rsidP="00F43E54">
      <w:pPr>
        <w:pStyle w:val="Sinespaciado"/>
        <w:rPr>
          <w:sz w:val="20"/>
          <w:szCs w:val="20"/>
        </w:rPr>
      </w:pPr>
    </w:p>
    <w:p w14:paraId="69A57154" w14:textId="6A2327C5" w:rsidR="00321D2F" w:rsidRDefault="00830A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</w:rPr>
      </w:pPr>
      <w:r w:rsidRPr="00830AA3">
        <w:rPr>
          <w:rFonts w:ascii="Arial" w:eastAsia="Arial" w:hAnsi="Arial" w:cs="Arial"/>
          <w:b/>
          <w:iCs/>
        </w:rPr>
        <w:t>1.1.</w:t>
      </w:r>
      <w:r w:rsidR="002B7505" w:rsidRPr="00830AA3">
        <w:rPr>
          <w:rFonts w:ascii="Arial" w:eastAsia="Arial" w:hAnsi="Arial" w:cs="Arial"/>
          <w:b/>
          <w:iCs/>
        </w:rPr>
        <w:t xml:space="preserve"> </w:t>
      </w:r>
      <w:r w:rsidR="002B7505">
        <w:rPr>
          <w:rFonts w:ascii="Arial" w:eastAsia="Arial" w:hAnsi="Arial" w:cs="Arial"/>
          <w:b/>
        </w:rPr>
        <w:t>Elementos esenciales para garantizar una adecuada defensa</w:t>
      </w:r>
    </w:p>
    <w:p w14:paraId="0AF98381" w14:textId="77777777" w:rsidR="00321D2F" w:rsidRPr="00830AA3" w:rsidRDefault="00321D2F" w:rsidP="00830AA3">
      <w:pPr>
        <w:pStyle w:val="Sinespaciado"/>
      </w:pPr>
    </w:p>
    <w:p w14:paraId="21369321" w14:textId="7501CA82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 w:rsidR="00830AA3">
        <w:rPr>
          <w:rFonts w:ascii="Arial" w:eastAsia="Arial" w:hAnsi="Arial" w:cs="Arial"/>
        </w:rPr>
        <w:t>SCJN</w:t>
      </w:r>
      <w:r>
        <w:rPr>
          <w:rFonts w:ascii="Arial" w:eastAsia="Arial" w:hAnsi="Arial" w:cs="Arial"/>
        </w:rPr>
        <w:t xml:space="preserve"> sostuvo</w:t>
      </w:r>
      <w:r w:rsidR="00830AA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la obligación que tienen las autoridades de respetar las formalidades esenciales del procedimiento que exige el artículo 14 constitucional. Para ello, estableció los siguientes elementos básicos: </w:t>
      </w:r>
      <w:r>
        <w:rPr>
          <w:rFonts w:ascii="Arial" w:eastAsia="Arial" w:hAnsi="Arial" w:cs="Arial"/>
          <w:b/>
          <w:i/>
        </w:rPr>
        <w:t>i)</w:t>
      </w:r>
      <w:r>
        <w:rPr>
          <w:rFonts w:ascii="Arial" w:eastAsia="Arial" w:hAnsi="Arial" w:cs="Arial"/>
        </w:rPr>
        <w:t xml:space="preserve"> La notificación del inicio del procedimiento y sus consecuencias; </w:t>
      </w:r>
      <w:proofErr w:type="spellStart"/>
      <w:r>
        <w:rPr>
          <w:rFonts w:ascii="Arial" w:eastAsia="Arial" w:hAnsi="Arial" w:cs="Arial"/>
          <w:b/>
          <w:i/>
        </w:rPr>
        <w:t>ii</w:t>
      </w:r>
      <w:proofErr w:type="spellEnd"/>
      <w:r>
        <w:rPr>
          <w:rFonts w:ascii="Arial" w:eastAsia="Arial" w:hAnsi="Arial" w:cs="Arial"/>
          <w:b/>
          <w:i/>
        </w:rPr>
        <w:t>)</w:t>
      </w:r>
      <w:r>
        <w:rPr>
          <w:rFonts w:ascii="Arial" w:eastAsia="Arial" w:hAnsi="Arial" w:cs="Arial"/>
        </w:rPr>
        <w:t xml:space="preserve"> </w:t>
      </w:r>
      <w:r w:rsidRPr="00830AA3">
        <w:rPr>
          <w:rFonts w:ascii="Arial" w:eastAsia="Arial" w:hAnsi="Arial" w:cs="Arial"/>
          <w:bCs/>
        </w:rPr>
        <w:t>La oportunidad de ofrecer y desahogar pruebas en que se finque la defensa;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iii</w:t>
      </w:r>
      <w:proofErr w:type="spellEnd"/>
      <w:r>
        <w:rPr>
          <w:rFonts w:ascii="Arial" w:eastAsia="Arial" w:hAnsi="Arial" w:cs="Arial"/>
          <w:b/>
          <w:i/>
        </w:rPr>
        <w:t>)</w:t>
      </w:r>
      <w:r>
        <w:rPr>
          <w:rFonts w:ascii="Arial" w:eastAsia="Arial" w:hAnsi="Arial" w:cs="Arial"/>
        </w:rPr>
        <w:t xml:space="preserve"> La oportunidad de alegar y; </w:t>
      </w:r>
      <w:proofErr w:type="spellStart"/>
      <w:r>
        <w:rPr>
          <w:rFonts w:ascii="Arial" w:eastAsia="Arial" w:hAnsi="Arial" w:cs="Arial"/>
          <w:b/>
          <w:i/>
        </w:rPr>
        <w:t>iv</w:t>
      </w:r>
      <w:proofErr w:type="spellEnd"/>
      <w:r>
        <w:rPr>
          <w:rFonts w:ascii="Arial" w:eastAsia="Arial" w:hAnsi="Arial" w:cs="Arial"/>
          <w:b/>
          <w:i/>
        </w:rPr>
        <w:t>)</w:t>
      </w:r>
      <w:r>
        <w:rPr>
          <w:rFonts w:ascii="Arial" w:eastAsia="Arial" w:hAnsi="Arial" w:cs="Arial"/>
        </w:rPr>
        <w:t xml:space="preserve"> El dictado de una resolución que dirima las cuestiones debatidas.</w:t>
      </w:r>
      <w:r>
        <w:rPr>
          <w:rFonts w:ascii="Arial" w:eastAsia="Arial" w:hAnsi="Arial" w:cs="Arial"/>
          <w:vertAlign w:val="superscript"/>
        </w:rPr>
        <w:footnoteReference w:id="5"/>
      </w:r>
    </w:p>
    <w:p w14:paraId="45B7135B" w14:textId="77777777" w:rsidR="00321D2F" w:rsidRPr="004B0DEA" w:rsidRDefault="00321D2F" w:rsidP="004B0DEA">
      <w:pPr>
        <w:pStyle w:val="Sinespaciado"/>
      </w:pPr>
    </w:p>
    <w:p w14:paraId="1B6E7702" w14:textId="1CEEF8EC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Así, de conformidad con dicho criterio jurisprudencial, </w:t>
      </w:r>
      <w:r>
        <w:rPr>
          <w:rFonts w:ascii="Arial" w:eastAsia="Arial" w:hAnsi="Arial" w:cs="Arial"/>
          <w:b/>
        </w:rPr>
        <w:t xml:space="preserve">la oportunidad </w:t>
      </w:r>
      <w:r w:rsidR="00905252">
        <w:rPr>
          <w:rFonts w:ascii="Arial" w:eastAsia="Arial" w:hAnsi="Arial" w:cs="Arial"/>
          <w:b/>
        </w:rPr>
        <w:t xml:space="preserve">de ofrecer alegatos </w:t>
      </w:r>
      <w:r>
        <w:rPr>
          <w:rFonts w:ascii="Arial" w:eastAsia="Arial" w:hAnsi="Arial" w:cs="Arial"/>
        </w:rPr>
        <w:t>constituye una de las formalidades esenciales para garantizar una adecuada defensa, pues de no preverse o reconocerse tal requisito, las y los juzgadores generarían una vulneración a la garantía de audiencia y al debido proceso</w:t>
      </w:r>
      <w:r w:rsidR="00905252">
        <w:rPr>
          <w:rFonts w:ascii="Arial" w:eastAsia="Arial" w:hAnsi="Arial" w:cs="Arial"/>
        </w:rPr>
        <w:t xml:space="preserve"> de las partes</w:t>
      </w:r>
      <w:r>
        <w:rPr>
          <w:rFonts w:ascii="Arial" w:eastAsia="Arial" w:hAnsi="Arial" w:cs="Arial"/>
        </w:rPr>
        <w:t xml:space="preserve">. </w:t>
      </w:r>
    </w:p>
    <w:p w14:paraId="77D83F3F" w14:textId="77777777" w:rsidR="00321D2F" w:rsidRDefault="00321D2F" w:rsidP="00F43E54">
      <w:pPr>
        <w:pStyle w:val="Sinespaciado"/>
      </w:pPr>
    </w:p>
    <w:p w14:paraId="3DFF4494" w14:textId="45284005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general, el debido proceso tiene como pilares los principios de audiencia previa y la igualdad de todas las partes procesales para </w:t>
      </w:r>
      <w:r w:rsidRPr="00830AA3">
        <w:rPr>
          <w:rFonts w:ascii="Arial" w:eastAsia="Arial" w:hAnsi="Arial" w:cs="Arial"/>
          <w:bCs/>
        </w:rPr>
        <w:t>ejercer su derecho de defensa en idénticas condiciones</w:t>
      </w:r>
      <w:r>
        <w:rPr>
          <w:rFonts w:ascii="Arial" w:eastAsia="Arial" w:hAnsi="Arial" w:cs="Arial"/>
        </w:rPr>
        <w:t xml:space="preserve">, al reconocer iguales oportunidades para presentar y analizar pruebas, interponer recursos y presentar observaciones </w:t>
      </w:r>
      <w:r w:rsidRPr="00830AA3">
        <w:rPr>
          <w:rFonts w:ascii="Arial" w:eastAsia="Arial" w:hAnsi="Arial" w:cs="Arial"/>
          <w:b/>
          <w:bCs/>
        </w:rPr>
        <w:t>dentro de plazos o términos</w:t>
      </w:r>
      <w:r>
        <w:rPr>
          <w:rFonts w:ascii="Arial" w:eastAsia="Arial" w:hAnsi="Arial" w:cs="Arial"/>
        </w:rPr>
        <w:t xml:space="preserve"> </w:t>
      </w:r>
      <w:r w:rsidR="00830AA3">
        <w:rPr>
          <w:rFonts w:ascii="Arial" w:eastAsia="Arial" w:hAnsi="Arial" w:cs="Arial"/>
        </w:rPr>
        <w:t>previstos por la Ley</w:t>
      </w:r>
      <w:r>
        <w:rPr>
          <w:rFonts w:ascii="Arial" w:eastAsia="Arial" w:hAnsi="Arial" w:cs="Arial"/>
        </w:rPr>
        <w:t xml:space="preserve">. </w:t>
      </w:r>
    </w:p>
    <w:p w14:paraId="04F6C2CD" w14:textId="77777777" w:rsidR="00321D2F" w:rsidRPr="004B0DEA" w:rsidRDefault="00321D2F" w:rsidP="004B0DEA">
      <w:pPr>
        <w:pStyle w:val="Sinespaciado"/>
      </w:pPr>
    </w:p>
    <w:p w14:paraId="099BEE92" w14:textId="4F93076C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ahí que tal derecho sea fundamental y constituya un marco de respeto mínimo dentro de cualquier tipo de proceso para que las partes tengan la </w:t>
      </w:r>
      <w:r>
        <w:rPr>
          <w:rFonts w:ascii="Arial" w:eastAsia="Arial" w:hAnsi="Arial" w:cs="Arial"/>
          <w:b/>
        </w:rPr>
        <w:t>oportunidad de defenderse</w:t>
      </w:r>
      <w:r>
        <w:rPr>
          <w:rFonts w:ascii="Arial" w:eastAsia="Arial" w:hAnsi="Arial" w:cs="Arial"/>
        </w:rPr>
        <w:t xml:space="preserve"> ante el dictado de una determinación por parte de las autoridades. </w:t>
      </w:r>
    </w:p>
    <w:p w14:paraId="5690A1EF" w14:textId="77777777" w:rsidR="00606734" w:rsidRDefault="006067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3E1BFE14" w14:textId="77777777" w:rsidR="00321D2F" w:rsidRDefault="00321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EF1118" w14:textId="1418F181" w:rsidR="00321D2F" w:rsidRDefault="00830AA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</w:rPr>
      </w:pPr>
      <w:r w:rsidRPr="00830AA3">
        <w:rPr>
          <w:rFonts w:ascii="Arial" w:eastAsia="Arial" w:hAnsi="Arial" w:cs="Arial"/>
          <w:b/>
          <w:iCs/>
        </w:rPr>
        <w:lastRenderedPageBreak/>
        <w:t>1.2.</w:t>
      </w:r>
      <w:r w:rsidR="002B7505">
        <w:rPr>
          <w:rFonts w:ascii="Arial" w:eastAsia="Arial" w:hAnsi="Arial" w:cs="Arial"/>
          <w:b/>
        </w:rPr>
        <w:t xml:space="preserve"> Facultad del Tribunal Electoral para ordenar las diligencias necesarias que procuren la regularidad del procedimiento sancionador</w:t>
      </w:r>
    </w:p>
    <w:p w14:paraId="386F98AA" w14:textId="77777777" w:rsidR="00321D2F" w:rsidRDefault="00321D2F"/>
    <w:p w14:paraId="2C408E85" w14:textId="379756C4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artículo 274</w:t>
      </w:r>
      <w:r w:rsidR="00830A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del Código Electoral</w:t>
      </w:r>
      <w:r>
        <w:rPr>
          <w:rFonts w:ascii="Arial" w:eastAsia="Arial" w:hAnsi="Arial" w:cs="Arial"/>
          <w:vertAlign w:val="superscript"/>
        </w:rPr>
        <w:footnoteReference w:id="6"/>
      </w:r>
      <w:r>
        <w:rPr>
          <w:rFonts w:ascii="Arial" w:eastAsia="Arial" w:hAnsi="Arial" w:cs="Arial"/>
        </w:rPr>
        <w:t xml:space="preserve"> establece que el Tribunal </w:t>
      </w:r>
      <w:r w:rsidR="00905252">
        <w:rPr>
          <w:rFonts w:ascii="Arial" w:eastAsia="Arial" w:hAnsi="Arial" w:cs="Arial"/>
        </w:rPr>
        <w:t xml:space="preserve">Electoral </w:t>
      </w:r>
      <w:r>
        <w:rPr>
          <w:rFonts w:ascii="Arial" w:eastAsia="Arial" w:hAnsi="Arial" w:cs="Arial"/>
        </w:rPr>
        <w:t xml:space="preserve">será competente para resolver el procedimiento especial sancionador. Para ello, una vez que reciba la integración del expediente, comenzará con la normal sustanciación. </w:t>
      </w:r>
    </w:p>
    <w:p w14:paraId="43A85936" w14:textId="77777777" w:rsidR="00321D2F" w:rsidRDefault="00321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733EBD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Asimismo, la fracción II, de tal artículo, establece que en caso de advertir omisiones en la integración del expediente o en su tramitación podrá realizar diligencia para mejor proveer o bien, existe la posibilidad de ordenarlas al Instituto, siempre y cuando señale las que deberá realizar y el plazo para ello. </w:t>
      </w:r>
    </w:p>
    <w:p w14:paraId="7D2AB885" w14:textId="77777777" w:rsidR="00F43E54" w:rsidRPr="00F43E54" w:rsidRDefault="00F43E54" w:rsidP="00F43E54">
      <w:pPr>
        <w:pStyle w:val="Sinespaciado"/>
        <w:rPr>
          <w:rFonts w:eastAsia="Arial"/>
        </w:rPr>
      </w:pPr>
    </w:p>
    <w:p w14:paraId="12FBA1E9" w14:textId="1526BEE4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  <w:b/>
          <w:color w:val="000000"/>
        </w:rPr>
        <w:t xml:space="preserve">Caso concreto </w:t>
      </w:r>
      <w:r w:rsidR="00B16B5E">
        <w:rPr>
          <w:rFonts w:ascii="Arial" w:eastAsia="Arial" w:hAnsi="Arial" w:cs="Arial"/>
          <w:b/>
          <w:color w:val="000000"/>
        </w:rPr>
        <w:t>y valoración</w:t>
      </w:r>
    </w:p>
    <w:p w14:paraId="41DE8A49" w14:textId="77777777" w:rsidR="00F43E54" w:rsidRPr="00B16B5E" w:rsidRDefault="00F43E54" w:rsidP="00B16B5E">
      <w:pPr>
        <w:pStyle w:val="Sinespaciado"/>
        <w:rPr>
          <w:rFonts w:eastAsia="Arial"/>
        </w:rPr>
      </w:pPr>
    </w:p>
    <w:p w14:paraId="74AF9395" w14:textId="2F7FBE86" w:rsidR="00B16B5E" w:rsidRDefault="00E7394A" w:rsidP="00B16B5E">
      <w:pPr>
        <w:tabs>
          <w:tab w:val="left" w:pos="284"/>
        </w:tabs>
        <w:spacing w:after="240" w:line="360" w:lineRule="auto"/>
        <w:ind w:right="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caso</w:t>
      </w:r>
      <w:r w:rsidR="00B16B5E">
        <w:rPr>
          <w:rFonts w:ascii="Arial" w:eastAsia="Arial" w:hAnsi="Arial" w:cs="Arial"/>
        </w:rPr>
        <w:t>, la Sala Superior revocó la resolución TEEA-PES-011/2022 emitida por este Tribunal Electoral, al considerar</w:t>
      </w:r>
      <w:r w:rsidR="00321F12">
        <w:rPr>
          <w:rFonts w:ascii="Arial" w:eastAsia="Arial" w:hAnsi="Arial" w:cs="Arial"/>
        </w:rPr>
        <w:t xml:space="preserve">, esencialmente, que durante la sustanciación del procedimiento de mérito no se respetó el lapso legal previsto por el Código Electoral para el desahogo de la audiencia de pruebas y alegatos </w:t>
      </w:r>
      <w:r w:rsidR="00B16B5E">
        <w:rPr>
          <w:rFonts w:ascii="Arial" w:eastAsia="Arial" w:hAnsi="Arial" w:cs="Arial"/>
        </w:rPr>
        <w:t>y, en consecuencia, ordenó la reposición del procedimiento</w:t>
      </w:r>
      <w:r w:rsidR="00C750B4">
        <w:rPr>
          <w:rFonts w:ascii="Arial" w:eastAsia="Arial" w:hAnsi="Arial" w:cs="Arial"/>
        </w:rPr>
        <w:t>.</w:t>
      </w:r>
    </w:p>
    <w:p w14:paraId="61BA3853" w14:textId="46C1A2D4" w:rsidR="00910DEB" w:rsidRPr="00910DEB" w:rsidRDefault="00C750B4" w:rsidP="00910DEB">
      <w:pPr>
        <w:tabs>
          <w:tab w:val="left" w:pos="284"/>
        </w:tabs>
        <w:spacing w:before="240" w:after="240" w:line="360" w:lineRule="auto"/>
        <w:ind w:right="40"/>
        <w:jc w:val="both"/>
        <w:rPr>
          <w:rFonts w:ascii="Arial" w:eastAsia="Arial" w:hAnsi="Arial" w:cs="Arial"/>
          <w:color w:val="000000"/>
        </w:rPr>
      </w:pPr>
      <w:r w:rsidRPr="00910DEB">
        <w:rPr>
          <w:rFonts w:ascii="Arial" w:eastAsia="Arial" w:hAnsi="Arial" w:cs="Arial"/>
        </w:rPr>
        <w:t>Así,</w:t>
      </w:r>
      <w:r w:rsidR="00910DEB">
        <w:rPr>
          <w:rFonts w:ascii="Arial" w:eastAsia="Arial" w:hAnsi="Arial" w:cs="Arial"/>
        </w:rPr>
        <w:t xml:space="preserve"> una vez que el Instituto Local dio cumplimiento a lo anterior, el </w:t>
      </w:r>
      <w:proofErr w:type="gramStart"/>
      <w:r w:rsidR="00910DEB">
        <w:rPr>
          <w:rFonts w:ascii="Arial" w:eastAsia="Arial" w:hAnsi="Arial" w:cs="Arial"/>
        </w:rPr>
        <w:t>Secretario Ejecutivo</w:t>
      </w:r>
      <w:proofErr w:type="gramEnd"/>
      <w:r w:rsidR="00910DEB">
        <w:rPr>
          <w:rFonts w:ascii="Arial" w:eastAsia="Arial" w:hAnsi="Arial" w:cs="Arial"/>
        </w:rPr>
        <w:t xml:space="preserve"> remitió a esta autoridad jurisdiccional, las constancias que integran el expediente en cuestión a fin de que se emitiera la sentencia correspondiente.  Sin embargo, de la revisión de tal documentación, esta autoridad logró advertir una irregularidad en cuanto a las notificaciones que se practicaron.</w:t>
      </w:r>
    </w:p>
    <w:p w14:paraId="298C1854" w14:textId="56AC9036" w:rsidR="00D675D5" w:rsidRDefault="00910DEB" w:rsidP="00B16B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Por ello</w:t>
      </w:r>
      <w:r w:rsidR="00B16B5E" w:rsidRPr="00B16B5E">
        <w:rPr>
          <w:rFonts w:ascii="Arial" w:eastAsia="Arial" w:hAnsi="Arial" w:cs="Arial"/>
          <w:bCs/>
        </w:rPr>
        <w:t>,</w:t>
      </w:r>
      <w:r w:rsidR="00B16B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</w:t>
      </w:r>
      <w:r w:rsidR="00D675D5">
        <w:rPr>
          <w:rFonts w:ascii="Arial" w:eastAsia="Arial" w:hAnsi="Arial" w:cs="Arial"/>
        </w:rPr>
        <w:t xml:space="preserve">ste Tribunal electoral estima que debe </w:t>
      </w:r>
      <w:r w:rsidR="00D675D5" w:rsidRPr="00EA7C2C">
        <w:rPr>
          <w:rFonts w:ascii="Arial" w:eastAsia="Arial" w:hAnsi="Arial" w:cs="Arial"/>
          <w:b/>
          <w:bCs/>
        </w:rPr>
        <w:t>ordenarse la</w:t>
      </w:r>
      <w:r w:rsidR="00D675D5">
        <w:rPr>
          <w:rFonts w:ascii="Arial" w:eastAsia="Arial" w:hAnsi="Arial" w:cs="Arial"/>
        </w:rPr>
        <w:t xml:space="preserve"> </w:t>
      </w:r>
      <w:r w:rsidR="00D675D5">
        <w:rPr>
          <w:rFonts w:ascii="Arial" w:eastAsia="Arial" w:hAnsi="Arial" w:cs="Arial"/>
          <w:b/>
        </w:rPr>
        <w:t>reposición</w:t>
      </w:r>
      <w:r w:rsidR="00D675D5">
        <w:rPr>
          <w:rFonts w:ascii="Arial" w:eastAsia="Arial" w:hAnsi="Arial" w:cs="Arial"/>
        </w:rPr>
        <w:t xml:space="preserve"> del procedimiento especial sancionador identificado con la clave (IEE/PES/0</w:t>
      </w:r>
      <w:r w:rsidR="007B24AB">
        <w:rPr>
          <w:rFonts w:ascii="Arial" w:eastAsia="Arial" w:hAnsi="Arial" w:cs="Arial"/>
        </w:rPr>
        <w:t>10</w:t>
      </w:r>
      <w:r w:rsidR="00D675D5">
        <w:rPr>
          <w:rFonts w:ascii="Arial" w:eastAsia="Arial" w:hAnsi="Arial" w:cs="Arial"/>
        </w:rPr>
        <w:t xml:space="preserve">/2022), </w:t>
      </w:r>
      <w:r w:rsidR="00FD188F">
        <w:rPr>
          <w:rFonts w:ascii="Arial" w:eastAsia="Arial" w:hAnsi="Arial" w:cs="Arial"/>
        </w:rPr>
        <w:t xml:space="preserve">únicamente para el efecto de </w:t>
      </w:r>
      <w:r w:rsidR="00AD4484">
        <w:rPr>
          <w:rFonts w:ascii="Arial" w:eastAsia="Arial" w:hAnsi="Arial" w:cs="Arial"/>
        </w:rPr>
        <w:t>instruir</w:t>
      </w:r>
      <w:r w:rsidR="00D675D5">
        <w:rPr>
          <w:rFonts w:ascii="Arial" w:eastAsia="Arial" w:hAnsi="Arial" w:cs="Arial"/>
        </w:rPr>
        <w:t xml:space="preserve"> al Instituto Estatal Electoral de Aguascalientes que fije nuevamente el plazo para celebrar la audiencia de pruebas y alegatos</w:t>
      </w:r>
      <w:r w:rsidR="007B24AB">
        <w:rPr>
          <w:rFonts w:ascii="Arial" w:eastAsia="Arial" w:hAnsi="Arial" w:cs="Arial"/>
        </w:rPr>
        <w:t xml:space="preserve"> y </w:t>
      </w:r>
      <w:r w:rsidR="000A19E5">
        <w:rPr>
          <w:rFonts w:ascii="Arial" w:eastAsia="Arial" w:hAnsi="Arial" w:cs="Arial"/>
          <w:b/>
          <w:bCs/>
        </w:rPr>
        <w:t xml:space="preserve">notifique </w:t>
      </w:r>
      <w:r w:rsidR="00A16989">
        <w:rPr>
          <w:rFonts w:ascii="Arial" w:eastAsia="Arial" w:hAnsi="Arial" w:cs="Arial"/>
          <w:b/>
          <w:bCs/>
        </w:rPr>
        <w:t xml:space="preserve">nuevamente </w:t>
      </w:r>
      <w:r w:rsidR="007B24AB">
        <w:rPr>
          <w:rFonts w:ascii="Arial" w:eastAsia="Arial" w:hAnsi="Arial" w:cs="Arial"/>
        </w:rPr>
        <w:t>a todas las partes involucradas en el procedimiento en cuestión</w:t>
      </w:r>
      <w:r w:rsidR="000A19E5">
        <w:rPr>
          <w:rFonts w:ascii="Arial" w:eastAsia="Arial" w:hAnsi="Arial" w:cs="Arial"/>
        </w:rPr>
        <w:t xml:space="preserve"> tal actuación</w:t>
      </w:r>
      <w:r w:rsidR="007B24AB">
        <w:rPr>
          <w:rFonts w:ascii="Arial" w:eastAsia="Arial" w:hAnsi="Arial" w:cs="Arial"/>
        </w:rPr>
        <w:t xml:space="preserve">. </w:t>
      </w:r>
    </w:p>
    <w:p w14:paraId="692AD97C" w14:textId="77777777" w:rsidR="00910DEB" w:rsidRPr="00723A2A" w:rsidRDefault="00910DEB" w:rsidP="00723A2A">
      <w:pPr>
        <w:pStyle w:val="Sinespaciado"/>
        <w:rPr>
          <w:rFonts w:eastAsia="Arial"/>
        </w:rPr>
      </w:pPr>
    </w:p>
    <w:p w14:paraId="29204833" w14:textId="752CAA8E" w:rsidR="000A19E5" w:rsidRDefault="00D675D5" w:rsidP="001D4E31">
      <w:pPr>
        <w:tabs>
          <w:tab w:val="left" w:pos="709"/>
        </w:tabs>
        <w:spacing w:line="360" w:lineRule="auto"/>
        <w:ind w:right="-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 anterior, porque este órgano jurisdiccional considera que, </w:t>
      </w:r>
      <w:r w:rsidR="007B24AB">
        <w:rPr>
          <w:rFonts w:ascii="Arial" w:eastAsia="Arial" w:hAnsi="Arial" w:cs="Arial"/>
        </w:rPr>
        <w:t>de las constancias que fueron remitidas</w:t>
      </w:r>
      <w:r w:rsidR="008237C3">
        <w:rPr>
          <w:rFonts w:ascii="Arial" w:eastAsia="Arial" w:hAnsi="Arial" w:cs="Arial"/>
        </w:rPr>
        <w:t xml:space="preserve"> a este </w:t>
      </w:r>
      <w:r w:rsidR="000A19E5">
        <w:rPr>
          <w:rFonts w:ascii="Arial" w:eastAsia="Arial" w:hAnsi="Arial" w:cs="Arial"/>
        </w:rPr>
        <w:t>Tribunal Electoral</w:t>
      </w:r>
      <w:r w:rsidR="007B24AB">
        <w:rPr>
          <w:rFonts w:ascii="Arial" w:eastAsia="Arial" w:hAnsi="Arial" w:cs="Arial"/>
        </w:rPr>
        <w:t xml:space="preserve"> por el Secretario Ejecutivo</w:t>
      </w:r>
      <w:r w:rsidR="008237C3">
        <w:rPr>
          <w:rFonts w:ascii="Arial" w:eastAsia="Arial" w:hAnsi="Arial" w:cs="Arial"/>
        </w:rPr>
        <w:t>,</w:t>
      </w:r>
      <w:r w:rsidR="007B24AB">
        <w:rPr>
          <w:rFonts w:ascii="Arial" w:eastAsia="Arial" w:hAnsi="Arial" w:cs="Arial"/>
        </w:rPr>
        <w:t xml:space="preserve"> en cumplimiento a lo ordenado por la Sala Superior </w:t>
      </w:r>
      <w:r w:rsidR="001D4E31">
        <w:rPr>
          <w:rFonts w:ascii="Arial" w:eastAsia="Arial" w:hAnsi="Arial" w:cs="Arial"/>
        </w:rPr>
        <w:t xml:space="preserve">y, a su vez, del requerimiento </w:t>
      </w:r>
      <w:r w:rsidR="00DF0FEA">
        <w:rPr>
          <w:rFonts w:ascii="Arial" w:eastAsia="Arial" w:hAnsi="Arial" w:cs="Arial"/>
        </w:rPr>
        <w:t>realizado</w:t>
      </w:r>
      <w:r w:rsidR="001D4E31">
        <w:rPr>
          <w:rFonts w:ascii="Arial" w:eastAsia="Arial" w:hAnsi="Arial" w:cs="Arial"/>
        </w:rPr>
        <w:t xml:space="preserve"> por esta autoridad </w:t>
      </w:r>
      <w:r w:rsidR="000A19E5">
        <w:rPr>
          <w:rFonts w:ascii="Arial" w:eastAsia="Arial" w:hAnsi="Arial" w:cs="Arial"/>
        </w:rPr>
        <w:t>a la parte denunciante; se logr</w:t>
      </w:r>
      <w:r w:rsidR="00A16989">
        <w:rPr>
          <w:rFonts w:ascii="Arial" w:eastAsia="Arial" w:hAnsi="Arial" w:cs="Arial"/>
        </w:rPr>
        <w:t>ó</w:t>
      </w:r>
      <w:r w:rsidR="000A19E5">
        <w:rPr>
          <w:rFonts w:ascii="Arial" w:eastAsia="Arial" w:hAnsi="Arial" w:cs="Arial"/>
        </w:rPr>
        <w:t xml:space="preserve"> advertir que el Instituto Local fue omiso en emplazar a la parte denunciante la celebración de la audiencia de pruebas y alegatos y, por tanto, se vulneró su derecho a una adecuada defensa.</w:t>
      </w:r>
    </w:p>
    <w:p w14:paraId="510F54DC" w14:textId="77777777" w:rsidR="000A19E5" w:rsidRDefault="000A19E5" w:rsidP="00DF0FEA">
      <w:pPr>
        <w:pStyle w:val="Sinespaciado"/>
        <w:rPr>
          <w:rFonts w:eastAsia="Arial"/>
        </w:rPr>
      </w:pPr>
    </w:p>
    <w:p w14:paraId="465407C1" w14:textId="67091464" w:rsidR="008237C3" w:rsidRDefault="001C1D36" w:rsidP="001C1D36">
      <w:pPr>
        <w:tabs>
          <w:tab w:val="left" w:pos="709"/>
        </w:tabs>
        <w:spacing w:line="360" w:lineRule="auto"/>
        <w:ind w:right="-91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lastRenderedPageBreak/>
        <w:t>Esto es así, ya que, como se adelantó, en virtud de que</w:t>
      </w:r>
      <w:r w:rsidR="001D4E31">
        <w:rPr>
          <w:rFonts w:ascii="Arial" w:eastAsia="Arial" w:hAnsi="Arial" w:cs="Arial"/>
        </w:rPr>
        <w:t xml:space="preserve"> no se encontró documentación alguna que demuestre que la ciudadana </w:t>
      </w:r>
      <w:r w:rsidR="004B0DEA">
        <w:rPr>
          <w:rFonts w:ascii="Arial" w:eastAsia="Arial" w:hAnsi="Arial" w:cs="Arial"/>
          <w:color w:val="FFFFFF"/>
          <w:highlight w:val="black"/>
        </w:rPr>
        <w:t>e</w:t>
      </w:r>
      <w:r w:rsidR="004B0DEA" w:rsidRPr="008D132C">
        <w:rPr>
          <w:rFonts w:ascii="Arial" w:eastAsia="Arial" w:hAnsi="Arial" w:cs="Arial"/>
          <w:color w:val="FFFFFF"/>
          <w:highlight w:val="black"/>
        </w:rPr>
        <w:t>liminado: dato personal confidencial</w:t>
      </w:r>
      <w:r w:rsidR="004B0DEA">
        <w:rPr>
          <w:rFonts w:ascii="Arial" w:eastAsia="Arial" w:hAnsi="Arial" w:cs="Arial"/>
        </w:rPr>
        <w:t xml:space="preserve"> </w:t>
      </w:r>
      <w:r w:rsidR="001D4E31">
        <w:rPr>
          <w:rFonts w:ascii="Arial" w:eastAsia="Arial" w:hAnsi="Arial" w:cs="Arial"/>
        </w:rPr>
        <w:t xml:space="preserve">haya sido </w:t>
      </w:r>
      <w:r w:rsidR="00723A2A">
        <w:rPr>
          <w:rFonts w:ascii="Arial" w:eastAsia="Arial" w:hAnsi="Arial" w:cs="Arial"/>
        </w:rPr>
        <w:t>notificada para comparecer</w:t>
      </w:r>
      <w:r w:rsidR="001D4E31">
        <w:rPr>
          <w:rFonts w:ascii="Arial" w:eastAsia="Arial" w:hAnsi="Arial" w:cs="Arial"/>
        </w:rPr>
        <w:t xml:space="preserve"> a la audiencia de pruebas y alegatos</w:t>
      </w:r>
      <w:r w:rsidR="00DF0FEA">
        <w:rPr>
          <w:rFonts w:ascii="Arial" w:eastAsia="Arial" w:hAnsi="Arial" w:cs="Arial"/>
        </w:rPr>
        <w:t>, así como de su inasistencia a dicha audiencia</w:t>
      </w:r>
      <w:r w:rsidR="00723A2A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</w:t>
      </w:r>
      <w:r w:rsidR="001D4E31">
        <w:rPr>
          <w:rFonts w:ascii="Arial" w:eastAsia="Arial" w:hAnsi="Arial" w:cs="Arial"/>
        </w:rPr>
        <w:t xml:space="preserve">el 24 de mayo, </w:t>
      </w:r>
      <w:r w:rsidR="008237C3">
        <w:rPr>
          <w:rFonts w:ascii="Arial" w:eastAsia="Arial" w:hAnsi="Arial" w:cs="Arial"/>
        </w:rPr>
        <w:t xml:space="preserve">esta autoridad requirió a la parte denunciante a efecto de que informara lo siguiente: </w:t>
      </w:r>
      <w:r w:rsidR="008237C3" w:rsidRPr="008237C3">
        <w:rPr>
          <w:rFonts w:ascii="Arial" w:eastAsia="Arial" w:hAnsi="Arial" w:cs="Arial"/>
          <w:i/>
          <w:iCs/>
        </w:rPr>
        <w:t xml:space="preserve">“si fue </w:t>
      </w:r>
      <w:proofErr w:type="spellStart"/>
      <w:r w:rsidR="008237C3" w:rsidRPr="008237C3">
        <w:rPr>
          <w:rFonts w:ascii="Arial" w:eastAsia="Arial" w:hAnsi="Arial" w:cs="Arial"/>
          <w:i/>
          <w:iCs/>
        </w:rPr>
        <w:t>emplazada</w:t>
      </w:r>
      <w:proofErr w:type="spellEnd"/>
      <w:r w:rsidR="008237C3" w:rsidRPr="008237C3">
        <w:rPr>
          <w:rFonts w:ascii="Arial" w:eastAsia="Arial" w:hAnsi="Arial" w:cs="Arial"/>
          <w:i/>
          <w:iCs/>
        </w:rPr>
        <w:t xml:space="preserve"> por el Instituto Local a fin de comparecer a la audiencia de pruebas y alegatos y, de ser así, adjunte prueba alguna que lo demuestre</w:t>
      </w:r>
      <w:r w:rsidR="001D4E31">
        <w:rPr>
          <w:rFonts w:ascii="Arial" w:eastAsia="Arial" w:hAnsi="Arial" w:cs="Arial"/>
          <w:i/>
          <w:iCs/>
        </w:rPr>
        <w:t xml:space="preserve"> […]</w:t>
      </w:r>
      <w:r w:rsidR="008237C3" w:rsidRPr="008237C3">
        <w:rPr>
          <w:rFonts w:ascii="Arial" w:eastAsia="Arial" w:hAnsi="Arial" w:cs="Arial"/>
          <w:i/>
          <w:iCs/>
        </w:rPr>
        <w:t>”</w:t>
      </w:r>
      <w:r w:rsidR="008237C3">
        <w:rPr>
          <w:rFonts w:ascii="Arial" w:eastAsia="Arial" w:hAnsi="Arial" w:cs="Arial"/>
          <w:i/>
          <w:iCs/>
        </w:rPr>
        <w:t xml:space="preserve">. </w:t>
      </w:r>
    </w:p>
    <w:p w14:paraId="0D09B4C9" w14:textId="61979D52" w:rsidR="001D4E31" w:rsidRDefault="001C1D36" w:rsidP="00D675D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cumplimiento a lo anterior, el 25 siguiente, la denunciante a través de su autorizado</w:t>
      </w:r>
      <w:r w:rsidR="0094464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el licenciado Javier Soto Reyes, presentó escrito </w:t>
      </w:r>
      <w:r w:rsidR="0094464B">
        <w:rPr>
          <w:rFonts w:ascii="Arial" w:eastAsia="Arial" w:hAnsi="Arial" w:cs="Arial"/>
        </w:rPr>
        <w:t xml:space="preserve">ante la oficialía de partes de este órgano, </w:t>
      </w:r>
      <w:r>
        <w:rPr>
          <w:rFonts w:ascii="Arial" w:eastAsia="Arial" w:hAnsi="Arial" w:cs="Arial"/>
        </w:rPr>
        <w:t xml:space="preserve">mediante el </w:t>
      </w:r>
      <w:r w:rsidR="0094464B">
        <w:rPr>
          <w:rFonts w:ascii="Arial" w:eastAsia="Arial" w:hAnsi="Arial" w:cs="Arial"/>
        </w:rPr>
        <w:t>cual,</w:t>
      </w:r>
      <w:r>
        <w:rPr>
          <w:rFonts w:ascii="Arial" w:eastAsia="Arial" w:hAnsi="Arial" w:cs="Arial"/>
        </w:rPr>
        <w:t xml:space="preserve"> manifestó no contar con información de que se hubiese recibido notificación de cualquier tipo</w:t>
      </w:r>
      <w:r w:rsidR="0094464B">
        <w:rPr>
          <w:rFonts w:ascii="Arial" w:eastAsia="Arial" w:hAnsi="Arial" w:cs="Arial"/>
        </w:rPr>
        <w:t xml:space="preserve"> para la celebración de la audiencia de pruebas y alegatos con posterioridad a la reposición del procedimiento ordenada por la Sala Superior.</w:t>
      </w:r>
    </w:p>
    <w:p w14:paraId="05DE7B91" w14:textId="77777777" w:rsidR="0094464B" w:rsidRDefault="0094464B" w:rsidP="0094464B">
      <w:pPr>
        <w:pStyle w:val="Sinespaciado"/>
        <w:rPr>
          <w:rFonts w:eastAsia="Arial"/>
        </w:rPr>
      </w:pPr>
    </w:p>
    <w:p w14:paraId="4565E7F1" w14:textId="7C248087" w:rsidR="002730BE" w:rsidRDefault="0094464B" w:rsidP="002730B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ahí que, este Tribunal Electoral </w:t>
      </w:r>
      <w:r w:rsidR="00595A8D">
        <w:rPr>
          <w:rFonts w:ascii="Arial" w:eastAsia="Arial" w:hAnsi="Arial" w:cs="Arial"/>
        </w:rPr>
        <w:t xml:space="preserve">considere </w:t>
      </w:r>
      <w:r w:rsidR="002730BE">
        <w:rPr>
          <w:rFonts w:ascii="Arial" w:eastAsia="Arial" w:hAnsi="Arial" w:cs="Arial"/>
        </w:rPr>
        <w:t xml:space="preserve">que el hecho de que no se haya emplazado nuevamente a la parte denunciante a la audiencia de pruebas y alegatos, implica una vulneración a su derecho a una adecuada defensa y, por tanto, resulta necesario reponer el procedimiento en cuestión. </w:t>
      </w:r>
    </w:p>
    <w:p w14:paraId="517C063F" w14:textId="77777777" w:rsidR="002730BE" w:rsidRDefault="002730BE" w:rsidP="002730BE">
      <w:pPr>
        <w:pStyle w:val="Sinespaciado"/>
        <w:rPr>
          <w:rFonts w:eastAsia="Arial"/>
        </w:rPr>
      </w:pPr>
    </w:p>
    <w:p w14:paraId="0C8F03F2" w14:textId="72717A5D" w:rsidR="002730BE" w:rsidRDefault="002730BE" w:rsidP="002730B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Ello</w:t>
      </w:r>
      <w:r w:rsidR="001F1AE4">
        <w:rPr>
          <w:rFonts w:ascii="Arial" w:eastAsia="Arial" w:hAnsi="Arial" w:cs="Arial"/>
        </w:rPr>
        <w:t xml:space="preserve">, tomando en cuenta que </w:t>
      </w:r>
      <w:r w:rsidR="00B44DD7">
        <w:rPr>
          <w:rFonts w:ascii="Arial" w:eastAsia="Arial" w:hAnsi="Arial" w:cs="Arial"/>
        </w:rPr>
        <w:t xml:space="preserve">el objetivo de la reposición del procedimiento es respetar las </w:t>
      </w:r>
      <w:r w:rsidR="00B44DD7">
        <w:rPr>
          <w:rFonts w:ascii="Arial" w:eastAsia="Arial" w:hAnsi="Arial" w:cs="Arial"/>
          <w:b/>
        </w:rPr>
        <w:t xml:space="preserve">formalidades esenciales del procedimiento </w:t>
      </w:r>
      <w:r w:rsidR="00B44DD7">
        <w:rPr>
          <w:rFonts w:ascii="Arial" w:eastAsia="Arial" w:hAnsi="Arial" w:cs="Arial"/>
        </w:rPr>
        <w:t xml:space="preserve">que exige el artículo 14 del texto constitucional al garantizar el derecho de las partes </w:t>
      </w:r>
      <w:r>
        <w:rPr>
          <w:rFonts w:ascii="Arial" w:eastAsia="Arial" w:hAnsi="Arial" w:cs="Arial"/>
        </w:rPr>
        <w:t>al debido proceso</w:t>
      </w:r>
      <w:r w:rsidR="00B44DD7">
        <w:rPr>
          <w:rFonts w:ascii="Arial" w:eastAsia="Arial" w:hAnsi="Arial" w:cs="Arial"/>
        </w:rPr>
        <w:t>, es decir, que las o los involucrados en dicha controversia cuenten con un plazo prudente para poder formular sus defensas y alegatos, así como recabar las pruebas que estimen pertinentes. De ahí que no resulte ocioso lo ordenado por esta autoridad electoral.</w:t>
      </w:r>
      <w:r w:rsidRPr="002730BE">
        <w:rPr>
          <w:rFonts w:ascii="Arial" w:eastAsia="Arial" w:hAnsi="Arial" w:cs="Arial"/>
        </w:rPr>
        <w:t xml:space="preserve"> </w:t>
      </w:r>
    </w:p>
    <w:p w14:paraId="6E802A77" w14:textId="77777777" w:rsidR="002730BE" w:rsidRDefault="002730BE" w:rsidP="004B0DEA">
      <w:pPr>
        <w:pStyle w:val="Sinespaciado"/>
        <w:rPr>
          <w:rFonts w:eastAsia="Arial"/>
        </w:rPr>
      </w:pPr>
    </w:p>
    <w:p w14:paraId="1A55C8F7" w14:textId="32A44911" w:rsidR="005421A0" w:rsidRDefault="002730BE" w:rsidP="00723A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consecuencia, se debe ordenar a la autoridad sustanciadora -Instituto Electoral del Estado de Aguascalientes- la reposición del procedimiento especial sancionador IEE/PES/010/2022, para el efecto de que</w:t>
      </w:r>
      <w:r w:rsidR="00723A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fije nuevamente fecha de audiencia de pruebas y alegatos</w:t>
      </w:r>
      <w:r w:rsidR="00723A2A">
        <w:rPr>
          <w:rFonts w:ascii="Arial" w:eastAsia="Arial" w:hAnsi="Arial" w:cs="Arial"/>
        </w:rPr>
        <w:t xml:space="preserve"> y</w:t>
      </w:r>
      <w:r>
        <w:rPr>
          <w:rFonts w:ascii="Arial" w:eastAsia="Arial" w:hAnsi="Arial" w:cs="Arial"/>
          <w:b/>
          <w:bCs/>
          <w:i/>
          <w:iCs/>
        </w:rPr>
        <w:t xml:space="preserve"> </w:t>
      </w:r>
      <w:r>
        <w:rPr>
          <w:rFonts w:ascii="Arial" w:eastAsia="Arial" w:hAnsi="Arial" w:cs="Arial"/>
        </w:rPr>
        <w:t>notifique a la parte denunciante, tomando en cuenta el plazo previsto por el Código Electoral para ello.</w:t>
      </w:r>
    </w:p>
    <w:p w14:paraId="6393D2E3" w14:textId="77777777" w:rsidR="00723A2A" w:rsidRPr="004B0DEA" w:rsidRDefault="00723A2A" w:rsidP="004B0DEA">
      <w:pPr>
        <w:pStyle w:val="Sinespaciado"/>
        <w:rPr>
          <w:rFonts w:eastAsia="Arial"/>
          <w:sz w:val="14"/>
          <w:szCs w:val="14"/>
        </w:rPr>
      </w:pPr>
    </w:p>
    <w:p w14:paraId="6B6AE82D" w14:textId="48811029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V. </w:t>
      </w:r>
      <w:r>
        <w:rPr>
          <w:rFonts w:ascii="Arial" w:eastAsia="Arial" w:hAnsi="Arial" w:cs="Arial"/>
          <w:b/>
          <w:color w:val="000000"/>
        </w:rPr>
        <w:t>Efectos del acuerdo plenario</w:t>
      </w:r>
      <w:r w:rsidR="00B44DD7">
        <w:rPr>
          <w:rFonts w:ascii="Arial" w:eastAsia="Arial" w:hAnsi="Arial" w:cs="Arial"/>
          <w:b/>
          <w:color w:val="000000"/>
        </w:rPr>
        <w:t>:</w:t>
      </w:r>
    </w:p>
    <w:p w14:paraId="7F5A0725" w14:textId="77777777" w:rsidR="00321D2F" w:rsidRPr="005421A0" w:rsidRDefault="00321D2F" w:rsidP="00AD4484">
      <w:pPr>
        <w:pStyle w:val="Sinespaciado"/>
        <w:rPr>
          <w:sz w:val="18"/>
          <w:szCs w:val="18"/>
        </w:rPr>
      </w:pPr>
    </w:p>
    <w:p w14:paraId="4B7AC391" w14:textId="70E4D638" w:rsidR="001629C9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lo expuesto, se </w:t>
      </w:r>
      <w:r>
        <w:rPr>
          <w:rFonts w:ascii="Arial" w:eastAsia="Arial" w:hAnsi="Arial" w:cs="Arial"/>
          <w:b/>
        </w:rPr>
        <w:t>ordena remitir al Instituto local</w:t>
      </w:r>
      <w:r>
        <w:rPr>
          <w:rFonts w:ascii="Arial" w:eastAsia="Arial" w:hAnsi="Arial" w:cs="Arial"/>
        </w:rPr>
        <w:t xml:space="preserve"> las constancias originales que integraron el expediente IEE/PES/0</w:t>
      </w:r>
      <w:r w:rsidR="00723A2A">
        <w:rPr>
          <w:rFonts w:ascii="Arial" w:eastAsia="Arial" w:hAnsi="Arial" w:cs="Arial"/>
        </w:rPr>
        <w:t>1</w:t>
      </w:r>
      <w:r w:rsidR="001629C9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/2022, para que:</w:t>
      </w:r>
    </w:p>
    <w:p w14:paraId="60C2F9A6" w14:textId="77777777" w:rsidR="00321D2F" w:rsidRPr="005421A0" w:rsidRDefault="00321D2F" w:rsidP="005421A0">
      <w:pPr>
        <w:pStyle w:val="Sinespaciado"/>
        <w:rPr>
          <w:sz w:val="16"/>
          <w:szCs w:val="16"/>
        </w:rPr>
      </w:pPr>
    </w:p>
    <w:p w14:paraId="32F04FBD" w14:textId="3BFFBD54" w:rsidR="00321D2F" w:rsidRDefault="002B7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Reponga el procedimiento</w:t>
      </w:r>
      <w:r>
        <w:rPr>
          <w:rFonts w:ascii="Arial" w:eastAsia="Arial" w:hAnsi="Arial" w:cs="Arial"/>
          <w:color w:val="000000"/>
        </w:rPr>
        <w:t xml:space="preserve">, exclusivamente, para que </w:t>
      </w:r>
      <w:r w:rsidR="001629C9">
        <w:rPr>
          <w:rFonts w:ascii="Arial" w:eastAsia="Arial" w:hAnsi="Arial" w:cs="Arial"/>
        </w:rPr>
        <w:t>fije nuevamente la fecha de celebración de la audiencia de pruebas y alegatos, respetando el plazo de 3 días hábiles siguientes a la admisión, previsto por el Código Electoral y el Reglamento de Quejas y Denuncias Local</w:t>
      </w:r>
      <w:r w:rsidR="001629C9">
        <w:rPr>
          <w:rFonts w:ascii="Arial" w:eastAsia="Arial" w:hAnsi="Arial" w:cs="Arial"/>
          <w:color w:val="000000"/>
        </w:rPr>
        <w:t>.</w:t>
      </w:r>
    </w:p>
    <w:p w14:paraId="73200DC8" w14:textId="77777777" w:rsidR="001629C9" w:rsidRPr="005421A0" w:rsidRDefault="001629C9" w:rsidP="00AD4484">
      <w:pPr>
        <w:pStyle w:val="Sinespaciado"/>
        <w:rPr>
          <w:rFonts w:eastAsia="Arial"/>
          <w:sz w:val="16"/>
          <w:szCs w:val="16"/>
        </w:rPr>
      </w:pPr>
    </w:p>
    <w:p w14:paraId="646B401E" w14:textId="77777777" w:rsidR="004B0DEA" w:rsidRDefault="004B0DEA" w:rsidP="004B0D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Cite nuevamente </w:t>
      </w:r>
      <w:r>
        <w:rPr>
          <w:rFonts w:ascii="Arial" w:eastAsia="Arial" w:hAnsi="Arial" w:cs="Arial"/>
          <w:color w:val="000000"/>
        </w:rPr>
        <w:t xml:space="preserve">a las partes a la audiencia de pruebas y alegatos, a fin de que se desahoguen las pruebas ofrecidas por el denunciado y, a su vez, para que la parte denunciante rinda sus alegatos en relación a estas. </w:t>
      </w:r>
    </w:p>
    <w:p w14:paraId="44578FB8" w14:textId="77777777" w:rsidR="001629C9" w:rsidRPr="005421A0" w:rsidRDefault="001629C9" w:rsidP="001629C9">
      <w:pPr>
        <w:pStyle w:val="Prrafodelista"/>
        <w:ind w:left="284"/>
        <w:rPr>
          <w:rFonts w:ascii="Arial" w:eastAsia="Arial" w:hAnsi="Arial" w:cs="Arial"/>
          <w:sz w:val="16"/>
          <w:szCs w:val="16"/>
        </w:rPr>
      </w:pPr>
    </w:p>
    <w:p w14:paraId="0BD0A47F" w14:textId="5BD6E44C" w:rsidR="00321D2F" w:rsidRPr="001629C9" w:rsidRDefault="002B7505" w:rsidP="00AD448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 w:rsidRPr="001629C9">
        <w:rPr>
          <w:rFonts w:ascii="Arial" w:eastAsia="Arial" w:hAnsi="Arial" w:cs="Arial"/>
        </w:rPr>
        <w:t>Una vez celebrada dicha audiencia</w:t>
      </w:r>
      <w:r w:rsidRPr="001629C9">
        <w:rPr>
          <w:rFonts w:ascii="Arial" w:eastAsia="Arial" w:hAnsi="Arial" w:cs="Arial"/>
          <w:color w:val="000000"/>
        </w:rPr>
        <w:t xml:space="preserve">, </w:t>
      </w:r>
      <w:r w:rsidRPr="001629C9">
        <w:rPr>
          <w:rFonts w:ascii="Arial" w:eastAsia="Arial" w:hAnsi="Arial" w:cs="Arial"/>
          <w:b/>
          <w:color w:val="000000"/>
        </w:rPr>
        <w:t>remita</w:t>
      </w:r>
      <w:r w:rsidRPr="001629C9">
        <w:rPr>
          <w:rFonts w:ascii="Arial" w:eastAsia="Arial" w:hAnsi="Arial" w:cs="Arial"/>
          <w:color w:val="000000"/>
        </w:rPr>
        <w:t xml:space="preserve"> a este Tribunal el expediente IEE/PES/0</w:t>
      </w:r>
      <w:r w:rsidR="00723A2A">
        <w:rPr>
          <w:rFonts w:ascii="Arial" w:eastAsia="Arial" w:hAnsi="Arial" w:cs="Arial"/>
        </w:rPr>
        <w:t>1</w:t>
      </w:r>
      <w:r w:rsidR="005421A0">
        <w:rPr>
          <w:rFonts w:ascii="Arial" w:eastAsia="Arial" w:hAnsi="Arial" w:cs="Arial"/>
        </w:rPr>
        <w:t>0</w:t>
      </w:r>
      <w:r w:rsidRPr="001629C9">
        <w:rPr>
          <w:rFonts w:ascii="Arial" w:eastAsia="Arial" w:hAnsi="Arial" w:cs="Arial"/>
          <w:color w:val="000000"/>
        </w:rPr>
        <w:t>/202</w:t>
      </w:r>
      <w:r w:rsidRPr="001629C9">
        <w:rPr>
          <w:rFonts w:ascii="Arial" w:eastAsia="Arial" w:hAnsi="Arial" w:cs="Arial"/>
        </w:rPr>
        <w:t>2</w:t>
      </w:r>
      <w:r w:rsidRPr="001629C9">
        <w:rPr>
          <w:rFonts w:ascii="Arial" w:eastAsia="Arial" w:hAnsi="Arial" w:cs="Arial"/>
          <w:color w:val="000000"/>
        </w:rPr>
        <w:t xml:space="preserve"> para su resolución.</w:t>
      </w:r>
    </w:p>
    <w:p w14:paraId="349F9C32" w14:textId="77777777" w:rsidR="00321D2F" w:rsidRPr="005421A0" w:rsidRDefault="00321D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37F41E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VI. </w:t>
      </w:r>
      <w:r>
        <w:rPr>
          <w:rFonts w:ascii="Arial" w:eastAsia="Arial" w:hAnsi="Arial" w:cs="Arial"/>
          <w:b/>
          <w:color w:val="000000"/>
        </w:rPr>
        <w:t>Se acuerda:</w:t>
      </w:r>
    </w:p>
    <w:p w14:paraId="7F9D0773" w14:textId="77777777" w:rsidR="00321D2F" w:rsidRPr="005421A0" w:rsidRDefault="00321D2F" w:rsidP="001629C9">
      <w:pPr>
        <w:pStyle w:val="Sinespaciado"/>
        <w:rPr>
          <w:sz w:val="12"/>
          <w:szCs w:val="12"/>
        </w:rPr>
      </w:pPr>
    </w:p>
    <w:p w14:paraId="4633BDD7" w14:textId="69BF5DAE" w:rsidR="00321D2F" w:rsidRDefault="002B7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Primero.</w:t>
      </w:r>
      <w:r>
        <w:rPr>
          <w:rFonts w:ascii="Arial" w:eastAsia="Arial" w:hAnsi="Arial" w:cs="Arial"/>
        </w:rPr>
        <w:t xml:space="preserve"> Se ordena la reposición del procedimiento, en el expediente IEE/PES/0</w:t>
      </w:r>
      <w:r w:rsidR="00723A2A">
        <w:rPr>
          <w:rFonts w:ascii="Arial" w:eastAsia="Arial" w:hAnsi="Arial" w:cs="Arial"/>
        </w:rPr>
        <w:t>1</w:t>
      </w:r>
      <w:r w:rsidR="001629C9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/2022. </w:t>
      </w:r>
    </w:p>
    <w:p w14:paraId="4A06ACB5" w14:textId="77777777" w:rsidR="00321D2F" w:rsidRPr="005421A0" w:rsidRDefault="00321D2F" w:rsidP="00F43E54">
      <w:pPr>
        <w:pStyle w:val="Sinespaciado"/>
        <w:rPr>
          <w:sz w:val="16"/>
          <w:szCs w:val="16"/>
        </w:rPr>
      </w:pPr>
    </w:p>
    <w:p w14:paraId="7D1C8028" w14:textId="752995C6" w:rsidR="00321D2F" w:rsidRDefault="002B7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Segundo.</w:t>
      </w:r>
      <w:r>
        <w:rPr>
          <w:rFonts w:ascii="Arial" w:eastAsia="Arial" w:hAnsi="Arial" w:cs="Arial"/>
        </w:rPr>
        <w:t xml:space="preserve"> Se ordena remitir las actuaciones originales que integran el expediente (IEE/PES/0</w:t>
      </w:r>
      <w:r w:rsidR="00723A2A">
        <w:rPr>
          <w:rFonts w:ascii="Arial" w:eastAsia="Arial" w:hAnsi="Arial" w:cs="Arial"/>
        </w:rPr>
        <w:t>1</w:t>
      </w:r>
      <w:r w:rsidR="001629C9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/2021) al Instituto Estatal Electoral del Estado de Aguascalientes, para que el </w:t>
      </w:r>
      <w:proofErr w:type="gramStart"/>
      <w:r>
        <w:rPr>
          <w:rFonts w:ascii="Arial" w:eastAsia="Arial" w:hAnsi="Arial" w:cs="Arial"/>
        </w:rPr>
        <w:t>Secretario Ejecutivo</w:t>
      </w:r>
      <w:proofErr w:type="gramEnd"/>
      <w:r>
        <w:rPr>
          <w:rFonts w:ascii="Arial" w:eastAsia="Arial" w:hAnsi="Arial" w:cs="Arial"/>
        </w:rPr>
        <w:t xml:space="preserve"> del Consejo General, dé cumplimiento a los requerimientos precisados en el apartado de efectos del presente acuerdo. </w:t>
      </w:r>
    </w:p>
    <w:p w14:paraId="496D67A8" w14:textId="77777777" w:rsidR="00321D2F" w:rsidRPr="005421A0" w:rsidRDefault="00321D2F" w:rsidP="00F43E54">
      <w:pPr>
        <w:pStyle w:val="Sinespaciado"/>
        <w:rPr>
          <w:sz w:val="16"/>
          <w:szCs w:val="16"/>
        </w:rPr>
      </w:pPr>
    </w:p>
    <w:p w14:paraId="40844EE2" w14:textId="77777777" w:rsidR="00606734" w:rsidRDefault="002B7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Tercero.</w:t>
      </w:r>
      <w:r>
        <w:rPr>
          <w:rFonts w:ascii="Arial" w:eastAsia="Arial" w:hAnsi="Arial" w:cs="Arial"/>
        </w:rPr>
        <w:t xml:space="preserve"> </w:t>
      </w:r>
      <w:r w:rsidR="00606734">
        <w:rPr>
          <w:rFonts w:ascii="Arial" w:eastAsia="Arial" w:hAnsi="Arial" w:cs="Arial"/>
        </w:rPr>
        <w:t xml:space="preserve">Se </w:t>
      </w:r>
      <w:r w:rsidR="00606734">
        <w:rPr>
          <w:rFonts w:ascii="Arial" w:eastAsia="Arial" w:hAnsi="Arial" w:cs="Arial"/>
          <w:b/>
        </w:rPr>
        <w:t>instruye</w:t>
      </w:r>
      <w:r w:rsidR="00606734">
        <w:rPr>
          <w:rFonts w:ascii="Arial" w:eastAsia="Arial" w:hAnsi="Arial" w:cs="Arial"/>
        </w:rPr>
        <w:t xml:space="preserve"> a la Secretaría General de Acuerdos de este Tribunal Electoral, realice las diligencias necesarias para que a través de su conducto se</w:t>
      </w:r>
      <w:r w:rsidR="00606734">
        <w:rPr>
          <w:rFonts w:ascii="Arial" w:eastAsia="Arial" w:hAnsi="Arial" w:cs="Arial"/>
          <w:b/>
          <w:i/>
        </w:rPr>
        <w:t xml:space="preserve"> </w:t>
      </w:r>
      <w:r w:rsidR="00606734">
        <w:rPr>
          <w:rFonts w:ascii="Arial" w:eastAsia="Arial" w:hAnsi="Arial" w:cs="Arial"/>
        </w:rPr>
        <w:t>ordene el auxilio a la Comisión Estatal Electoral de Nuevo León para la notificación del presente acuerdo.</w:t>
      </w:r>
    </w:p>
    <w:p w14:paraId="6E806E1D" w14:textId="77777777" w:rsidR="00606734" w:rsidRDefault="00606734" w:rsidP="00606734">
      <w:pPr>
        <w:pStyle w:val="Sinespaciado"/>
        <w:rPr>
          <w:rFonts w:eastAsia="Arial"/>
        </w:rPr>
      </w:pPr>
    </w:p>
    <w:p w14:paraId="052E6BE1" w14:textId="07750783" w:rsidR="00321D2F" w:rsidRPr="00606734" w:rsidRDefault="006067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</w:rPr>
      </w:pPr>
      <w:r w:rsidRPr="00606734">
        <w:rPr>
          <w:rFonts w:ascii="Arial" w:eastAsia="Arial" w:hAnsi="Arial" w:cs="Arial"/>
          <w:b/>
          <w:bCs/>
        </w:rPr>
        <w:t>Notifíquese</w:t>
      </w:r>
      <w:r w:rsidR="002B7505" w:rsidRPr="00606734">
        <w:rPr>
          <w:rFonts w:ascii="Arial" w:eastAsia="Arial" w:hAnsi="Arial" w:cs="Arial"/>
          <w:b/>
          <w:bCs/>
        </w:rPr>
        <w:t>.</w:t>
      </w:r>
    </w:p>
    <w:p w14:paraId="60ED5407" w14:textId="77777777" w:rsidR="00321D2F" w:rsidRPr="005421A0" w:rsidRDefault="00321D2F" w:rsidP="00F43E54">
      <w:pPr>
        <w:pStyle w:val="Sinespaciado"/>
        <w:rPr>
          <w:rFonts w:eastAsia="Arial"/>
          <w:sz w:val="16"/>
          <w:szCs w:val="16"/>
        </w:rPr>
      </w:pPr>
    </w:p>
    <w:p w14:paraId="425F3423" w14:textId="77777777" w:rsidR="00606734" w:rsidRDefault="002B7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lo resolvió el Tribunal Electoral del Estado de Aguascalientes, por las Magistradas y el Magistrado que lo integran, ante el </w:t>
      </w:r>
      <w:proofErr w:type="gramStart"/>
      <w:r>
        <w:rPr>
          <w:rFonts w:ascii="Arial" w:eastAsia="Arial" w:hAnsi="Arial" w:cs="Arial"/>
          <w:color w:val="000000"/>
        </w:rPr>
        <w:t>Secretario General</w:t>
      </w:r>
      <w:proofErr w:type="gramEnd"/>
      <w:r>
        <w:rPr>
          <w:rFonts w:ascii="Arial" w:eastAsia="Arial" w:hAnsi="Arial" w:cs="Arial"/>
          <w:color w:val="000000"/>
        </w:rPr>
        <w:t xml:space="preserve"> de Acuerdos, quien autoriza y da fe. </w:t>
      </w:r>
    </w:p>
    <w:p w14:paraId="0BBD80B7" w14:textId="1B7714A1" w:rsidR="00321D2F" w:rsidRDefault="002B75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C2CB13E" w14:textId="77777777" w:rsidR="00321D2F" w:rsidRPr="004B0DEA" w:rsidRDefault="00321D2F" w:rsidP="004B0DEA">
      <w:pPr>
        <w:pStyle w:val="Sinespaciado"/>
        <w:rPr>
          <w:rFonts w:eastAsia="Arial"/>
        </w:rPr>
      </w:pPr>
    </w:p>
    <w:tbl>
      <w:tblPr>
        <w:tblW w:w="9120" w:type="dxa"/>
        <w:jc w:val="center"/>
        <w:tblLayout w:type="fixed"/>
        <w:tblLook w:val="0400" w:firstRow="0" w:lastRow="0" w:firstColumn="0" w:lastColumn="0" w:noHBand="0" w:noVBand="1"/>
      </w:tblPr>
      <w:tblGrid>
        <w:gridCol w:w="4559"/>
        <w:gridCol w:w="4561"/>
      </w:tblGrid>
      <w:tr w:rsidR="00606734" w14:paraId="7C8AC9BF" w14:textId="77777777" w:rsidTr="00403EB9">
        <w:trPr>
          <w:trHeight w:val="1463"/>
          <w:jc w:val="center"/>
        </w:trPr>
        <w:tc>
          <w:tcPr>
            <w:tcW w:w="9120" w:type="dxa"/>
            <w:gridSpan w:val="2"/>
          </w:tcPr>
          <w:p w14:paraId="49C2B287" w14:textId="141DF44C" w:rsidR="00606734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" w:name="_Hlk72842321"/>
            <w:r>
              <w:rPr>
                <w:rFonts w:ascii="Arial" w:eastAsia="Arial" w:hAnsi="Arial" w:cs="Arial"/>
                <w:b/>
                <w:color w:val="000000"/>
              </w:rPr>
              <w:t>MAGISTRADA PRESIDENTA</w:t>
            </w:r>
          </w:p>
          <w:p w14:paraId="4D47D117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72D3659" w14:textId="5C31B35E" w:rsidR="00606734" w:rsidRPr="003A391D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CLAUDIA ELOISA DÍAZ DE LEÓN GONZÁLEZ</w:t>
            </w:r>
          </w:p>
        </w:tc>
      </w:tr>
      <w:tr w:rsidR="00606734" w14:paraId="6B0F9DF1" w14:textId="77777777" w:rsidTr="00403EB9">
        <w:trPr>
          <w:trHeight w:val="1549"/>
          <w:jc w:val="center"/>
        </w:trPr>
        <w:tc>
          <w:tcPr>
            <w:tcW w:w="4559" w:type="dxa"/>
          </w:tcPr>
          <w:p w14:paraId="736AA749" w14:textId="15151469" w:rsidR="00606734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MAGISTRADA</w:t>
            </w:r>
          </w:p>
          <w:p w14:paraId="5DA081F2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1A60670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LAURA HORTENSIA </w:t>
            </w:r>
          </w:p>
          <w:p w14:paraId="0951FB9D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LLAMAS HERNÁNDEZ</w:t>
            </w:r>
          </w:p>
        </w:tc>
        <w:tc>
          <w:tcPr>
            <w:tcW w:w="4561" w:type="dxa"/>
          </w:tcPr>
          <w:p w14:paraId="292E7281" w14:textId="77777777" w:rsidR="00606734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MAGISTRADO</w:t>
            </w:r>
          </w:p>
          <w:p w14:paraId="75EB88BD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7E9BE9B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HÉCTOR SALVADOR</w:t>
            </w:r>
          </w:p>
          <w:p w14:paraId="0D423B92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HERNÁNDEZ GALLEGOS</w:t>
            </w:r>
          </w:p>
          <w:p w14:paraId="40F3FBCC" w14:textId="77777777" w:rsidR="00606734" w:rsidRPr="003A391D" w:rsidRDefault="00606734" w:rsidP="00403EB9">
            <w:pPr>
              <w:rPr>
                <w:rFonts w:eastAsia="Arial"/>
                <w:sz w:val="36"/>
                <w:szCs w:val="36"/>
              </w:rPr>
            </w:pPr>
          </w:p>
        </w:tc>
      </w:tr>
      <w:tr w:rsidR="00606734" w14:paraId="54F80EC6" w14:textId="77777777" w:rsidTr="00403EB9">
        <w:trPr>
          <w:jc w:val="center"/>
        </w:trPr>
        <w:tc>
          <w:tcPr>
            <w:tcW w:w="9120" w:type="dxa"/>
            <w:gridSpan w:val="2"/>
          </w:tcPr>
          <w:p w14:paraId="512B28C7" w14:textId="79BAF9FB" w:rsidR="00606734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SECRETARIO GENERAL DE ACUERDOS</w:t>
            </w:r>
          </w:p>
          <w:p w14:paraId="7FC82871" w14:textId="77777777" w:rsidR="00606734" w:rsidRDefault="00606734" w:rsidP="00403E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CC46233" w14:textId="77777777" w:rsidR="00606734" w:rsidRDefault="00606734" w:rsidP="00403EB9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JESUS OCIEL BAENA SAUCEDO</w:t>
            </w:r>
          </w:p>
        </w:tc>
      </w:tr>
      <w:bookmarkEnd w:id="1"/>
    </w:tbl>
    <w:p w14:paraId="25176A26" w14:textId="77777777" w:rsidR="00321D2F" w:rsidRDefault="00321D2F">
      <w:pPr>
        <w:spacing w:after="160" w:line="360" w:lineRule="auto"/>
        <w:rPr>
          <w:rFonts w:ascii="Arial" w:eastAsia="Arial" w:hAnsi="Arial" w:cs="Arial"/>
        </w:rPr>
      </w:pPr>
    </w:p>
    <w:sectPr w:rsidR="00321D2F" w:rsidSect="00606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268" w:right="1134" w:bottom="1276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35F8" w14:textId="77777777" w:rsidR="00BA7CB2" w:rsidRDefault="00BA7CB2">
      <w:r>
        <w:separator/>
      </w:r>
    </w:p>
  </w:endnote>
  <w:endnote w:type="continuationSeparator" w:id="0">
    <w:p w14:paraId="35E02A15" w14:textId="77777777" w:rsidR="00BA7CB2" w:rsidRDefault="00BA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EE61" w14:textId="77777777" w:rsidR="00321D2F" w:rsidRDefault="00321D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9E94" w14:textId="77777777" w:rsidR="00321D2F" w:rsidRDefault="00321D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8D8B" w14:textId="77777777" w:rsidR="00321D2F" w:rsidRDefault="00321D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0699" w14:textId="77777777" w:rsidR="00BA7CB2" w:rsidRDefault="00BA7CB2">
      <w:r>
        <w:separator/>
      </w:r>
    </w:p>
  </w:footnote>
  <w:footnote w:type="continuationSeparator" w:id="0">
    <w:p w14:paraId="4AFCC9D0" w14:textId="77777777" w:rsidR="00BA7CB2" w:rsidRDefault="00BA7CB2">
      <w:r>
        <w:continuationSeparator/>
      </w:r>
    </w:p>
  </w:footnote>
  <w:footnote w:id="1">
    <w:p w14:paraId="08513432" w14:textId="77777777" w:rsidR="008D132C" w:rsidRPr="00A85D7B" w:rsidRDefault="008D132C" w:rsidP="002A5119">
      <w:pPr>
        <w:jc w:val="both"/>
        <w:rPr>
          <w:rFonts w:ascii="Arial" w:hAnsi="Arial" w:cs="Arial"/>
          <w:i/>
          <w:iCs/>
          <w:sz w:val="20"/>
        </w:rPr>
      </w:pPr>
      <w:r w:rsidRPr="00A85D7B">
        <w:rPr>
          <w:rFonts w:ascii="Arial" w:hAnsi="Arial" w:cs="Arial"/>
          <w:i/>
          <w:iCs/>
          <w:sz w:val="20"/>
          <w:vertAlign w:val="superscript"/>
        </w:rPr>
        <w:footnoteRef/>
      </w:r>
      <w:r w:rsidRPr="00A85D7B">
        <w:rPr>
          <w:rFonts w:ascii="Arial" w:hAnsi="Arial" w:cs="Arial"/>
          <w:i/>
          <w:iCs/>
          <w:sz w:val="20"/>
        </w:rPr>
        <w:t xml:space="preserve"> </w:t>
      </w:r>
      <w:r w:rsidRPr="00A85D7B">
        <w:rPr>
          <w:rFonts w:ascii="Arial" w:eastAsia="Arial" w:hAnsi="Arial" w:cs="Arial"/>
          <w:i/>
          <w:iCs/>
          <w:sz w:val="20"/>
        </w:rPr>
        <w:t>Testado por contener datos personales que hacen a personas físicas identificables, por lo que se apreciará la leyenda: ELIMINADO: DATO PERSONAL CONFIDENCIAL; con fundamento en los artículos 23, 68, fracción VI y 116, de la Ley General de Transparencia y Acceso a la Información Pública; así como el 3, fracción IX y 31, de la Ley General de Protección de Datos Personales en Posesión de Sujetos Obligados.</w:t>
      </w:r>
    </w:p>
  </w:footnote>
  <w:footnote w:id="2">
    <w:p w14:paraId="347E3A16" w14:textId="77777777" w:rsidR="00321D2F" w:rsidRDefault="002B7505" w:rsidP="002A51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Encargado de despacho de la Secretaría de Estudio.</w:t>
      </w:r>
      <w:r>
        <w:rPr>
          <w:color w:val="000000"/>
          <w:sz w:val="20"/>
          <w:szCs w:val="20"/>
        </w:rPr>
        <w:t xml:space="preserve"> </w:t>
      </w:r>
    </w:p>
  </w:footnote>
  <w:footnote w:id="3">
    <w:p w14:paraId="69873462" w14:textId="77777777" w:rsidR="00321D2F" w:rsidRDefault="002B7505" w:rsidP="002A511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Todas las fechas corresponden al 2022, salvo precisión en contrario. </w:t>
      </w:r>
    </w:p>
  </w:footnote>
  <w:footnote w:id="4">
    <w:p w14:paraId="7248516F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Criterio sostenido por la Sala Superior al emitir la Jurisprudencia 11/99, de rubro: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"MEDIOS DE IMPUGNACIÓN. LAS RESOLUCIONES O ACTUACIONES QUE IMPLIQUEN UNA MODIFICACIÓN EN LA SUSTANCIACIÓN DEL PROCEDIMIENTO ORDINARIO, SON COMPETENCIA DE LA SALA SUPERIOR Y NO DEL MAGISTRADO INSTRUCTOR"</w:t>
      </w:r>
      <w:r>
        <w:rPr>
          <w:rFonts w:ascii="Arial" w:eastAsia="Arial" w:hAnsi="Arial" w:cs="Arial"/>
          <w:color w:val="000000"/>
          <w:sz w:val="20"/>
          <w:szCs w:val="20"/>
        </w:rPr>
        <w:t>. Visible en la revista J</w:t>
      </w:r>
      <w:r>
        <w:rPr>
          <w:rFonts w:ascii="Arial" w:eastAsia="Arial" w:hAnsi="Arial" w:cs="Arial"/>
          <w:sz w:val="20"/>
          <w:szCs w:val="20"/>
          <w:highlight w:val="white"/>
        </w:rPr>
        <w:t>usticia Electoral del Tribunal Electoral del Poder Judicial de la Federación, suplemento 3, año 2000, páginas 17 y 18.</w:t>
      </w:r>
    </w:p>
  </w:footnote>
  <w:footnote w:id="5">
    <w:p w14:paraId="27FFDFEE" w14:textId="77777777" w:rsidR="00321D2F" w:rsidRDefault="002B750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Tesis P./J. 47/95, de rubro: </w:t>
      </w:r>
      <w:r>
        <w:rPr>
          <w:rFonts w:ascii="Arial" w:eastAsia="Arial" w:hAnsi="Arial" w:cs="Arial"/>
          <w:i/>
          <w:sz w:val="20"/>
          <w:szCs w:val="20"/>
        </w:rPr>
        <w:t>“FORMALIDADES ESENCIALES DEL PROCEDIMIENTO. SON LAS QUE GARANTIZAN UNA ADECUADA Y OPORTUNA DEFENSA PREVIA AL ACTO PRIVATIVO</w:t>
      </w:r>
      <w:r>
        <w:rPr>
          <w:rFonts w:ascii="Arial" w:eastAsia="Arial" w:hAnsi="Arial" w:cs="Arial"/>
          <w:sz w:val="20"/>
          <w:szCs w:val="20"/>
        </w:rPr>
        <w:t xml:space="preserve">”, visible en la </w:t>
      </w:r>
      <w:r>
        <w:rPr>
          <w:rFonts w:ascii="Arial" w:eastAsia="Arial" w:hAnsi="Arial" w:cs="Arial"/>
          <w:color w:val="212529"/>
          <w:sz w:val="20"/>
          <w:szCs w:val="20"/>
        </w:rPr>
        <w:t>Gaceta del Semanario Judicial de la Federación de la Suprema Corte de Justicia de la Nación, núm. 53, año 1992, página 34.</w:t>
      </w:r>
    </w:p>
  </w:footnote>
  <w:footnote w:id="6">
    <w:p w14:paraId="1E3E7AB7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Artículo 274.- El Tribunal será competente para resolver sobre el procedimiento especial sancionador.</w:t>
      </w:r>
      <w:r>
        <w:rPr>
          <w:rFonts w:ascii="Arial" w:eastAsia="Arial" w:hAnsi="Arial" w:cs="Arial"/>
          <w:sz w:val="20"/>
          <w:szCs w:val="20"/>
        </w:rPr>
        <w:t xml:space="preserve"> [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]</w:t>
      </w:r>
    </w:p>
    <w:p w14:paraId="5DF67C5F" w14:textId="77777777" w:rsidR="00321D2F" w:rsidRDefault="002B750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II. Cuando advierta omisiones o deficiencias en la integración del expediente o en su tramitación, así como violación a las reglas establecidas en este Código, realizará diligencias para mejor proveer, o bien, las ordenará al Instituto señalando las que deba realizar y el plazo para llevarlas a cabo;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0DAD" w14:textId="53A66DAD" w:rsidR="00321D2F" w:rsidRDefault="007F6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pict w14:anchorId="75A84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469501" o:spid="_x0000_s1026" type="#_x0000_t136" style="position:absolute;margin-left:0;margin-top:0;width:591.9pt;height:91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 consul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8453" w14:textId="7811BBC5" w:rsidR="00321D2F" w:rsidRDefault="007F6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noProof/>
      </w:rPr>
      <w:pict w14:anchorId="41A87E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469502" o:spid="_x0000_s1027" type="#_x0000_t136" style="position:absolute;left:0;text-align:left;margin-left:0;margin-top:0;width:591.9pt;height:91.0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 consulta"/>
        </v:shape>
      </w:pict>
    </w:r>
    <w:sdt>
      <w:sdtPr>
        <w:rPr>
          <w:rFonts w:ascii="Arial" w:eastAsia="Arial" w:hAnsi="Arial" w:cs="Arial"/>
          <w:b/>
          <w:color w:val="000000"/>
          <w:sz w:val="18"/>
          <w:szCs w:val="18"/>
        </w:rPr>
        <w:id w:val="-433366354"/>
        <w:docPartObj>
          <w:docPartGallery w:val="Page Numbers (Margins)"/>
          <w:docPartUnique/>
        </w:docPartObj>
      </w:sdtPr>
      <w:sdtEndPr/>
      <w:sdtContent>
        <w:r w:rsidR="001629C9" w:rsidRPr="001629C9">
          <w:rPr>
            <w:rFonts w:ascii="Arial" w:eastAsia="Arial" w:hAnsi="Arial" w:cs="Arial"/>
            <w:b/>
            <w:noProof/>
            <w:color w:val="00000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91D1C3" wp14:editId="71D7DCF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8FFE8" w14:textId="77777777" w:rsidR="001629C9" w:rsidRDefault="001629C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91D1C3" id="Rectángulo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DQysEIBgIAAOcDAAAOAAAA&#10;AAAAAAAAAAAAAC4CAABkcnMvZTJvRG9jLnhtbFBLAQItABQABgAIAAAAIQBxpoaD3AAAAAQBAAAP&#10;AAAAAAAAAAAAAAAAAGAEAABkcnMvZG93bnJldi54bWxQSwUGAAAAAAQABADzAAAAaQUAAAAA&#10;" o:allowincell="f" stroked="f">
                  <v:textbox>
                    <w:txbxContent>
                      <w:p w14:paraId="5928FFE8" w14:textId="77777777" w:rsidR="001629C9" w:rsidRDefault="001629C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B7505">
      <w:rPr>
        <w:rFonts w:ascii="Arial" w:eastAsia="Arial" w:hAnsi="Arial" w:cs="Arial"/>
        <w:b/>
        <w:color w:val="000000"/>
        <w:sz w:val="18"/>
        <w:szCs w:val="18"/>
      </w:rPr>
      <w:t xml:space="preserve">                                                               </w:t>
    </w:r>
    <w:r w:rsidR="002B7505">
      <w:rPr>
        <w:noProof/>
      </w:rPr>
      <w:drawing>
        <wp:anchor distT="0" distB="0" distL="114300" distR="114300" simplePos="0" relativeHeight="251658240" behindDoc="0" locked="0" layoutInCell="1" hidden="0" allowOverlap="1" wp14:anchorId="1DBFE1DE" wp14:editId="6548CA1A">
          <wp:simplePos x="0" y="0"/>
          <wp:positionH relativeFrom="column">
            <wp:posOffset>81918</wp:posOffset>
          </wp:positionH>
          <wp:positionV relativeFrom="paragraph">
            <wp:posOffset>6986</wp:posOffset>
          </wp:positionV>
          <wp:extent cx="1000459" cy="1162438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459" cy="1162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E04761" w14:textId="77777777" w:rsidR="00321D2F" w:rsidRDefault="00321D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061F12CF" w14:textId="77777777" w:rsidR="00321D2F" w:rsidRDefault="00321D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entury Gothic" w:eastAsia="Century Gothic" w:hAnsi="Century Gothic" w:cs="Century Gothic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E040" w14:textId="3AA9F353" w:rsidR="00321D2F" w:rsidRDefault="007F61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pict w14:anchorId="407A9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469500" o:spid="_x0000_s1025" type="#_x0000_t136" style="position:absolute;margin-left:0;margin-top:0;width:591.9pt;height:91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 consul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A7D"/>
    <w:multiLevelType w:val="multilevel"/>
    <w:tmpl w:val="8B7C9C96"/>
    <w:lvl w:ilvl="0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F"/>
    <w:rsid w:val="00032BDC"/>
    <w:rsid w:val="00095C88"/>
    <w:rsid w:val="000A19E5"/>
    <w:rsid w:val="000B7094"/>
    <w:rsid w:val="000C26CC"/>
    <w:rsid w:val="00107B3E"/>
    <w:rsid w:val="00136B93"/>
    <w:rsid w:val="00137BCA"/>
    <w:rsid w:val="001629C9"/>
    <w:rsid w:val="001B2F6C"/>
    <w:rsid w:val="001C1D36"/>
    <w:rsid w:val="001D4E31"/>
    <w:rsid w:val="001F1AE4"/>
    <w:rsid w:val="002730BE"/>
    <w:rsid w:val="002A1264"/>
    <w:rsid w:val="002A5119"/>
    <w:rsid w:val="002B7505"/>
    <w:rsid w:val="002C163B"/>
    <w:rsid w:val="00321D2F"/>
    <w:rsid w:val="00321F12"/>
    <w:rsid w:val="003871D2"/>
    <w:rsid w:val="004B0DEA"/>
    <w:rsid w:val="004F0976"/>
    <w:rsid w:val="005421A0"/>
    <w:rsid w:val="00546A50"/>
    <w:rsid w:val="00595A8D"/>
    <w:rsid w:val="00606734"/>
    <w:rsid w:val="00634582"/>
    <w:rsid w:val="00652360"/>
    <w:rsid w:val="00723A2A"/>
    <w:rsid w:val="007B24AB"/>
    <w:rsid w:val="007F612F"/>
    <w:rsid w:val="008237C3"/>
    <w:rsid w:val="00830AA3"/>
    <w:rsid w:val="008359E8"/>
    <w:rsid w:val="008512B1"/>
    <w:rsid w:val="008D132C"/>
    <w:rsid w:val="00905252"/>
    <w:rsid w:val="00910DEB"/>
    <w:rsid w:val="009401EC"/>
    <w:rsid w:val="0094464B"/>
    <w:rsid w:val="00A16989"/>
    <w:rsid w:val="00A86AE4"/>
    <w:rsid w:val="00A90830"/>
    <w:rsid w:val="00AD4484"/>
    <w:rsid w:val="00B16B5E"/>
    <w:rsid w:val="00B44DD7"/>
    <w:rsid w:val="00BA7CB2"/>
    <w:rsid w:val="00BC252F"/>
    <w:rsid w:val="00C30F9B"/>
    <w:rsid w:val="00C750B4"/>
    <w:rsid w:val="00D675D5"/>
    <w:rsid w:val="00DF0FEA"/>
    <w:rsid w:val="00E7394A"/>
    <w:rsid w:val="00EA7C2C"/>
    <w:rsid w:val="00ED281C"/>
    <w:rsid w:val="00F20E92"/>
    <w:rsid w:val="00F43E54"/>
    <w:rsid w:val="00FD188F"/>
    <w:rsid w:val="00F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CEB40"/>
  <w15:docId w15:val="{D1D43226-0331-4C74-8293-A832A4F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A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20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08AE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15B1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5B17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5B17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215B1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1C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1CA4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CA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0F64"/>
    <w:pPr>
      <w:ind w:left="720"/>
      <w:contextualSpacing/>
    </w:pPr>
  </w:style>
  <w:style w:type="paragraph" w:styleId="Sinespaciado">
    <w:name w:val="No Spacing"/>
    <w:uiPriority w:val="1"/>
    <w:qFormat/>
    <w:rsid w:val="00390C82"/>
  </w:style>
  <w:style w:type="character" w:styleId="Mencinsinresolver">
    <w:name w:val="Unresolved Mention"/>
    <w:basedOn w:val="Fuentedeprrafopredeter"/>
    <w:uiPriority w:val="99"/>
    <w:semiHidden/>
    <w:unhideWhenUsed/>
    <w:rsid w:val="00846CEE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L6XbTaBn/KxCqG81uIIYIRjcw==">AMUW2mXHLyA5GQBo3xEQrGgcaB90Pvq7YD7fVeUbLEY4m/0EqLaW8qpAwxSvYiwY8ybPl4vN2c7J9g/xwmqE6DBevB116eFR0yJy6j8gSrMren+shj1yXX6YNivXrvLheINrDf7PCLid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62241D-D0CC-4EAC-BCBC-F53D6666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Cindy Macias</dc:creator>
  <cp:lastModifiedBy>Auxiliar Juridico</cp:lastModifiedBy>
  <cp:revision>2</cp:revision>
  <cp:lastPrinted>2022-05-27T19:20:00Z</cp:lastPrinted>
  <dcterms:created xsi:type="dcterms:W3CDTF">2022-05-27T19:54:00Z</dcterms:created>
  <dcterms:modified xsi:type="dcterms:W3CDTF">2022-05-27T19:54:00Z</dcterms:modified>
</cp:coreProperties>
</file>