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E4BA" w14:textId="77777777" w:rsidR="00256634" w:rsidRDefault="000F0709">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1CE77895" w14:textId="77777777" w:rsidR="00256634" w:rsidRDefault="00256634">
      <w:pPr>
        <w:pBdr>
          <w:top w:val="nil"/>
          <w:left w:val="nil"/>
          <w:bottom w:val="nil"/>
          <w:right w:val="nil"/>
          <w:between w:val="nil"/>
        </w:pBdr>
        <w:ind w:left="3826"/>
        <w:rPr>
          <w:rFonts w:ascii="Arial" w:eastAsia="Arial" w:hAnsi="Arial" w:cs="Arial"/>
          <w:color w:val="000000"/>
          <w:sz w:val="14"/>
          <w:szCs w:val="14"/>
        </w:rPr>
      </w:pPr>
    </w:p>
    <w:p w14:paraId="7709AAC4" w14:textId="77777777" w:rsidR="00256634" w:rsidRDefault="000F0709">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TEEA-PES-020/2022.</w:t>
      </w:r>
      <w:r>
        <w:rPr>
          <w:rFonts w:ascii="Arial" w:eastAsia="Arial" w:hAnsi="Arial" w:cs="Arial"/>
          <w:b/>
          <w:sz w:val="24"/>
          <w:szCs w:val="24"/>
        </w:rPr>
        <w:t xml:space="preserve"> </w:t>
      </w:r>
    </w:p>
    <w:p w14:paraId="48E91BB6" w14:textId="77777777" w:rsidR="00256634" w:rsidRDefault="00256634">
      <w:pPr>
        <w:ind w:left="3826" w:right="36"/>
        <w:jc w:val="both"/>
        <w:rPr>
          <w:rFonts w:ascii="Arial" w:eastAsia="Arial" w:hAnsi="Arial" w:cs="Arial"/>
          <w:b/>
          <w:sz w:val="14"/>
          <w:szCs w:val="14"/>
        </w:rPr>
      </w:pPr>
    </w:p>
    <w:p w14:paraId="31D8EE5C" w14:textId="77777777" w:rsidR="00256634" w:rsidRDefault="000F0709">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ISRAEL ÁNGEL RAMÍREZ, REPRESENTANTE SUPLENTE DEL PARTIDO ACCIÓN NACIONAL Y DE LA COALICIÓN “VA POR AGUASCALIENTES”.</w:t>
      </w:r>
    </w:p>
    <w:p w14:paraId="6A3CFFB5" w14:textId="77777777" w:rsidR="00256634" w:rsidRDefault="00256634">
      <w:pPr>
        <w:pBdr>
          <w:top w:val="nil"/>
          <w:left w:val="nil"/>
          <w:bottom w:val="nil"/>
          <w:right w:val="nil"/>
          <w:between w:val="nil"/>
        </w:pBdr>
        <w:ind w:left="3826"/>
        <w:rPr>
          <w:rFonts w:ascii="Arial" w:eastAsia="Arial" w:hAnsi="Arial" w:cs="Arial"/>
          <w:color w:val="000000"/>
          <w:sz w:val="14"/>
          <w:szCs w:val="14"/>
        </w:rPr>
      </w:pPr>
    </w:p>
    <w:p w14:paraId="412ABD1D" w14:textId="77777777" w:rsidR="00256634" w:rsidRDefault="000F0709">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1FA5CCC4" w14:textId="77777777" w:rsidR="00256634" w:rsidRDefault="00256634">
      <w:pPr>
        <w:pBdr>
          <w:top w:val="nil"/>
          <w:left w:val="nil"/>
          <w:bottom w:val="nil"/>
          <w:right w:val="nil"/>
          <w:between w:val="nil"/>
        </w:pBdr>
        <w:ind w:left="3826"/>
        <w:rPr>
          <w:rFonts w:ascii="Arial" w:eastAsia="Arial" w:hAnsi="Arial" w:cs="Arial"/>
          <w:color w:val="000000"/>
          <w:sz w:val="14"/>
          <w:szCs w:val="14"/>
        </w:rPr>
      </w:pPr>
    </w:p>
    <w:p w14:paraId="36AD3CC4" w14:textId="77777777" w:rsidR="00256634" w:rsidRDefault="000F0709">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2F010292" w14:textId="77777777" w:rsidR="00256634" w:rsidRDefault="00256634">
      <w:pPr>
        <w:pBdr>
          <w:top w:val="nil"/>
          <w:left w:val="nil"/>
          <w:bottom w:val="nil"/>
          <w:right w:val="nil"/>
          <w:between w:val="nil"/>
        </w:pBdr>
        <w:ind w:left="3826"/>
        <w:rPr>
          <w:rFonts w:ascii="Arial" w:eastAsia="Arial" w:hAnsi="Arial" w:cs="Arial"/>
          <w:color w:val="000000"/>
          <w:sz w:val="14"/>
          <w:szCs w:val="14"/>
        </w:rPr>
      </w:pPr>
    </w:p>
    <w:p w14:paraId="54CC6CEF" w14:textId="77777777" w:rsidR="00256634" w:rsidRDefault="000F0709">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417BFB1E" w14:textId="77777777" w:rsidR="00256634" w:rsidRDefault="00256634">
      <w:pPr>
        <w:ind w:left="3826" w:right="36"/>
        <w:jc w:val="both"/>
        <w:rPr>
          <w:rFonts w:ascii="Arial" w:eastAsia="Arial" w:hAnsi="Arial" w:cs="Arial"/>
          <w:sz w:val="14"/>
          <w:szCs w:val="14"/>
        </w:rPr>
      </w:pPr>
    </w:p>
    <w:p w14:paraId="4C5D9620" w14:textId="77777777" w:rsidR="00256634" w:rsidRDefault="000F0709">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3D551680" w14:textId="77777777" w:rsidR="00256634" w:rsidRDefault="00256634">
      <w:pPr>
        <w:ind w:left="3826" w:right="36"/>
        <w:jc w:val="both"/>
        <w:rPr>
          <w:rFonts w:ascii="Arial" w:eastAsia="Arial" w:hAnsi="Arial" w:cs="Arial"/>
          <w:sz w:val="24"/>
          <w:szCs w:val="24"/>
        </w:rPr>
      </w:pPr>
    </w:p>
    <w:p w14:paraId="044D1448" w14:textId="77777777" w:rsidR="00256634" w:rsidRDefault="00256634">
      <w:pPr>
        <w:pBdr>
          <w:top w:val="nil"/>
          <w:left w:val="nil"/>
          <w:bottom w:val="nil"/>
          <w:right w:val="nil"/>
          <w:between w:val="nil"/>
        </w:pBdr>
        <w:rPr>
          <w:color w:val="000000"/>
        </w:rPr>
      </w:pPr>
    </w:p>
    <w:p w14:paraId="1C0FB13A" w14:textId="03642245" w:rsidR="00256634" w:rsidRDefault="000F0709">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Aguascalientes, Aguascalientes</w:t>
      </w:r>
      <w:r w:rsidRPr="00647460">
        <w:rPr>
          <w:rFonts w:ascii="Arial" w:eastAsia="Arial" w:hAnsi="Arial" w:cs="Arial"/>
          <w:sz w:val="24"/>
          <w:szCs w:val="24"/>
        </w:rPr>
        <w:t xml:space="preserve">, </w:t>
      </w:r>
      <w:r w:rsidRPr="00647460">
        <w:rPr>
          <w:rFonts w:ascii="Arial" w:eastAsia="Arial" w:hAnsi="Arial" w:cs="Arial"/>
          <w:color w:val="000000"/>
          <w:sz w:val="24"/>
          <w:szCs w:val="24"/>
        </w:rPr>
        <w:t xml:space="preserve">a </w:t>
      </w:r>
      <w:r w:rsidR="00B37ECD" w:rsidRPr="00647460">
        <w:rPr>
          <w:rFonts w:ascii="Arial" w:eastAsia="Arial" w:hAnsi="Arial" w:cs="Arial"/>
          <w:sz w:val="24"/>
          <w:szCs w:val="24"/>
        </w:rPr>
        <w:t>12</w:t>
      </w:r>
      <w:r w:rsidRPr="00647460">
        <w:rPr>
          <w:rFonts w:ascii="Arial" w:eastAsia="Arial" w:hAnsi="Arial" w:cs="Arial"/>
          <w:color w:val="000000"/>
          <w:sz w:val="24"/>
          <w:szCs w:val="24"/>
        </w:rPr>
        <w:t xml:space="preserve"> de mayo de 2022</w:t>
      </w:r>
      <w:r w:rsidRPr="00647460">
        <w:rPr>
          <w:rFonts w:ascii="Arial" w:eastAsia="Arial" w:hAnsi="Arial" w:cs="Arial"/>
          <w:sz w:val="24"/>
          <w:szCs w:val="24"/>
        </w:rPr>
        <w:t>.</w:t>
      </w:r>
    </w:p>
    <w:p w14:paraId="210EB1D9" w14:textId="77777777" w:rsidR="00256634" w:rsidRDefault="00256634">
      <w:pPr>
        <w:pBdr>
          <w:top w:val="nil"/>
          <w:left w:val="nil"/>
          <w:bottom w:val="nil"/>
          <w:right w:val="nil"/>
          <w:between w:val="nil"/>
        </w:pBdr>
        <w:rPr>
          <w:b/>
          <w:color w:val="000000"/>
          <w:sz w:val="18"/>
          <w:szCs w:val="18"/>
        </w:rPr>
      </w:pPr>
    </w:p>
    <w:p w14:paraId="4BC99903" w14:textId="26DDCCE0" w:rsidR="00256634" w:rsidRPr="008A1281" w:rsidRDefault="000F0709" w:rsidP="002234D5">
      <w:pPr>
        <w:spacing w:after="240"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que declara</w:t>
      </w:r>
      <w:r w:rsidR="008A1281">
        <w:rPr>
          <w:rFonts w:ascii="Arial" w:eastAsia="Arial" w:hAnsi="Arial" w:cs="Arial"/>
          <w:sz w:val="24"/>
          <w:szCs w:val="24"/>
        </w:rPr>
        <w:t xml:space="preserve">: </w:t>
      </w:r>
      <w:r w:rsidR="008A1281">
        <w:rPr>
          <w:rFonts w:ascii="Arial" w:eastAsia="Arial" w:hAnsi="Arial" w:cs="Arial"/>
          <w:b/>
          <w:bCs/>
          <w:i/>
          <w:iCs/>
          <w:sz w:val="24"/>
          <w:szCs w:val="24"/>
        </w:rPr>
        <w:t>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 xml:space="preserve">existencia </w:t>
      </w:r>
      <w:r>
        <w:rPr>
          <w:rFonts w:ascii="Arial" w:eastAsia="Arial" w:hAnsi="Arial" w:cs="Arial"/>
          <w:sz w:val="24"/>
          <w:szCs w:val="24"/>
        </w:rPr>
        <w:t>de la infracción de calumnia en perjuicio de los institutos políticos Partido Revolucionario Institucional y Partido Acción Nacional, atribuida a la ciudadana Nora Ruvalcaba Gámez, candidata a la gubernatura del estado por el partido Morena</w:t>
      </w:r>
      <w:r w:rsidR="004323D1">
        <w:rPr>
          <w:rFonts w:ascii="Arial" w:eastAsia="Arial" w:hAnsi="Arial" w:cs="Arial"/>
          <w:sz w:val="24"/>
          <w:szCs w:val="24"/>
        </w:rPr>
        <w:t>,</w:t>
      </w:r>
      <w:r>
        <w:rPr>
          <w:rFonts w:ascii="Arial" w:eastAsia="Arial" w:hAnsi="Arial" w:cs="Arial"/>
          <w:sz w:val="24"/>
          <w:szCs w:val="24"/>
        </w:rPr>
        <w:t xml:space="preserve"> derivado de la difusión de un video a través de </w:t>
      </w:r>
      <w:r w:rsidR="003E3F27">
        <w:rPr>
          <w:rFonts w:ascii="Arial" w:eastAsia="Arial" w:hAnsi="Arial" w:cs="Arial"/>
          <w:sz w:val="24"/>
          <w:szCs w:val="24"/>
        </w:rPr>
        <w:t xml:space="preserve">distintas de sus </w:t>
      </w:r>
      <w:r>
        <w:rPr>
          <w:rFonts w:ascii="Arial" w:eastAsia="Arial" w:hAnsi="Arial" w:cs="Arial"/>
          <w:sz w:val="24"/>
          <w:szCs w:val="24"/>
        </w:rPr>
        <w:t>redes sociales, que cont</w:t>
      </w:r>
      <w:r w:rsidR="004323D1">
        <w:rPr>
          <w:rFonts w:ascii="Arial" w:eastAsia="Arial" w:hAnsi="Arial" w:cs="Arial"/>
          <w:sz w:val="24"/>
          <w:szCs w:val="24"/>
        </w:rPr>
        <w:t>ía</w:t>
      </w:r>
      <w:r>
        <w:rPr>
          <w:rFonts w:ascii="Arial" w:eastAsia="Arial" w:hAnsi="Arial" w:cs="Arial"/>
          <w:sz w:val="24"/>
          <w:szCs w:val="24"/>
        </w:rPr>
        <w:t xml:space="preserve"> expresiones </w:t>
      </w:r>
      <w:r w:rsidR="004323D1">
        <w:rPr>
          <w:rFonts w:ascii="Arial" w:eastAsia="Arial" w:hAnsi="Arial" w:cs="Arial"/>
          <w:sz w:val="24"/>
          <w:szCs w:val="24"/>
        </w:rPr>
        <w:t xml:space="preserve">que constituyen </w:t>
      </w:r>
      <w:r>
        <w:rPr>
          <w:rFonts w:ascii="Arial" w:eastAsia="Arial" w:hAnsi="Arial" w:cs="Arial"/>
          <w:sz w:val="24"/>
          <w:szCs w:val="24"/>
        </w:rPr>
        <w:t>calumn</w:t>
      </w:r>
      <w:r w:rsidR="004323D1">
        <w:rPr>
          <w:rFonts w:ascii="Arial" w:eastAsia="Arial" w:hAnsi="Arial" w:cs="Arial"/>
          <w:sz w:val="24"/>
          <w:szCs w:val="24"/>
        </w:rPr>
        <w:t>ia</w:t>
      </w:r>
      <w:r w:rsidR="008A1281">
        <w:rPr>
          <w:rFonts w:ascii="Arial" w:eastAsia="Arial" w:hAnsi="Arial" w:cs="Arial"/>
          <w:sz w:val="24"/>
          <w:szCs w:val="24"/>
        </w:rPr>
        <w:t xml:space="preserve"> y, </w:t>
      </w:r>
      <w:r w:rsidR="008A1281">
        <w:rPr>
          <w:rFonts w:ascii="Arial" w:eastAsia="Arial" w:hAnsi="Arial" w:cs="Arial"/>
          <w:b/>
          <w:bCs/>
          <w:i/>
          <w:iCs/>
          <w:sz w:val="24"/>
          <w:szCs w:val="24"/>
        </w:rPr>
        <w:t xml:space="preserve">b) </w:t>
      </w:r>
      <w:r w:rsidR="008A1281">
        <w:rPr>
          <w:rFonts w:ascii="Arial" w:eastAsia="Arial" w:hAnsi="Arial" w:cs="Arial"/>
          <w:sz w:val="24"/>
          <w:szCs w:val="24"/>
        </w:rPr>
        <w:t xml:space="preserve">la existencia de la infracción de </w:t>
      </w:r>
      <w:r w:rsidR="008A1281" w:rsidRPr="008A1281">
        <w:rPr>
          <w:rFonts w:ascii="Arial" w:eastAsia="Arial" w:hAnsi="Arial" w:cs="Arial"/>
          <w:i/>
          <w:iCs/>
          <w:sz w:val="24"/>
          <w:szCs w:val="24"/>
        </w:rPr>
        <w:t>culpa in vigilando</w:t>
      </w:r>
      <w:r w:rsidR="008A1281" w:rsidRPr="008A1281">
        <w:rPr>
          <w:rFonts w:ascii="Arial" w:eastAsia="Arial" w:hAnsi="Arial" w:cs="Arial"/>
          <w:sz w:val="24"/>
          <w:szCs w:val="24"/>
        </w:rPr>
        <w:t xml:space="preserve"> atribuida al partido político Morena.</w:t>
      </w:r>
    </w:p>
    <w:p w14:paraId="0FFFF75D" w14:textId="466CEADC" w:rsidR="00256634" w:rsidRDefault="000F0709">
      <w:pPr>
        <w:spacing w:before="240" w:after="240" w:line="360" w:lineRule="auto"/>
        <w:jc w:val="both"/>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del video denunciado, </w:t>
      </w:r>
      <w:r w:rsidR="003E3F27">
        <w:rPr>
          <w:rFonts w:ascii="Arial" w:eastAsia="Arial" w:hAnsi="Arial" w:cs="Arial"/>
          <w:sz w:val="24"/>
          <w:szCs w:val="24"/>
        </w:rPr>
        <w:t xml:space="preserve">fue posible advertir </w:t>
      </w:r>
      <w:r>
        <w:rPr>
          <w:rFonts w:ascii="Arial" w:eastAsia="Arial" w:hAnsi="Arial" w:cs="Arial"/>
          <w:sz w:val="24"/>
          <w:szCs w:val="24"/>
        </w:rPr>
        <w:t xml:space="preserve">que la candidata cuestionada </w:t>
      </w:r>
      <w:r w:rsidR="003E3F27">
        <w:rPr>
          <w:rFonts w:ascii="Arial" w:eastAsia="Arial" w:hAnsi="Arial" w:cs="Arial"/>
          <w:sz w:val="24"/>
          <w:szCs w:val="24"/>
        </w:rPr>
        <w:t xml:space="preserve">le </w:t>
      </w:r>
      <w:r>
        <w:rPr>
          <w:rFonts w:ascii="Arial" w:eastAsia="Arial" w:hAnsi="Arial" w:cs="Arial"/>
          <w:sz w:val="24"/>
          <w:szCs w:val="24"/>
        </w:rPr>
        <w:t xml:space="preserve">atribuyó de manera directa a los partidos denunciantes la comisión del delito de robo, sin que de las constancias que existen en el expediente se </w:t>
      </w:r>
      <w:r w:rsidR="003E3F27">
        <w:rPr>
          <w:rFonts w:ascii="Arial" w:eastAsia="Arial" w:hAnsi="Arial" w:cs="Arial"/>
          <w:sz w:val="24"/>
          <w:szCs w:val="24"/>
        </w:rPr>
        <w:t xml:space="preserve">lograra demostrar con prueba alguna </w:t>
      </w:r>
      <w:r>
        <w:rPr>
          <w:rFonts w:ascii="Arial" w:eastAsia="Arial" w:hAnsi="Arial" w:cs="Arial"/>
          <w:sz w:val="24"/>
          <w:szCs w:val="24"/>
        </w:rPr>
        <w:t>que sustente tal imputación</w:t>
      </w:r>
      <w:r w:rsidR="002667C7">
        <w:rPr>
          <w:rFonts w:ascii="Arial" w:eastAsia="Arial" w:hAnsi="Arial" w:cs="Arial"/>
          <w:sz w:val="24"/>
          <w:szCs w:val="24"/>
        </w:rPr>
        <w:t>, s</w:t>
      </w:r>
      <w:r>
        <w:rPr>
          <w:rFonts w:ascii="Arial" w:eastAsia="Arial" w:hAnsi="Arial" w:cs="Arial"/>
          <w:sz w:val="24"/>
          <w:szCs w:val="24"/>
        </w:rPr>
        <w:t xml:space="preserve">ituación que </w:t>
      </w:r>
      <w:r w:rsidR="003E3F27">
        <w:rPr>
          <w:rFonts w:ascii="Arial" w:eastAsia="Arial" w:hAnsi="Arial" w:cs="Arial"/>
          <w:sz w:val="24"/>
          <w:szCs w:val="24"/>
        </w:rPr>
        <w:t xml:space="preserve">implica </w:t>
      </w:r>
      <w:r>
        <w:rPr>
          <w:rFonts w:ascii="Arial" w:eastAsia="Arial" w:hAnsi="Arial" w:cs="Arial"/>
          <w:sz w:val="24"/>
          <w:szCs w:val="24"/>
        </w:rPr>
        <w:t xml:space="preserve">que la </w:t>
      </w:r>
      <w:r w:rsidR="003E3F27">
        <w:rPr>
          <w:rFonts w:ascii="Arial" w:eastAsia="Arial" w:hAnsi="Arial" w:cs="Arial"/>
          <w:sz w:val="24"/>
          <w:szCs w:val="24"/>
        </w:rPr>
        <w:t xml:space="preserve">parte </w:t>
      </w:r>
      <w:r>
        <w:rPr>
          <w:rFonts w:ascii="Arial" w:eastAsia="Arial" w:hAnsi="Arial" w:cs="Arial"/>
          <w:sz w:val="24"/>
          <w:szCs w:val="24"/>
        </w:rPr>
        <w:t>denunciada tuvo el propósito de provocar un daño a la reputación de dichos partidos, en relación con su imagen frente al electorado</w:t>
      </w:r>
      <w:r w:rsidR="003E3F27">
        <w:rPr>
          <w:rFonts w:ascii="Arial" w:eastAsia="Arial" w:hAnsi="Arial" w:cs="Arial"/>
          <w:sz w:val="24"/>
          <w:szCs w:val="24"/>
        </w:rPr>
        <w:t xml:space="preserve">, de forma maliciosa. </w:t>
      </w:r>
    </w:p>
    <w:p w14:paraId="69C15425" w14:textId="77777777" w:rsidR="00256634" w:rsidRDefault="000F0709" w:rsidP="00B46FE6">
      <w:pPr>
        <w:spacing w:before="240"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Índice</w:t>
      </w:r>
    </w:p>
    <w:p w14:paraId="38C5F379" w14:textId="1998A8AE"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Contexto del caso ……………………………………………………………………………………………...2</w:t>
      </w:r>
    </w:p>
    <w:p w14:paraId="1D1A2F3E" w14:textId="108BD476"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Competencia ……………………………………………………………………………………………</w:t>
      </w:r>
      <w:proofErr w:type="gramStart"/>
      <w:r w:rsidRPr="00274769">
        <w:rPr>
          <w:rFonts w:ascii="Arial" w:eastAsia="Arial" w:hAnsi="Arial" w:cs="Arial"/>
          <w:b/>
          <w:bCs/>
          <w:sz w:val="16"/>
          <w:szCs w:val="16"/>
        </w:rPr>
        <w:t>…....</w:t>
      </w:r>
      <w:proofErr w:type="gramEnd"/>
      <w:r w:rsidRPr="00274769">
        <w:rPr>
          <w:rFonts w:ascii="Arial" w:eastAsia="Arial" w:hAnsi="Arial" w:cs="Arial"/>
          <w:b/>
          <w:bCs/>
          <w:sz w:val="16"/>
          <w:szCs w:val="16"/>
        </w:rPr>
        <w:t>…3</w:t>
      </w:r>
    </w:p>
    <w:p w14:paraId="10931F8A" w14:textId="182331CA"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Personería ………………………………………………………………………………………………</w:t>
      </w:r>
      <w:proofErr w:type="gramStart"/>
      <w:r w:rsidRPr="00274769">
        <w:rPr>
          <w:rFonts w:ascii="Arial" w:eastAsia="Arial" w:hAnsi="Arial" w:cs="Arial"/>
          <w:b/>
          <w:bCs/>
          <w:sz w:val="16"/>
          <w:szCs w:val="16"/>
        </w:rPr>
        <w:t>…....</w:t>
      </w:r>
      <w:proofErr w:type="gramEnd"/>
      <w:r w:rsidRPr="00274769">
        <w:rPr>
          <w:rFonts w:ascii="Arial" w:eastAsia="Arial" w:hAnsi="Arial" w:cs="Arial"/>
          <w:b/>
          <w:bCs/>
          <w:sz w:val="16"/>
          <w:szCs w:val="16"/>
        </w:rPr>
        <w:t>…</w:t>
      </w:r>
      <w:r w:rsidR="00274769" w:rsidRPr="00274769">
        <w:rPr>
          <w:rFonts w:ascii="Arial" w:eastAsia="Arial" w:hAnsi="Arial" w:cs="Arial"/>
          <w:b/>
          <w:bCs/>
          <w:sz w:val="8"/>
          <w:szCs w:val="8"/>
        </w:rPr>
        <w:t>.</w:t>
      </w:r>
      <w:r w:rsidRPr="00274769">
        <w:rPr>
          <w:rFonts w:ascii="Arial" w:eastAsia="Arial" w:hAnsi="Arial" w:cs="Arial"/>
          <w:b/>
          <w:bCs/>
          <w:sz w:val="16"/>
          <w:szCs w:val="16"/>
        </w:rPr>
        <w:t>3</w:t>
      </w:r>
    </w:p>
    <w:p w14:paraId="772DA594" w14:textId="5DBF8A22"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Causales de improcedencia ……………………………………………………………………………</w:t>
      </w:r>
      <w:proofErr w:type="gramStart"/>
      <w:r w:rsidRPr="00274769">
        <w:rPr>
          <w:rFonts w:ascii="Arial" w:eastAsia="Arial" w:hAnsi="Arial" w:cs="Arial"/>
          <w:b/>
          <w:bCs/>
          <w:sz w:val="16"/>
          <w:szCs w:val="16"/>
        </w:rPr>
        <w:t>……</w:t>
      </w:r>
      <w:r w:rsidR="00274769" w:rsidRPr="00274769">
        <w:rPr>
          <w:rFonts w:ascii="Arial" w:eastAsia="Arial" w:hAnsi="Arial" w:cs="Arial"/>
          <w:b/>
          <w:bCs/>
          <w:sz w:val="14"/>
          <w:szCs w:val="14"/>
        </w:rPr>
        <w:t>.</w:t>
      </w:r>
      <w:proofErr w:type="gramEnd"/>
      <w:r w:rsidRPr="00274769">
        <w:rPr>
          <w:rFonts w:ascii="Arial" w:eastAsia="Arial" w:hAnsi="Arial" w:cs="Arial"/>
          <w:b/>
          <w:bCs/>
          <w:sz w:val="16"/>
          <w:szCs w:val="16"/>
        </w:rPr>
        <w:t>3</w:t>
      </w:r>
    </w:p>
    <w:p w14:paraId="2D3624AA" w14:textId="1939DA64"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Estudio de fondo……………………………………………………………………………</w:t>
      </w:r>
      <w:proofErr w:type="gramStart"/>
      <w:r w:rsidRPr="00274769">
        <w:rPr>
          <w:rFonts w:ascii="Arial" w:eastAsia="Arial" w:hAnsi="Arial" w:cs="Arial"/>
          <w:b/>
          <w:bCs/>
          <w:sz w:val="16"/>
          <w:szCs w:val="16"/>
        </w:rPr>
        <w:t>…....</w:t>
      </w:r>
      <w:proofErr w:type="gramEnd"/>
      <w:r w:rsidRPr="00274769">
        <w:rPr>
          <w:rFonts w:ascii="Arial" w:eastAsia="Arial" w:hAnsi="Arial" w:cs="Arial"/>
          <w:b/>
          <w:bCs/>
          <w:sz w:val="16"/>
          <w:szCs w:val="16"/>
        </w:rPr>
        <w:t>.…………....4</w:t>
      </w:r>
    </w:p>
    <w:p w14:paraId="11295804" w14:textId="5B7BF728" w:rsidR="00256634" w:rsidRPr="00274769" w:rsidRDefault="000F0709">
      <w:pPr>
        <w:ind w:left="993" w:right="616"/>
        <w:rPr>
          <w:rFonts w:ascii="Arial" w:eastAsia="Arial" w:hAnsi="Arial" w:cs="Arial"/>
          <w:b/>
          <w:bCs/>
          <w:sz w:val="16"/>
          <w:szCs w:val="16"/>
        </w:rPr>
      </w:pPr>
      <w:r w:rsidRPr="00274769">
        <w:rPr>
          <w:rFonts w:ascii="Arial" w:eastAsia="Arial" w:hAnsi="Arial" w:cs="Arial"/>
          <w:b/>
          <w:bCs/>
          <w:sz w:val="16"/>
          <w:szCs w:val="16"/>
        </w:rPr>
        <w:t>Análisis de fondo …………………………………………………………………………………………</w:t>
      </w:r>
      <w:proofErr w:type="gramStart"/>
      <w:r w:rsidRPr="00274769">
        <w:rPr>
          <w:rFonts w:ascii="Arial" w:eastAsia="Arial" w:hAnsi="Arial" w:cs="Arial"/>
          <w:b/>
          <w:bCs/>
          <w:sz w:val="16"/>
          <w:szCs w:val="16"/>
        </w:rPr>
        <w:t>…....</w:t>
      </w:r>
      <w:proofErr w:type="gramEnd"/>
      <w:r w:rsidRPr="00274769">
        <w:rPr>
          <w:rFonts w:ascii="Arial" w:eastAsia="Arial" w:hAnsi="Arial" w:cs="Arial"/>
          <w:b/>
          <w:bCs/>
          <w:sz w:val="16"/>
          <w:szCs w:val="16"/>
        </w:rPr>
        <w:t>6</w:t>
      </w:r>
    </w:p>
    <w:p w14:paraId="7A224527" w14:textId="6D7C1EBC" w:rsidR="00256634" w:rsidRDefault="000F0709" w:rsidP="00274769">
      <w:pPr>
        <w:ind w:left="993" w:right="616"/>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r w:rsidR="00274769">
        <w:rPr>
          <w:rFonts w:ascii="Arial" w:eastAsia="Arial" w:hAnsi="Arial" w:cs="Arial"/>
          <w:sz w:val="16"/>
          <w:szCs w:val="16"/>
        </w:rPr>
        <w:t>….</w:t>
      </w:r>
      <w:proofErr w:type="gramEnd"/>
      <w:r w:rsidR="00274769">
        <w:rPr>
          <w:rFonts w:ascii="Arial" w:eastAsia="Arial" w:hAnsi="Arial" w:cs="Arial"/>
          <w:sz w:val="16"/>
          <w:szCs w:val="16"/>
        </w:rPr>
        <w:t>.</w:t>
      </w:r>
      <w:r w:rsidR="00274769" w:rsidRPr="00274769">
        <w:rPr>
          <w:rFonts w:ascii="Arial" w:eastAsia="Arial" w:hAnsi="Arial" w:cs="Arial"/>
          <w:sz w:val="8"/>
          <w:szCs w:val="8"/>
        </w:rPr>
        <w:t xml:space="preserve"> </w:t>
      </w:r>
      <w:r>
        <w:rPr>
          <w:rFonts w:ascii="Arial" w:eastAsia="Arial" w:hAnsi="Arial" w:cs="Arial"/>
          <w:sz w:val="16"/>
          <w:szCs w:val="16"/>
        </w:rPr>
        <w:t>6</w:t>
      </w:r>
    </w:p>
    <w:p w14:paraId="0FC3CFC0" w14:textId="514A18E4" w:rsidR="00256634" w:rsidRDefault="000F0709">
      <w:pPr>
        <w:ind w:left="993" w:right="616"/>
        <w:rPr>
          <w:rFonts w:ascii="Arial" w:eastAsia="Arial" w:hAnsi="Arial" w:cs="Arial"/>
          <w:sz w:val="16"/>
          <w:szCs w:val="16"/>
        </w:rPr>
      </w:pPr>
      <w:r>
        <w:rPr>
          <w:rFonts w:ascii="Arial" w:eastAsia="Arial" w:hAnsi="Arial" w:cs="Arial"/>
          <w:sz w:val="16"/>
          <w:szCs w:val="16"/>
        </w:rPr>
        <w:t>Apartado II. Desarrollo y justificación de la decisión………………………………………………………</w:t>
      </w:r>
      <w:r w:rsidR="00274769">
        <w:rPr>
          <w:rFonts w:ascii="Arial" w:eastAsia="Arial" w:hAnsi="Arial" w:cs="Arial"/>
          <w:sz w:val="16"/>
          <w:szCs w:val="16"/>
        </w:rPr>
        <w:t>…</w:t>
      </w:r>
      <w:r>
        <w:rPr>
          <w:rFonts w:ascii="Arial" w:eastAsia="Arial" w:hAnsi="Arial" w:cs="Arial"/>
          <w:sz w:val="16"/>
          <w:szCs w:val="16"/>
        </w:rPr>
        <w:t>7</w:t>
      </w:r>
    </w:p>
    <w:p w14:paraId="66059F7C" w14:textId="1EDC8B2A" w:rsidR="00256634" w:rsidRDefault="000F0709">
      <w:pPr>
        <w:tabs>
          <w:tab w:val="right" w:pos="8263"/>
          <w:tab w:val="left" w:pos="8789"/>
        </w:tabs>
        <w:ind w:left="993" w:right="616"/>
        <w:rPr>
          <w:rFonts w:ascii="Arial" w:eastAsia="Arial" w:hAnsi="Arial" w:cs="Arial"/>
          <w:sz w:val="16"/>
          <w:szCs w:val="16"/>
        </w:rPr>
      </w:pPr>
      <w:r>
        <w:rPr>
          <w:rFonts w:ascii="Arial" w:eastAsia="Arial" w:hAnsi="Arial" w:cs="Arial"/>
          <w:sz w:val="16"/>
          <w:szCs w:val="16"/>
        </w:rPr>
        <w:t>Culpa in vigilando...…</w:t>
      </w:r>
      <w:proofErr w:type="gramStart"/>
      <w:r>
        <w:rPr>
          <w:rFonts w:ascii="Arial" w:eastAsia="Arial" w:hAnsi="Arial" w:cs="Arial"/>
          <w:sz w:val="16"/>
          <w:szCs w:val="16"/>
        </w:rPr>
        <w:t>…….</w:t>
      </w:r>
      <w:proofErr w:type="gramEnd"/>
      <w:r>
        <w:rPr>
          <w:rFonts w:ascii="Arial" w:eastAsia="Arial" w:hAnsi="Arial" w:cs="Arial"/>
          <w:sz w:val="16"/>
          <w:szCs w:val="16"/>
        </w:rPr>
        <w:t>.…………………………………………………………………....………….....</w:t>
      </w:r>
      <w:r w:rsidR="00274769">
        <w:rPr>
          <w:rFonts w:ascii="Arial" w:eastAsia="Arial" w:hAnsi="Arial" w:cs="Arial"/>
          <w:sz w:val="16"/>
          <w:szCs w:val="16"/>
        </w:rPr>
        <w:t>.</w:t>
      </w:r>
      <w:r>
        <w:rPr>
          <w:rFonts w:ascii="Arial" w:eastAsia="Arial" w:hAnsi="Arial" w:cs="Arial"/>
          <w:sz w:val="16"/>
          <w:szCs w:val="16"/>
        </w:rPr>
        <w:t>13</w:t>
      </w:r>
    </w:p>
    <w:p w14:paraId="06F34701" w14:textId="0DD388AD" w:rsidR="00256634" w:rsidRPr="00274769" w:rsidRDefault="000F0709" w:rsidP="00B46FE6">
      <w:pPr>
        <w:tabs>
          <w:tab w:val="right" w:pos="8263"/>
        </w:tabs>
        <w:ind w:left="993" w:right="616"/>
        <w:rPr>
          <w:rFonts w:ascii="Arial" w:eastAsia="Arial" w:hAnsi="Arial" w:cs="Arial"/>
          <w:b/>
          <w:bCs/>
          <w:sz w:val="16"/>
          <w:szCs w:val="16"/>
        </w:rPr>
      </w:pPr>
      <w:proofErr w:type="gramStart"/>
      <w:r w:rsidRPr="00274769">
        <w:rPr>
          <w:rFonts w:ascii="Arial" w:eastAsia="Arial" w:hAnsi="Arial" w:cs="Arial"/>
          <w:b/>
          <w:bCs/>
          <w:sz w:val="16"/>
          <w:szCs w:val="16"/>
        </w:rPr>
        <w:t>Resolutivos.…</w:t>
      </w:r>
      <w:proofErr w:type="gramEnd"/>
      <w:r w:rsidRPr="00274769">
        <w:rPr>
          <w:rFonts w:ascii="Arial" w:eastAsia="Arial" w:hAnsi="Arial" w:cs="Arial"/>
          <w:b/>
          <w:bCs/>
          <w:sz w:val="16"/>
          <w:szCs w:val="16"/>
        </w:rPr>
        <w:t>………………………………………………………………………………….....…………...14</w:t>
      </w:r>
    </w:p>
    <w:p w14:paraId="3DF7A644" w14:textId="77777777" w:rsidR="00256634" w:rsidRPr="00B46FE6" w:rsidRDefault="00256634" w:rsidP="00B46FE6">
      <w:pPr>
        <w:pStyle w:val="Sinespaciado"/>
        <w:rPr>
          <w:rFonts w:eastAsia="Arial"/>
        </w:rPr>
      </w:pPr>
    </w:p>
    <w:p w14:paraId="60B246D2" w14:textId="77777777" w:rsidR="00256634" w:rsidRDefault="000F0709">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f6"/>
        <w:tblW w:w="7229" w:type="dxa"/>
        <w:tblInd w:w="851" w:type="dxa"/>
        <w:tblLayout w:type="fixed"/>
        <w:tblLook w:val="0400" w:firstRow="0" w:lastRow="0" w:firstColumn="0" w:lastColumn="0" w:noHBand="0" w:noVBand="1"/>
      </w:tblPr>
      <w:tblGrid>
        <w:gridCol w:w="1843"/>
        <w:gridCol w:w="5386"/>
      </w:tblGrid>
      <w:tr w:rsidR="00256634" w14:paraId="4C0E68CF" w14:textId="77777777" w:rsidTr="00B37ECD">
        <w:trPr>
          <w:trHeight w:val="70"/>
        </w:trPr>
        <w:tc>
          <w:tcPr>
            <w:tcW w:w="1843" w:type="dxa"/>
            <w:shd w:val="clear" w:color="auto" w:fill="auto"/>
          </w:tcPr>
          <w:p w14:paraId="3253CCCB"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53E44DCE"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7889AB4E" w14:textId="77777777" w:rsidR="00256634" w:rsidRDefault="00256634">
            <w:pPr>
              <w:spacing w:line="276" w:lineRule="auto"/>
              <w:jc w:val="both"/>
              <w:rPr>
                <w:rFonts w:ascii="Arial" w:eastAsia="Arial" w:hAnsi="Arial" w:cs="Arial"/>
                <w:b/>
                <w:color w:val="000000"/>
                <w:sz w:val="16"/>
                <w:szCs w:val="16"/>
              </w:rPr>
            </w:pPr>
          </w:p>
          <w:p w14:paraId="547DB683"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75CF9E12" w14:textId="77777777" w:rsidR="00256634" w:rsidRDefault="00256634">
            <w:pPr>
              <w:spacing w:line="276" w:lineRule="auto"/>
              <w:jc w:val="both"/>
              <w:rPr>
                <w:rFonts w:ascii="Arial" w:eastAsia="Arial" w:hAnsi="Arial" w:cs="Arial"/>
                <w:b/>
                <w:color w:val="000000"/>
                <w:sz w:val="16"/>
                <w:szCs w:val="16"/>
              </w:rPr>
            </w:pPr>
          </w:p>
          <w:p w14:paraId="38F01A9E"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tc>
        <w:tc>
          <w:tcPr>
            <w:tcW w:w="5386" w:type="dxa"/>
            <w:shd w:val="clear" w:color="auto" w:fill="auto"/>
          </w:tcPr>
          <w:p w14:paraId="6E39DF76" w14:textId="77777777" w:rsidR="00256634" w:rsidRDefault="000F0709">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lastRenderedPageBreak/>
              <w:t>Partido Acción Nacional y Partido Revolucionario Institucional.</w:t>
            </w:r>
          </w:p>
          <w:p w14:paraId="3D3E9752" w14:textId="77777777" w:rsidR="00256634" w:rsidRDefault="000F0709">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w:t>
            </w:r>
          </w:p>
          <w:p w14:paraId="253FFC88" w14:textId="77777777" w:rsidR="00256634" w:rsidRDefault="000F0709">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del estado, y MORENA. </w:t>
            </w:r>
          </w:p>
          <w:p w14:paraId="22C7BBC9"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637BC158"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lastRenderedPageBreak/>
              <w:t>Consejo General del Instituto Estatal Electoral de Aguascalientes.</w:t>
            </w:r>
          </w:p>
          <w:p w14:paraId="1DB53712"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tc>
      </w:tr>
      <w:tr w:rsidR="00256634" w14:paraId="2C65D01D" w14:textId="77777777">
        <w:trPr>
          <w:trHeight w:val="578"/>
        </w:trPr>
        <w:tc>
          <w:tcPr>
            <w:tcW w:w="1843" w:type="dxa"/>
            <w:shd w:val="clear" w:color="auto" w:fill="auto"/>
          </w:tcPr>
          <w:p w14:paraId="5FD79AAC"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lastRenderedPageBreak/>
              <w:t xml:space="preserve">LEGIPE: </w:t>
            </w:r>
          </w:p>
          <w:p w14:paraId="6D55B1A4"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0B8CD5C5"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34F19D57" w14:textId="77777777" w:rsidR="00256634" w:rsidRDefault="00256634">
            <w:pPr>
              <w:spacing w:line="276" w:lineRule="auto"/>
              <w:jc w:val="both"/>
              <w:rPr>
                <w:rFonts w:ascii="Arial" w:eastAsia="Arial" w:hAnsi="Arial" w:cs="Arial"/>
                <w:b/>
                <w:color w:val="000000"/>
                <w:sz w:val="16"/>
                <w:szCs w:val="16"/>
              </w:rPr>
            </w:pPr>
          </w:p>
          <w:p w14:paraId="342DE3FB"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5F8FD1B3"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2B6C9EBD"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011282EB"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3E352512" w14:textId="77777777"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PRI:</w:t>
            </w:r>
          </w:p>
          <w:p w14:paraId="17DC0A1F" w14:textId="3383722E" w:rsidR="00256634" w:rsidRDefault="000F0709">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54C022A1" w14:textId="765065EE" w:rsidR="00B37ECD" w:rsidRDefault="00B37ECD">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p w14:paraId="6F7CF963" w14:textId="77777777" w:rsidR="00256634" w:rsidRDefault="00256634">
            <w:pPr>
              <w:spacing w:line="276" w:lineRule="auto"/>
              <w:jc w:val="both"/>
              <w:rPr>
                <w:rFonts w:ascii="Arial" w:eastAsia="Arial" w:hAnsi="Arial" w:cs="Arial"/>
                <w:b/>
                <w:color w:val="000000"/>
                <w:sz w:val="16"/>
                <w:szCs w:val="16"/>
              </w:rPr>
            </w:pPr>
          </w:p>
        </w:tc>
        <w:tc>
          <w:tcPr>
            <w:tcW w:w="5386" w:type="dxa"/>
            <w:shd w:val="clear" w:color="auto" w:fill="auto"/>
          </w:tcPr>
          <w:p w14:paraId="287838A9"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2722823D"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71EB25A4"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650FE95B"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2E782DBD"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537F71CB"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5B3D532F"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5AAD1521" w14:textId="77777777"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Partido Revolucionario Institucional. </w:t>
            </w:r>
          </w:p>
          <w:p w14:paraId="3D1071C6" w14:textId="697EEECD" w:rsidR="00256634" w:rsidRDefault="000F0709">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459C1007" w14:textId="4C915798" w:rsidR="000A5483" w:rsidRDefault="00B37ECD">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p w14:paraId="3AE98A27" w14:textId="77777777" w:rsidR="00256634" w:rsidRDefault="00256634">
            <w:pPr>
              <w:spacing w:line="276" w:lineRule="auto"/>
              <w:ind w:right="178"/>
              <w:jc w:val="both"/>
              <w:rPr>
                <w:rFonts w:ascii="Arial" w:eastAsia="Arial" w:hAnsi="Arial" w:cs="Arial"/>
                <w:color w:val="000000"/>
                <w:sz w:val="16"/>
                <w:szCs w:val="16"/>
              </w:rPr>
            </w:pPr>
          </w:p>
        </w:tc>
      </w:tr>
    </w:tbl>
    <w:p w14:paraId="58EDA91F" w14:textId="77777777" w:rsidR="00256634" w:rsidRPr="00B46FE6" w:rsidRDefault="00256634" w:rsidP="00B46FE6">
      <w:pPr>
        <w:pStyle w:val="Sinespaciado"/>
        <w:rPr>
          <w:sz w:val="10"/>
          <w:szCs w:val="10"/>
        </w:rPr>
      </w:pPr>
    </w:p>
    <w:p w14:paraId="307DFA22" w14:textId="77777777" w:rsidR="00256634" w:rsidRDefault="000F0709">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6BF1A518" w14:textId="77777777" w:rsidR="00256634" w:rsidRDefault="00256634">
      <w:pPr>
        <w:pBdr>
          <w:top w:val="nil"/>
          <w:left w:val="nil"/>
          <w:bottom w:val="nil"/>
          <w:right w:val="nil"/>
          <w:between w:val="nil"/>
        </w:pBdr>
        <w:rPr>
          <w:color w:val="000000"/>
        </w:rPr>
      </w:pPr>
    </w:p>
    <w:p w14:paraId="30577325" w14:textId="77777777" w:rsidR="00256634" w:rsidRDefault="000F0709">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25E91BCC" w14:textId="38B395A2" w:rsidR="00256634" w:rsidRDefault="000F0709">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18 de abril, el ciudadano Israel Ángel Ramírez, representante suplente del PAN y de la coalición “Va Por Aguascalientes” ante el Consejo General, presentó una queja en contra de Nora Ruvalcaba Gámez, candidata de M</w:t>
      </w:r>
      <w:r w:rsidR="002667C7">
        <w:rPr>
          <w:rFonts w:ascii="Arial" w:eastAsia="Arial" w:hAnsi="Arial" w:cs="Arial"/>
          <w:sz w:val="24"/>
          <w:szCs w:val="24"/>
        </w:rPr>
        <w:t>orena</w:t>
      </w:r>
      <w:r>
        <w:rPr>
          <w:rFonts w:ascii="Arial" w:eastAsia="Arial" w:hAnsi="Arial" w:cs="Arial"/>
          <w:sz w:val="24"/>
          <w:szCs w:val="24"/>
        </w:rPr>
        <w:t xml:space="preserve"> a la gubernatura del estado, así como del referido instituto político, derivado de la publicación de un video en sus redes sociales que, a su dicho, contiene expresiones que configuran la infracción de calumnia en perjuicio del PAN y del PRI, ambos </w:t>
      </w:r>
      <w:r w:rsidR="003E3F27">
        <w:rPr>
          <w:rFonts w:ascii="Arial" w:eastAsia="Arial" w:hAnsi="Arial" w:cs="Arial"/>
          <w:sz w:val="24"/>
          <w:szCs w:val="24"/>
        </w:rPr>
        <w:t xml:space="preserve">que forman </w:t>
      </w:r>
      <w:r>
        <w:rPr>
          <w:rFonts w:ascii="Arial" w:eastAsia="Arial" w:hAnsi="Arial" w:cs="Arial"/>
          <w:sz w:val="24"/>
          <w:szCs w:val="24"/>
        </w:rPr>
        <w:t xml:space="preserve">parte de la </w:t>
      </w:r>
      <w:r w:rsidR="003E3F27">
        <w:rPr>
          <w:rFonts w:ascii="Arial" w:eastAsia="Arial" w:hAnsi="Arial" w:cs="Arial"/>
          <w:sz w:val="24"/>
          <w:szCs w:val="24"/>
        </w:rPr>
        <w:t xml:space="preserve">referida </w:t>
      </w:r>
      <w:r>
        <w:rPr>
          <w:rFonts w:ascii="Arial" w:eastAsia="Arial" w:hAnsi="Arial" w:cs="Arial"/>
          <w:sz w:val="24"/>
          <w:szCs w:val="24"/>
        </w:rPr>
        <w:t>coalición. A su vez, exigió a la autoridad administrativa la adopción de medidas cautelares.</w:t>
      </w:r>
    </w:p>
    <w:p w14:paraId="7ADC3447" w14:textId="523A564B" w:rsidR="00256634" w:rsidRDefault="000F0709">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 xml:space="preserve">3. Radicación y requerimiento. </w:t>
      </w:r>
      <w:r>
        <w:rPr>
          <w:rFonts w:ascii="Arial" w:eastAsia="Arial" w:hAnsi="Arial" w:cs="Arial"/>
          <w:sz w:val="24"/>
          <w:szCs w:val="24"/>
        </w:rPr>
        <w:t xml:space="preserve">El 19 de abril,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denuncia y le asignó el número de expediente IEE/PES/026/2022. Asimismo, requirió al PRI a fin de que ratificara la denuncia</w:t>
      </w:r>
      <w:r w:rsidR="003E3F27">
        <w:rPr>
          <w:rFonts w:ascii="Arial" w:eastAsia="Arial" w:hAnsi="Arial" w:cs="Arial"/>
          <w:sz w:val="24"/>
          <w:szCs w:val="24"/>
        </w:rPr>
        <w:t xml:space="preserve"> comentada</w:t>
      </w:r>
      <w:r>
        <w:rPr>
          <w:rFonts w:ascii="Arial" w:eastAsia="Arial" w:hAnsi="Arial" w:cs="Arial"/>
          <w:sz w:val="24"/>
          <w:szCs w:val="24"/>
        </w:rPr>
        <w:t>, al considerar que los procedimientos por la infracción de calumnia, s</w:t>
      </w:r>
      <w:r w:rsidR="002667C7">
        <w:rPr>
          <w:rFonts w:ascii="Arial" w:eastAsia="Arial" w:hAnsi="Arial" w:cs="Arial"/>
          <w:sz w:val="24"/>
          <w:szCs w:val="24"/>
        </w:rPr>
        <w:t>o</w:t>
      </w:r>
      <w:r>
        <w:rPr>
          <w:rFonts w:ascii="Arial" w:eastAsia="Arial" w:hAnsi="Arial" w:cs="Arial"/>
          <w:sz w:val="24"/>
          <w:szCs w:val="24"/>
        </w:rPr>
        <w:t xml:space="preserve">lo pueden iniciar a instancia de parte agraviada. El 21 siguiente, se tuvo por desahogado tal requisito. </w:t>
      </w:r>
    </w:p>
    <w:p w14:paraId="6CCE7975" w14:textId="35D7BD17" w:rsidR="00256634" w:rsidRDefault="000F0709">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4. Admisión y medidas cautelares.</w:t>
      </w:r>
      <w:r>
        <w:rPr>
          <w:rFonts w:ascii="Arial" w:eastAsia="Arial" w:hAnsi="Arial" w:cs="Arial"/>
          <w:sz w:val="24"/>
          <w:szCs w:val="24"/>
        </w:rPr>
        <w:t xml:space="preserve"> </w:t>
      </w:r>
      <w:r w:rsidR="002667C7">
        <w:rPr>
          <w:rFonts w:ascii="Arial" w:eastAsia="Arial" w:hAnsi="Arial" w:cs="Arial"/>
          <w:sz w:val="24"/>
          <w:szCs w:val="24"/>
        </w:rPr>
        <w:t>E</w:t>
      </w:r>
      <w:r>
        <w:rPr>
          <w:rFonts w:ascii="Arial" w:eastAsia="Arial" w:hAnsi="Arial" w:cs="Arial"/>
          <w:sz w:val="24"/>
          <w:szCs w:val="24"/>
        </w:rPr>
        <w:t xml:space="preserve">l 25 de abril,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admitió a trámite la denuncia. Posteriormente, el 27 </w:t>
      </w:r>
      <w:r w:rsidR="002667C7">
        <w:rPr>
          <w:rFonts w:ascii="Arial" w:eastAsia="Arial" w:hAnsi="Arial" w:cs="Arial"/>
          <w:sz w:val="24"/>
          <w:szCs w:val="24"/>
        </w:rPr>
        <w:t>siguiente</w:t>
      </w:r>
      <w:r>
        <w:rPr>
          <w:rFonts w:ascii="Arial" w:eastAsia="Arial" w:hAnsi="Arial" w:cs="Arial"/>
          <w:sz w:val="24"/>
          <w:szCs w:val="24"/>
        </w:rPr>
        <w:t xml:space="preserve">, la Comisión de Quejas y Denuncias </w:t>
      </w:r>
      <w:r>
        <w:rPr>
          <w:rFonts w:ascii="Arial" w:eastAsia="Arial" w:hAnsi="Arial" w:cs="Arial"/>
          <w:b/>
          <w:sz w:val="24"/>
          <w:szCs w:val="24"/>
        </w:rPr>
        <w:t>determinó la adopción</w:t>
      </w:r>
      <w:r>
        <w:rPr>
          <w:rFonts w:ascii="Arial" w:eastAsia="Arial" w:hAnsi="Arial" w:cs="Arial"/>
          <w:sz w:val="24"/>
          <w:szCs w:val="24"/>
        </w:rPr>
        <w:t xml:space="preserve"> de las medidas cautelares propuestas por la parte denunciante.  </w:t>
      </w:r>
    </w:p>
    <w:p w14:paraId="48166C79" w14:textId="7C5CF664" w:rsidR="00256634" w:rsidRDefault="000F0709">
      <w:pPr>
        <w:tabs>
          <w:tab w:val="left" w:pos="284"/>
        </w:tabs>
        <w:spacing w:before="240" w:after="240" w:line="360" w:lineRule="auto"/>
        <w:ind w:right="40"/>
        <w:jc w:val="both"/>
        <w:rPr>
          <w:rFonts w:ascii="Arial" w:eastAsia="Arial" w:hAnsi="Arial" w:cs="Arial"/>
          <w:sz w:val="24"/>
          <w:szCs w:val="24"/>
        </w:rPr>
      </w:pPr>
      <w:r>
        <w:rPr>
          <w:rFonts w:ascii="Arial" w:eastAsia="Arial" w:hAnsi="Arial" w:cs="Arial"/>
          <w:b/>
          <w:sz w:val="24"/>
          <w:szCs w:val="24"/>
        </w:rPr>
        <w:t>5. Audiencia de alegatos, cumplimiento de medidas cautelares y remisión del expediente.</w:t>
      </w:r>
      <w:r>
        <w:rPr>
          <w:rFonts w:ascii="Arial" w:eastAsia="Arial" w:hAnsi="Arial" w:cs="Arial"/>
          <w:sz w:val="24"/>
          <w:szCs w:val="24"/>
        </w:rPr>
        <w:t xml:space="preserve"> El 28 de abril, la Secretaría Ejecutiva celebró la audiencia de pruebas y alegatos y, además, recibió los escritos de cumplimiento de las medidas cautelares ordenadas a las partes denunciadas. 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rindió el informe circunstanciado y remitió el expediente a este Tribunal. </w:t>
      </w:r>
    </w:p>
    <w:p w14:paraId="15655E5B" w14:textId="77777777" w:rsidR="00274769" w:rsidRDefault="00274769">
      <w:pPr>
        <w:tabs>
          <w:tab w:val="left" w:pos="284"/>
        </w:tabs>
        <w:spacing w:before="240" w:after="240" w:line="360" w:lineRule="auto"/>
        <w:ind w:right="40"/>
        <w:jc w:val="both"/>
        <w:rPr>
          <w:rFonts w:ascii="Arial" w:eastAsia="Arial" w:hAnsi="Arial" w:cs="Arial"/>
          <w:sz w:val="24"/>
          <w:szCs w:val="24"/>
        </w:rPr>
      </w:pPr>
    </w:p>
    <w:p w14:paraId="1F4C383F" w14:textId="77777777" w:rsidR="00256634" w:rsidRDefault="000F0709">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t xml:space="preserve">6. Turno, radicación y formulación del proyecto de resolución TEEA-PES-020/2022. </w:t>
      </w:r>
      <w:r>
        <w:rPr>
          <w:rFonts w:ascii="Arial" w:eastAsia="Arial" w:hAnsi="Arial" w:cs="Arial"/>
          <w:sz w:val="24"/>
          <w:szCs w:val="24"/>
        </w:rPr>
        <w:t xml:space="preserve">El mismo 29,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TEEA-PES-020/2022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4A169E01" w14:textId="0EACE046" w:rsidR="00256634" w:rsidRDefault="000F0709">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IV, del Código Electoral, derivado de un promocional difundido a través de las redes sociales Facebook e Instagram, así como en la plataforma digital </w:t>
      </w:r>
      <w:proofErr w:type="spellStart"/>
      <w:r>
        <w:rPr>
          <w:rFonts w:ascii="Arial" w:eastAsia="Arial" w:hAnsi="Arial" w:cs="Arial"/>
          <w:color w:val="000000"/>
          <w:sz w:val="24"/>
          <w:szCs w:val="24"/>
        </w:rPr>
        <w:t>Youtube</w:t>
      </w:r>
      <w:proofErr w:type="spellEnd"/>
      <w:r>
        <w:rPr>
          <w:rFonts w:ascii="Arial" w:eastAsia="Arial" w:hAnsi="Arial" w:cs="Arial"/>
          <w:color w:val="000000"/>
          <w:sz w:val="24"/>
          <w:szCs w:val="24"/>
        </w:rPr>
        <w:t>, el cual contiene expresiones que presuntamente constituyen la infracción de calumnia, atribuid</w:t>
      </w:r>
      <w:r w:rsidR="005D3192">
        <w:rPr>
          <w:rFonts w:ascii="Arial" w:eastAsia="Arial" w:hAnsi="Arial" w:cs="Arial"/>
          <w:color w:val="000000"/>
          <w:sz w:val="24"/>
          <w:szCs w:val="24"/>
        </w:rPr>
        <w:t>o</w:t>
      </w:r>
      <w:r>
        <w:rPr>
          <w:rFonts w:ascii="Arial" w:eastAsia="Arial" w:hAnsi="Arial" w:cs="Arial"/>
          <w:color w:val="000000"/>
          <w:sz w:val="24"/>
          <w:szCs w:val="24"/>
        </w:rPr>
        <w:t xml:space="preserve"> a </w:t>
      </w:r>
      <w:r>
        <w:rPr>
          <w:rFonts w:ascii="Arial" w:eastAsia="Arial" w:hAnsi="Arial" w:cs="Arial"/>
          <w:sz w:val="24"/>
          <w:szCs w:val="24"/>
        </w:rPr>
        <w:t xml:space="preserve">la ciudadana </w:t>
      </w:r>
      <w:r>
        <w:rPr>
          <w:rFonts w:ascii="Arial" w:eastAsia="Arial" w:hAnsi="Arial" w:cs="Arial"/>
          <w:color w:val="000000"/>
          <w:sz w:val="24"/>
          <w:szCs w:val="24"/>
        </w:rPr>
        <w:t xml:space="preserve">Nora Ruvalcaba Gámez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 xml:space="preserve">candidata de </w:t>
      </w:r>
      <w:r w:rsidR="002667C7">
        <w:rPr>
          <w:rFonts w:ascii="Arial" w:eastAsia="Arial" w:hAnsi="Arial" w:cs="Arial"/>
          <w:sz w:val="24"/>
          <w:szCs w:val="24"/>
        </w:rPr>
        <w:t>Morena</w:t>
      </w:r>
      <w:r>
        <w:rPr>
          <w:rFonts w:ascii="Arial" w:eastAsia="Arial" w:hAnsi="Arial" w:cs="Arial"/>
          <w:sz w:val="24"/>
          <w:szCs w:val="24"/>
        </w:rPr>
        <w:t xml:space="preserve"> a la gubernatura de esta entidad, con independencia del medio por el cual se difundieron los mensajes cuestionados</w:t>
      </w:r>
      <w:r>
        <w:rPr>
          <w:rFonts w:ascii="Arial" w:eastAsia="Arial" w:hAnsi="Arial" w:cs="Arial"/>
          <w:sz w:val="24"/>
          <w:szCs w:val="24"/>
          <w:vertAlign w:val="superscript"/>
        </w:rPr>
        <w:footnoteReference w:id="5"/>
      </w:r>
      <w:r w:rsidR="005D3192">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60B87363" w14:textId="77777777" w:rsidR="00256634" w:rsidRDefault="00256634">
      <w:pPr>
        <w:pBdr>
          <w:top w:val="nil"/>
          <w:left w:val="nil"/>
          <w:bottom w:val="nil"/>
          <w:right w:val="nil"/>
          <w:between w:val="nil"/>
        </w:pBdr>
        <w:rPr>
          <w:color w:val="000000"/>
        </w:rPr>
      </w:pPr>
    </w:p>
    <w:p w14:paraId="1F2F93CE"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7F45FC75" w14:textId="77777777" w:rsidR="00256634" w:rsidRDefault="00256634">
      <w:pPr>
        <w:pBdr>
          <w:top w:val="nil"/>
          <w:left w:val="nil"/>
          <w:bottom w:val="nil"/>
          <w:right w:val="nil"/>
          <w:between w:val="nil"/>
        </w:pBdr>
        <w:rPr>
          <w:color w:val="000000"/>
        </w:rPr>
      </w:pPr>
    </w:p>
    <w:p w14:paraId="3AF2FE4E" w14:textId="59969C86"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w:t>
      </w:r>
      <w:r w:rsidR="009149A7">
        <w:rPr>
          <w:rFonts w:ascii="Arial" w:eastAsia="Arial" w:hAnsi="Arial" w:cs="Arial"/>
          <w:sz w:val="24"/>
          <w:szCs w:val="24"/>
        </w:rPr>
        <w:t>partido Morena</w:t>
      </w:r>
      <w:r>
        <w:rPr>
          <w:rFonts w:ascii="Arial" w:eastAsia="Arial" w:hAnsi="Arial" w:cs="Arial"/>
          <w:sz w:val="24"/>
          <w:szCs w:val="24"/>
        </w:rPr>
        <w:t xml:space="preserve">, en sus escritos de contestación, refieren que la denuncia presentada en su contra es </w:t>
      </w:r>
      <w:r>
        <w:rPr>
          <w:rFonts w:ascii="Arial" w:eastAsia="Arial" w:hAnsi="Arial" w:cs="Arial"/>
          <w:b/>
          <w:sz w:val="24"/>
          <w:szCs w:val="24"/>
        </w:rPr>
        <w:t>frívola y oscura</w:t>
      </w:r>
      <w:r>
        <w:rPr>
          <w:rFonts w:ascii="Arial" w:eastAsia="Arial" w:hAnsi="Arial" w:cs="Arial"/>
          <w:sz w:val="24"/>
          <w:szCs w:val="24"/>
        </w:rPr>
        <w:t>, ya que no se ofrecieron elementos de prueba que permitan acreditar los hechos denunciados.</w:t>
      </w:r>
    </w:p>
    <w:p w14:paraId="1712BC19" w14:textId="77777777" w:rsidR="00256634" w:rsidRDefault="00256634">
      <w:pPr>
        <w:pBdr>
          <w:top w:val="nil"/>
          <w:left w:val="nil"/>
          <w:bottom w:val="nil"/>
          <w:right w:val="nil"/>
          <w:between w:val="nil"/>
        </w:pBdr>
        <w:rPr>
          <w:color w:val="000000"/>
        </w:rPr>
      </w:pPr>
    </w:p>
    <w:p w14:paraId="44C6C2AE"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V,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7CAA7ED8" w14:textId="33D12E30" w:rsidR="00B46FE6" w:rsidRDefault="000F0709" w:rsidP="00B46FE6">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Al respecto, este Tribunal considera que del escrito de la denuncia y de las constancias del expediente, se advierte que el denunciante señaló los hechos y las infracciones que, a su </w:t>
      </w:r>
      <w:r>
        <w:rPr>
          <w:rFonts w:ascii="Arial" w:eastAsia="Arial" w:hAnsi="Arial" w:cs="Arial"/>
          <w:sz w:val="24"/>
          <w:szCs w:val="24"/>
        </w:rPr>
        <w:lastRenderedPageBreak/>
        <w:t>criterio se acreditan</w:t>
      </w:r>
      <w:r w:rsidR="005D3192">
        <w:rPr>
          <w:rFonts w:ascii="Arial" w:eastAsia="Arial" w:hAnsi="Arial" w:cs="Arial"/>
          <w:sz w:val="24"/>
          <w:szCs w:val="24"/>
        </w:rPr>
        <w:t>, además de que ofreció la pruebas que estimó pertinente</w:t>
      </w:r>
      <w:r>
        <w:rPr>
          <w:rFonts w:ascii="Arial" w:eastAsia="Arial" w:hAnsi="Arial" w:cs="Arial"/>
          <w:sz w:val="24"/>
          <w:szCs w:val="24"/>
        </w:rPr>
        <w:t xml:space="preserve">, por tanto, no es posible actualizar tal causal de improcedencia, pues el quejoso ofreció las pruebas que consideró necesarias para la acreditación de los hechos </w:t>
      </w:r>
      <w:r w:rsidR="005D3192">
        <w:rPr>
          <w:rFonts w:ascii="Arial" w:eastAsia="Arial" w:hAnsi="Arial" w:cs="Arial"/>
          <w:sz w:val="24"/>
          <w:szCs w:val="24"/>
        </w:rPr>
        <w:t>cuestionados</w:t>
      </w:r>
      <w:r>
        <w:rPr>
          <w:rFonts w:ascii="Arial" w:eastAsia="Arial" w:hAnsi="Arial" w:cs="Arial"/>
          <w:sz w:val="24"/>
          <w:szCs w:val="24"/>
        </w:rPr>
        <w:t>. Por tanto, la posible actualización de la infracción, en todo caso, es materia de análisis en el estudio de fondo de la presente resolución.</w:t>
      </w:r>
    </w:p>
    <w:p w14:paraId="6C30E78B"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Estudio de fondo</w:t>
      </w:r>
    </w:p>
    <w:p w14:paraId="2B2FAFBE" w14:textId="77777777" w:rsidR="00256634" w:rsidRDefault="00256634">
      <w:pPr>
        <w:pBdr>
          <w:top w:val="nil"/>
          <w:left w:val="nil"/>
          <w:bottom w:val="nil"/>
          <w:right w:val="nil"/>
          <w:between w:val="nil"/>
        </w:pBdr>
        <w:rPr>
          <w:color w:val="000000"/>
          <w:sz w:val="16"/>
          <w:szCs w:val="16"/>
        </w:rPr>
      </w:pPr>
    </w:p>
    <w:p w14:paraId="5F75C365"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43D5DC72" w14:textId="77777777" w:rsidR="00256634" w:rsidRDefault="00256634">
      <w:pPr>
        <w:pBdr>
          <w:top w:val="nil"/>
          <w:left w:val="nil"/>
          <w:bottom w:val="nil"/>
          <w:right w:val="nil"/>
          <w:between w:val="nil"/>
        </w:pBdr>
        <w:rPr>
          <w:color w:val="000000"/>
        </w:rPr>
      </w:pPr>
    </w:p>
    <w:p w14:paraId="331643A5" w14:textId="065AEE40" w:rsidR="00256634" w:rsidRPr="009149A7" w:rsidRDefault="000F0709" w:rsidP="009149A7">
      <w:pPr>
        <w:numPr>
          <w:ilvl w:val="1"/>
          <w:numId w:val="2"/>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 xml:space="preserve">El PAN refiere que la denunciada </w:t>
      </w:r>
      <w:r>
        <w:rPr>
          <w:rFonts w:ascii="Arial" w:eastAsia="Arial" w:hAnsi="Arial" w:cs="Arial"/>
          <w:b/>
          <w:color w:val="000000"/>
          <w:sz w:val="24"/>
          <w:szCs w:val="24"/>
        </w:rPr>
        <w:t xml:space="preserve">realizó la difusión de propaganda calumniosa </w:t>
      </w:r>
      <w:r>
        <w:rPr>
          <w:rFonts w:ascii="Arial" w:eastAsia="Arial" w:hAnsi="Arial" w:cs="Arial"/>
          <w:color w:val="000000"/>
          <w:sz w:val="24"/>
          <w:szCs w:val="24"/>
        </w:rPr>
        <w:t xml:space="preserve">en perjuicio del propio instituto político y de la coalición “Va Por Aguascalientes”, en atención a </w:t>
      </w:r>
      <w:r w:rsidR="009149A7">
        <w:rPr>
          <w:rFonts w:ascii="Arial" w:eastAsia="Arial" w:hAnsi="Arial" w:cs="Arial"/>
          <w:color w:val="000000"/>
          <w:sz w:val="24"/>
          <w:szCs w:val="24"/>
        </w:rPr>
        <w:t>que,</w:t>
      </w:r>
      <w:r>
        <w:rPr>
          <w:rFonts w:ascii="Arial" w:eastAsia="Arial" w:hAnsi="Arial" w:cs="Arial"/>
          <w:color w:val="000000"/>
          <w:sz w:val="24"/>
          <w:szCs w:val="24"/>
        </w:rPr>
        <w:t xml:space="preserve"> del contenido de la misma, se genera una imputación del supuesto delito de “robo” </w:t>
      </w:r>
      <w:r>
        <w:rPr>
          <w:rFonts w:ascii="Arial" w:eastAsia="Arial" w:hAnsi="Arial" w:cs="Arial"/>
          <w:sz w:val="24"/>
          <w:szCs w:val="24"/>
        </w:rPr>
        <w:t xml:space="preserve">sin sustento alguno en datos objetivos o verificables, </w:t>
      </w:r>
      <w:r w:rsidR="008E064A">
        <w:rPr>
          <w:rFonts w:ascii="Arial" w:eastAsia="Arial" w:hAnsi="Arial" w:cs="Arial"/>
          <w:sz w:val="24"/>
          <w:szCs w:val="24"/>
        </w:rPr>
        <w:t xml:space="preserve">situación que </w:t>
      </w:r>
      <w:r>
        <w:rPr>
          <w:rFonts w:ascii="Arial" w:eastAsia="Arial" w:hAnsi="Arial" w:cs="Arial"/>
          <w:sz w:val="24"/>
          <w:szCs w:val="24"/>
        </w:rPr>
        <w:t>menoscaba</w:t>
      </w:r>
      <w:r>
        <w:rPr>
          <w:rFonts w:ascii="Arial" w:eastAsia="Arial" w:hAnsi="Arial" w:cs="Arial"/>
          <w:color w:val="000000"/>
          <w:sz w:val="24"/>
          <w:szCs w:val="24"/>
        </w:rPr>
        <w:t xml:space="preserve"> la imagen y proyección política de los quejosos</w:t>
      </w:r>
      <w:r>
        <w:rPr>
          <w:rFonts w:ascii="Arial" w:eastAsia="Arial" w:hAnsi="Arial" w:cs="Arial"/>
          <w:sz w:val="24"/>
          <w:szCs w:val="24"/>
        </w:rPr>
        <w:t>. El contenido del video cuestionado, es el siguiente</w:t>
      </w:r>
      <w:r>
        <w:rPr>
          <w:rFonts w:ascii="Arial" w:eastAsia="Arial" w:hAnsi="Arial" w:cs="Arial"/>
          <w:color w:val="000000"/>
          <w:sz w:val="24"/>
          <w:szCs w:val="24"/>
        </w:rPr>
        <w:t xml:space="preserve">: </w:t>
      </w:r>
    </w:p>
    <w:tbl>
      <w:tblPr>
        <w:tblStyle w:val="Tabladecuadrcula4-nfasis31"/>
        <w:tblW w:w="9634" w:type="dxa"/>
        <w:tblLayout w:type="fixed"/>
        <w:tblLook w:val="0400" w:firstRow="0" w:lastRow="0" w:firstColumn="0" w:lastColumn="0" w:noHBand="0" w:noVBand="1"/>
      </w:tblPr>
      <w:tblGrid>
        <w:gridCol w:w="5098"/>
        <w:gridCol w:w="4536"/>
      </w:tblGrid>
      <w:tr w:rsidR="00256634" w14:paraId="27A1C3EE" w14:textId="77777777" w:rsidTr="007728E6">
        <w:trPr>
          <w:cnfStyle w:val="000000100000" w:firstRow="0" w:lastRow="0" w:firstColumn="0" w:lastColumn="0" w:oddVBand="0" w:evenVBand="0" w:oddHBand="1" w:evenHBand="0" w:firstRowFirstColumn="0" w:firstRowLastColumn="0" w:lastRowFirstColumn="0" w:lastRowLastColumn="0"/>
        </w:trPr>
        <w:tc>
          <w:tcPr>
            <w:tcW w:w="5098" w:type="dxa"/>
          </w:tcPr>
          <w:p w14:paraId="782DE562" w14:textId="77777777" w:rsidR="00256634" w:rsidRDefault="000F0709">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 xml:space="preserve">Imagen </w:t>
            </w:r>
          </w:p>
        </w:tc>
        <w:tc>
          <w:tcPr>
            <w:tcW w:w="4536" w:type="dxa"/>
          </w:tcPr>
          <w:p w14:paraId="13C5D5A5" w14:textId="77777777" w:rsidR="00256634" w:rsidRDefault="000F0709">
            <w:pPr>
              <w:tabs>
                <w:tab w:val="left" w:pos="426"/>
              </w:tabs>
              <w:spacing w:line="360" w:lineRule="auto"/>
              <w:ind w:right="36"/>
              <w:jc w:val="center"/>
              <w:rPr>
                <w:rFonts w:ascii="Arial" w:eastAsia="Arial" w:hAnsi="Arial" w:cs="Arial"/>
                <w:b/>
                <w:color w:val="000000"/>
                <w:sz w:val="24"/>
                <w:szCs w:val="24"/>
              </w:rPr>
            </w:pPr>
            <w:r>
              <w:rPr>
                <w:rFonts w:ascii="Arial" w:eastAsia="Arial" w:hAnsi="Arial" w:cs="Arial"/>
                <w:b/>
                <w:color w:val="000000"/>
                <w:sz w:val="24"/>
                <w:szCs w:val="24"/>
              </w:rPr>
              <w:t>Contenido</w:t>
            </w:r>
          </w:p>
        </w:tc>
      </w:tr>
      <w:tr w:rsidR="00256634" w14:paraId="418C0B29" w14:textId="77777777" w:rsidTr="007728E6">
        <w:trPr>
          <w:trHeight w:val="692"/>
        </w:trPr>
        <w:tc>
          <w:tcPr>
            <w:tcW w:w="5098" w:type="dxa"/>
          </w:tcPr>
          <w:p w14:paraId="03E642A7" w14:textId="77777777" w:rsidR="00256634" w:rsidRDefault="000F0709">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295893C7" wp14:editId="4A2322C0">
                  <wp:extent cx="2313305" cy="1065474"/>
                  <wp:effectExtent l="0" t="0" r="0" b="1905"/>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407" t="13518" r="46775" b="33372"/>
                          <a:stretch>
                            <a:fillRect/>
                          </a:stretch>
                        </pic:blipFill>
                        <pic:spPr>
                          <a:xfrm>
                            <a:off x="0" y="0"/>
                            <a:ext cx="2332198" cy="1074176"/>
                          </a:xfrm>
                          <a:prstGeom prst="rect">
                            <a:avLst/>
                          </a:prstGeom>
                          <a:ln/>
                        </pic:spPr>
                      </pic:pic>
                    </a:graphicData>
                  </a:graphic>
                </wp:inline>
              </w:drawing>
            </w:r>
          </w:p>
        </w:tc>
        <w:tc>
          <w:tcPr>
            <w:tcW w:w="4536" w:type="dxa"/>
          </w:tcPr>
          <w:p w14:paraId="3397B532" w14:textId="3FA0E234" w:rsidR="00256634" w:rsidRDefault="000F0709" w:rsidP="007728E6">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Voz de la denunciada:</w:t>
            </w:r>
          </w:p>
          <w:p w14:paraId="1A12BC69" w14:textId="77777777" w:rsidR="007728E6" w:rsidRDefault="007728E6" w:rsidP="007728E6">
            <w:pPr>
              <w:pStyle w:val="Sinespaciado"/>
              <w:ind w:left="179" w:right="174"/>
              <w:jc w:val="both"/>
            </w:pPr>
          </w:p>
          <w:p w14:paraId="5E0EFF4D"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Hay cosas que no se mezclan; </w:t>
            </w:r>
          </w:p>
          <w:p w14:paraId="00651966"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el agua y el aceite;</w:t>
            </w:r>
          </w:p>
        </w:tc>
      </w:tr>
      <w:tr w:rsidR="00256634" w14:paraId="48851931" w14:textId="77777777" w:rsidTr="007728E6">
        <w:trPr>
          <w:cnfStyle w:val="000000100000" w:firstRow="0" w:lastRow="0" w:firstColumn="0" w:lastColumn="0" w:oddVBand="0" w:evenVBand="0" w:oddHBand="1" w:evenHBand="0" w:firstRowFirstColumn="0" w:firstRowLastColumn="0" w:lastRowFirstColumn="0" w:lastRowLastColumn="0"/>
          <w:trHeight w:val="1957"/>
        </w:trPr>
        <w:tc>
          <w:tcPr>
            <w:tcW w:w="5098" w:type="dxa"/>
          </w:tcPr>
          <w:p w14:paraId="34950B13" w14:textId="77777777" w:rsidR="00256634" w:rsidRDefault="000F0709">
            <w:pPr>
              <w:tabs>
                <w:tab w:val="left" w:pos="426"/>
              </w:tabs>
              <w:spacing w:line="360" w:lineRule="auto"/>
              <w:ind w:right="36"/>
              <w:jc w:val="center"/>
              <w:rPr>
                <w:rFonts w:ascii="Arial" w:eastAsia="Arial" w:hAnsi="Arial" w:cs="Arial"/>
                <w:color w:val="000000"/>
                <w:sz w:val="24"/>
                <w:szCs w:val="24"/>
              </w:rPr>
            </w:pPr>
            <w:r>
              <w:rPr>
                <w:noProof/>
              </w:rPr>
              <w:drawing>
                <wp:inline distT="0" distB="0" distL="0" distR="0" wp14:anchorId="51FCCCC5" wp14:editId="5CAF6616">
                  <wp:extent cx="2353310" cy="1160780"/>
                  <wp:effectExtent l="0" t="0" r="8890" b="127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08" t="14243" r="46910" b="33614"/>
                          <a:stretch>
                            <a:fillRect/>
                          </a:stretch>
                        </pic:blipFill>
                        <pic:spPr>
                          <a:xfrm>
                            <a:off x="0" y="0"/>
                            <a:ext cx="2382064" cy="1174963"/>
                          </a:xfrm>
                          <a:prstGeom prst="rect">
                            <a:avLst/>
                          </a:prstGeom>
                          <a:ln/>
                        </pic:spPr>
                      </pic:pic>
                    </a:graphicData>
                  </a:graphic>
                </wp:inline>
              </w:drawing>
            </w:r>
          </w:p>
        </w:tc>
        <w:tc>
          <w:tcPr>
            <w:tcW w:w="4536" w:type="dxa"/>
          </w:tcPr>
          <w:p w14:paraId="54D69E56"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La navidad y la política;</w:t>
            </w:r>
          </w:p>
        </w:tc>
      </w:tr>
      <w:tr w:rsidR="00256634" w14:paraId="7724F83E" w14:textId="77777777" w:rsidTr="007728E6">
        <w:trPr>
          <w:trHeight w:val="2114"/>
        </w:trPr>
        <w:tc>
          <w:tcPr>
            <w:tcW w:w="5098" w:type="dxa"/>
          </w:tcPr>
          <w:p w14:paraId="35243F5F" w14:textId="6672CB81" w:rsidR="00256634" w:rsidRDefault="000F0709" w:rsidP="009149A7">
            <w:pPr>
              <w:tabs>
                <w:tab w:val="right" w:pos="4846"/>
              </w:tabs>
              <w:spacing w:line="360" w:lineRule="auto"/>
              <w:ind w:right="36"/>
              <w:rPr>
                <w:rFonts w:ascii="Arial" w:eastAsia="Arial" w:hAnsi="Arial" w:cs="Arial"/>
                <w:color w:val="000000"/>
                <w:sz w:val="24"/>
                <w:szCs w:val="24"/>
              </w:rPr>
            </w:pPr>
            <w:r>
              <w:rPr>
                <w:noProof/>
              </w:rPr>
              <w:drawing>
                <wp:anchor distT="0" distB="0" distL="114300" distR="114300" simplePos="0" relativeHeight="251658240" behindDoc="1" locked="0" layoutInCell="1" allowOverlap="1" wp14:anchorId="7D3F6D95" wp14:editId="07A8A662">
                  <wp:simplePos x="0" y="0"/>
                  <wp:positionH relativeFrom="column">
                    <wp:posOffset>355600</wp:posOffset>
                  </wp:positionH>
                  <wp:positionV relativeFrom="paragraph">
                    <wp:posOffset>31750</wp:posOffset>
                  </wp:positionV>
                  <wp:extent cx="2353310" cy="1231900"/>
                  <wp:effectExtent l="0" t="0" r="8890" b="6350"/>
                  <wp:wrapTight wrapText="bothSides">
                    <wp:wrapPolygon edited="0">
                      <wp:start x="0" y="0"/>
                      <wp:lineTo x="0" y="21377"/>
                      <wp:lineTo x="21507" y="21377"/>
                      <wp:lineTo x="21507" y="0"/>
                      <wp:lineTo x="0" y="0"/>
                    </wp:wrapPolygon>
                  </wp:wrapTight>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l="407" t="14243" r="46775" b="34098"/>
                          <a:stretch>
                            <a:fillRect/>
                          </a:stretch>
                        </pic:blipFill>
                        <pic:spPr>
                          <a:xfrm>
                            <a:off x="0" y="0"/>
                            <a:ext cx="2353310" cy="1231900"/>
                          </a:xfrm>
                          <a:prstGeom prst="rect">
                            <a:avLst/>
                          </a:prstGeom>
                          <a:ln/>
                        </pic:spPr>
                      </pic:pic>
                    </a:graphicData>
                  </a:graphic>
                  <wp14:sizeRelH relativeFrom="margin">
                    <wp14:pctWidth>0</wp14:pctWidth>
                  </wp14:sizeRelH>
                  <wp14:sizeRelV relativeFrom="margin">
                    <wp14:pctHeight>0</wp14:pctHeight>
                  </wp14:sizeRelV>
                </wp:anchor>
              </w:drawing>
            </w:r>
          </w:p>
        </w:tc>
        <w:tc>
          <w:tcPr>
            <w:tcW w:w="4536" w:type="dxa"/>
          </w:tcPr>
          <w:p w14:paraId="4A9FFFCB"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La fiesta y los celulares.</w:t>
            </w:r>
          </w:p>
        </w:tc>
      </w:tr>
      <w:tr w:rsidR="00256634" w14:paraId="2BEA366B" w14:textId="77777777" w:rsidTr="007728E6">
        <w:trPr>
          <w:cnfStyle w:val="000000100000" w:firstRow="0" w:lastRow="0" w:firstColumn="0" w:lastColumn="0" w:oddVBand="0" w:evenVBand="0" w:oddHBand="1" w:evenHBand="0" w:firstRowFirstColumn="0" w:firstRowLastColumn="0" w:lastRowFirstColumn="0" w:lastRowLastColumn="0"/>
          <w:trHeight w:val="2398"/>
        </w:trPr>
        <w:tc>
          <w:tcPr>
            <w:tcW w:w="5098" w:type="dxa"/>
          </w:tcPr>
          <w:p w14:paraId="60545922" w14:textId="77777777" w:rsidR="00256634" w:rsidRDefault="000F0709" w:rsidP="009149A7">
            <w:pPr>
              <w:tabs>
                <w:tab w:val="left" w:pos="426"/>
              </w:tabs>
              <w:spacing w:line="360" w:lineRule="auto"/>
              <w:ind w:right="36"/>
              <w:rPr>
                <w:rFonts w:ascii="Arial" w:eastAsia="Arial" w:hAnsi="Arial" w:cs="Arial"/>
                <w:color w:val="000000"/>
                <w:sz w:val="24"/>
                <w:szCs w:val="24"/>
              </w:rPr>
            </w:pPr>
            <w:r>
              <w:rPr>
                <w:noProof/>
              </w:rPr>
              <w:drawing>
                <wp:anchor distT="0" distB="0" distL="114300" distR="114300" simplePos="0" relativeHeight="251659264" behindDoc="1" locked="0" layoutInCell="1" allowOverlap="1" wp14:anchorId="32EBE4C8" wp14:editId="465B3B97">
                  <wp:simplePos x="0" y="0"/>
                  <wp:positionH relativeFrom="column">
                    <wp:posOffset>355600</wp:posOffset>
                  </wp:positionH>
                  <wp:positionV relativeFrom="paragraph">
                    <wp:posOffset>79513</wp:posOffset>
                  </wp:positionV>
                  <wp:extent cx="2336800" cy="1240155"/>
                  <wp:effectExtent l="0" t="0" r="6350" b="0"/>
                  <wp:wrapTight wrapText="bothSides">
                    <wp:wrapPolygon edited="0">
                      <wp:start x="0" y="0"/>
                      <wp:lineTo x="0" y="21235"/>
                      <wp:lineTo x="21483" y="21235"/>
                      <wp:lineTo x="21483" y="0"/>
                      <wp:lineTo x="0" y="0"/>
                    </wp:wrapPolygon>
                  </wp:wrapTight>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extLst>
                              <a:ext uri="{28A0092B-C50C-407E-A947-70E740481C1C}">
                                <a14:useLocalDpi xmlns:a14="http://schemas.microsoft.com/office/drawing/2010/main" val="0"/>
                              </a:ext>
                            </a:extLst>
                          </a:blip>
                          <a:srcRect l="271" t="13760" r="46775" b="33373"/>
                          <a:stretch>
                            <a:fillRect/>
                          </a:stretch>
                        </pic:blipFill>
                        <pic:spPr>
                          <a:xfrm>
                            <a:off x="0" y="0"/>
                            <a:ext cx="2336800" cy="1240155"/>
                          </a:xfrm>
                          <a:prstGeom prst="rect">
                            <a:avLst/>
                          </a:prstGeom>
                          <a:ln/>
                        </pic:spPr>
                      </pic:pic>
                    </a:graphicData>
                  </a:graphic>
                  <wp14:sizeRelH relativeFrom="margin">
                    <wp14:pctWidth>0</wp14:pctWidth>
                  </wp14:sizeRelH>
                  <wp14:sizeRelV relativeFrom="margin">
                    <wp14:pctHeight>0</wp14:pctHeight>
                  </wp14:sizeRelV>
                </wp:anchor>
              </w:drawing>
            </w:r>
          </w:p>
        </w:tc>
        <w:tc>
          <w:tcPr>
            <w:tcW w:w="4536" w:type="dxa"/>
          </w:tcPr>
          <w:p w14:paraId="1EEC5BE0" w14:textId="2E40E065"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Hay cosas que cuando se mezclan, son peligrosas.</w:t>
            </w:r>
          </w:p>
          <w:p w14:paraId="09ED5DF5" w14:textId="77777777" w:rsidR="009149A7" w:rsidRPr="009149A7" w:rsidRDefault="009149A7" w:rsidP="007728E6">
            <w:pPr>
              <w:pStyle w:val="Sinespaciado"/>
              <w:ind w:left="179" w:right="174"/>
              <w:jc w:val="both"/>
              <w:rPr>
                <w:sz w:val="14"/>
                <w:szCs w:val="14"/>
              </w:rPr>
            </w:pPr>
          </w:p>
          <w:p w14:paraId="0460C92C" w14:textId="19E02FD0"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Como </w:t>
            </w:r>
            <w:r>
              <w:rPr>
                <w:rFonts w:ascii="Arial" w:eastAsia="Arial" w:hAnsi="Arial" w:cs="Arial"/>
                <w:b/>
                <w:color w:val="000000"/>
                <w:sz w:val="24"/>
                <w:szCs w:val="24"/>
              </w:rPr>
              <w:t>el PRI y el PAN.</w:t>
            </w:r>
            <w:r w:rsidR="007728E6">
              <w:rPr>
                <w:rFonts w:ascii="Arial" w:eastAsia="Arial" w:hAnsi="Arial" w:cs="Arial"/>
                <w:b/>
                <w:color w:val="000000"/>
                <w:sz w:val="24"/>
                <w:szCs w:val="24"/>
              </w:rPr>
              <w:t xml:space="preserve"> </w:t>
            </w:r>
            <w:r>
              <w:rPr>
                <w:rFonts w:ascii="Arial" w:eastAsia="Arial" w:hAnsi="Arial" w:cs="Arial"/>
                <w:b/>
                <w:color w:val="000000"/>
                <w:sz w:val="24"/>
                <w:szCs w:val="24"/>
              </w:rPr>
              <w:t>Separados roban sin control</w:t>
            </w:r>
            <w:r>
              <w:rPr>
                <w:rFonts w:ascii="Arial" w:eastAsia="Arial" w:hAnsi="Arial" w:cs="Arial"/>
                <w:color w:val="000000"/>
                <w:sz w:val="24"/>
                <w:szCs w:val="24"/>
              </w:rPr>
              <w:t>, juntos serán peores.</w:t>
            </w:r>
          </w:p>
          <w:p w14:paraId="3F347794" w14:textId="77777777" w:rsidR="009149A7" w:rsidRPr="009149A7" w:rsidRDefault="009149A7" w:rsidP="007728E6">
            <w:pPr>
              <w:pStyle w:val="Sinespaciado"/>
              <w:ind w:left="179" w:right="174"/>
              <w:jc w:val="both"/>
              <w:rPr>
                <w:sz w:val="14"/>
                <w:szCs w:val="14"/>
              </w:rPr>
            </w:pPr>
          </w:p>
          <w:p w14:paraId="10125F99"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Lo único que les une, es la corrupción. </w:t>
            </w:r>
          </w:p>
        </w:tc>
      </w:tr>
      <w:tr w:rsidR="00256634" w14:paraId="12AA62F9" w14:textId="77777777" w:rsidTr="007728E6">
        <w:trPr>
          <w:trHeight w:val="692"/>
        </w:trPr>
        <w:tc>
          <w:tcPr>
            <w:tcW w:w="5098" w:type="dxa"/>
          </w:tcPr>
          <w:p w14:paraId="5336656F" w14:textId="77777777" w:rsidR="00256634" w:rsidRDefault="000F0709">
            <w:pPr>
              <w:tabs>
                <w:tab w:val="left" w:pos="426"/>
              </w:tabs>
              <w:spacing w:line="360" w:lineRule="auto"/>
              <w:ind w:right="36"/>
              <w:jc w:val="right"/>
              <w:rPr>
                <w:rFonts w:ascii="Arial" w:eastAsia="Arial" w:hAnsi="Arial" w:cs="Arial"/>
                <w:color w:val="000000"/>
                <w:sz w:val="24"/>
                <w:szCs w:val="24"/>
              </w:rPr>
            </w:pPr>
            <w:r>
              <w:rPr>
                <w:noProof/>
              </w:rPr>
              <w:lastRenderedPageBreak/>
              <w:drawing>
                <wp:anchor distT="0" distB="0" distL="114300" distR="114300" simplePos="0" relativeHeight="251660288" behindDoc="1" locked="0" layoutInCell="1" allowOverlap="1" wp14:anchorId="1247949D" wp14:editId="67567F42">
                  <wp:simplePos x="0" y="0"/>
                  <wp:positionH relativeFrom="column">
                    <wp:posOffset>356235</wp:posOffset>
                  </wp:positionH>
                  <wp:positionV relativeFrom="paragraph">
                    <wp:posOffset>3810</wp:posOffset>
                  </wp:positionV>
                  <wp:extent cx="2337435" cy="1569720"/>
                  <wp:effectExtent l="0" t="0" r="5715" b="0"/>
                  <wp:wrapSquare wrapText="bothSides"/>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extLst>
                              <a:ext uri="{28A0092B-C50C-407E-A947-70E740481C1C}">
                                <a14:useLocalDpi xmlns:a14="http://schemas.microsoft.com/office/drawing/2010/main" val="0"/>
                              </a:ext>
                            </a:extLst>
                          </a:blip>
                          <a:srcRect l="542" t="14243" r="47183" b="33373"/>
                          <a:stretch>
                            <a:fillRect/>
                          </a:stretch>
                        </pic:blipFill>
                        <pic:spPr>
                          <a:xfrm>
                            <a:off x="0" y="0"/>
                            <a:ext cx="2337435" cy="1569720"/>
                          </a:xfrm>
                          <a:prstGeom prst="rect">
                            <a:avLst/>
                          </a:prstGeom>
                          <a:ln/>
                        </pic:spPr>
                      </pic:pic>
                    </a:graphicData>
                  </a:graphic>
                  <wp14:sizeRelV relativeFrom="margin">
                    <wp14:pctHeight>0</wp14:pctHeight>
                  </wp14:sizeRelV>
                </wp:anchor>
              </w:drawing>
            </w:r>
          </w:p>
        </w:tc>
        <w:tc>
          <w:tcPr>
            <w:tcW w:w="4536" w:type="dxa"/>
          </w:tcPr>
          <w:p w14:paraId="68DE46DD" w14:textId="5ADC3E1C" w:rsidR="00256634" w:rsidRDefault="000F0709" w:rsidP="007728E6">
            <w:pPr>
              <w:pBdr>
                <w:top w:val="nil"/>
                <w:left w:val="nil"/>
                <w:bottom w:val="nil"/>
                <w:right w:val="nil"/>
                <w:between w:val="nil"/>
              </w:pBdr>
              <w:ind w:left="179" w:right="174"/>
              <w:jc w:val="both"/>
              <w:rPr>
                <w:rFonts w:ascii="Arial" w:eastAsia="Arial" w:hAnsi="Arial" w:cs="Arial"/>
                <w:i/>
                <w:color w:val="000000"/>
                <w:sz w:val="24"/>
                <w:szCs w:val="24"/>
              </w:rPr>
            </w:pPr>
            <w:r>
              <w:rPr>
                <w:rFonts w:ascii="Arial" w:eastAsia="Arial" w:hAnsi="Arial" w:cs="Arial"/>
                <w:i/>
                <w:color w:val="000000"/>
                <w:sz w:val="24"/>
                <w:szCs w:val="24"/>
              </w:rPr>
              <w:t xml:space="preserve">Voz en off: </w:t>
            </w:r>
          </w:p>
          <w:p w14:paraId="4E478DBD" w14:textId="77777777" w:rsidR="009149A7" w:rsidRDefault="009149A7" w:rsidP="007728E6">
            <w:pPr>
              <w:pStyle w:val="Sinespaciado"/>
              <w:ind w:left="179" w:right="174"/>
              <w:jc w:val="both"/>
            </w:pPr>
          </w:p>
          <w:p w14:paraId="32516992"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Nora Ruvalcaba, candidata a gobernadora de Aguascalientes. </w:t>
            </w:r>
          </w:p>
          <w:p w14:paraId="784BE558" w14:textId="77777777" w:rsidR="00256634" w:rsidRDefault="000F0709" w:rsidP="007728E6">
            <w:pPr>
              <w:pBdr>
                <w:top w:val="nil"/>
                <w:left w:val="nil"/>
                <w:bottom w:val="nil"/>
                <w:right w:val="nil"/>
                <w:between w:val="nil"/>
              </w:pBdr>
              <w:ind w:left="179" w:right="174"/>
              <w:jc w:val="both"/>
              <w:rPr>
                <w:rFonts w:ascii="Arial" w:eastAsia="Arial" w:hAnsi="Arial" w:cs="Arial"/>
                <w:color w:val="000000"/>
                <w:sz w:val="24"/>
                <w:szCs w:val="24"/>
              </w:rPr>
            </w:pPr>
            <w:r>
              <w:rPr>
                <w:rFonts w:ascii="Arial" w:eastAsia="Arial" w:hAnsi="Arial" w:cs="Arial"/>
                <w:color w:val="000000"/>
                <w:sz w:val="24"/>
                <w:szCs w:val="24"/>
              </w:rPr>
              <w:t xml:space="preserve">Morena, la esperanza de México. </w:t>
            </w:r>
          </w:p>
        </w:tc>
      </w:tr>
    </w:tbl>
    <w:p w14:paraId="341D7038" w14:textId="384E8270" w:rsidR="00256634" w:rsidRDefault="000F0709">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w:t>
      </w:r>
      <w:r w:rsidR="007728E6">
        <w:rPr>
          <w:rFonts w:ascii="Arial" w:eastAsia="Arial" w:hAnsi="Arial" w:cs="Arial"/>
          <w:b/>
          <w:color w:val="000000"/>
          <w:sz w:val="24"/>
          <w:szCs w:val="24"/>
        </w:rPr>
        <w:t>de Morena</w:t>
      </w:r>
      <w:r>
        <w:rPr>
          <w:rFonts w:ascii="Arial" w:eastAsia="Arial" w:hAnsi="Arial" w:cs="Arial"/>
          <w:b/>
          <w:color w:val="000000"/>
          <w:sz w:val="24"/>
          <w:szCs w:val="24"/>
        </w:rPr>
        <w:t xml:space="preserve">. </w:t>
      </w:r>
      <w:r>
        <w:rPr>
          <w:rFonts w:ascii="Arial" w:eastAsia="Arial" w:hAnsi="Arial" w:cs="Arial"/>
          <w:color w:val="000000"/>
          <w:sz w:val="24"/>
          <w:szCs w:val="24"/>
        </w:rPr>
        <w:t xml:space="preserve">El quejoso </w:t>
      </w:r>
      <w:r w:rsidR="008E064A">
        <w:rPr>
          <w:rFonts w:ascii="Arial" w:eastAsia="Arial" w:hAnsi="Arial" w:cs="Arial"/>
          <w:color w:val="000000"/>
          <w:sz w:val="24"/>
          <w:szCs w:val="24"/>
        </w:rPr>
        <w:t>refiere</w:t>
      </w:r>
      <w:r>
        <w:rPr>
          <w:rFonts w:ascii="Arial" w:eastAsia="Arial" w:hAnsi="Arial" w:cs="Arial"/>
          <w:color w:val="000000"/>
          <w:sz w:val="24"/>
          <w:szCs w:val="24"/>
        </w:rPr>
        <w:t xml:space="preserve"> que </w:t>
      </w:r>
      <w:r w:rsidR="002667C7">
        <w:rPr>
          <w:rFonts w:ascii="Arial" w:eastAsia="Arial" w:hAnsi="Arial" w:cs="Arial"/>
          <w:sz w:val="24"/>
          <w:szCs w:val="24"/>
        </w:rPr>
        <w:t>Morena</w:t>
      </w:r>
      <w:r w:rsidR="002667C7">
        <w:rPr>
          <w:rFonts w:ascii="Arial" w:eastAsia="Arial" w:hAnsi="Arial" w:cs="Arial"/>
          <w:b/>
          <w:color w:val="000000"/>
          <w:sz w:val="24"/>
          <w:szCs w:val="24"/>
        </w:rPr>
        <w:t xml:space="preserve"> </w:t>
      </w:r>
      <w:r>
        <w:rPr>
          <w:rFonts w:ascii="Arial" w:eastAsia="Arial" w:hAnsi="Arial" w:cs="Arial"/>
          <w:b/>
          <w:color w:val="000000"/>
          <w:sz w:val="24"/>
          <w:szCs w:val="24"/>
        </w:rPr>
        <w:t xml:space="preserve">incumplió su deber de cuidar </w:t>
      </w:r>
      <w:r>
        <w:rPr>
          <w:rFonts w:ascii="Arial" w:eastAsia="Arial" w:hAnsi="Arial" w:cs="Arial"/>
          <w:color w:val="000000"/>
          <w:sz w:val="24"/>
          <w:szCs w:val="24"/>
        </w:rPr>
        <w:t>que la candidata no incumpliera la normativa electoral.</w:t>
      </w:r>
    </w:p>
    <w:p w14:paraId="6866D8C0" w14:textId="77777777" w:rsidR="00256634" w:rsidRDefault="00256634">
      <w:pPr>
        <w:pBdr>
          <w:top w:val="nil"/>
          <w:left w:val="nil"/>
          <w:bottom w:val="nil"/>
          <w:right w:val="nil"/>
          <w:between w:val="nil"/>
        </w:pBdr>
        <w:rPr>
          <w:color w:val="000000"/>
        </w:rPr>
      </w:pPr>
    </w:p>
    <w:p w14:paraId="4C9637BC" w14:textId="77777777" w:rsidR="00256634" w:rsidRDefault="000F0709">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lo siguiente: </w:t>
      </w:r>
    </w:p>
    <w:p w14:paraId="39E4F60C" w14:textId="77777777" w:rsidR="00256634" w:rsidRDefault="000F0709" w:rsidP="007728E6">
      <w:pPr>
        <w:numPr>
          <w:ilvl w:val="0"/>
          <w:numId w:val="3"/>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Argumentan que la autoridad administrativa no debió admitir la denuncia, </w:t>
      </w:r>
      <w:r>
        <w:rPr>
          <w:rFonts w:ascii="Arial" w:eastAsia="Arial" w:hAnsi="Arial" w:cs="Arial"/>
          <w:sz w:val="24"/>
          <w:szCs w:val="24"/>
        </w:rPr>
        <w:t>al no existir relación entre los hechos planteados y las probanzas ofrecidas,</w:t>
      </w:r>
      <w:r>
        <w:rPr>
          <w:rFonts w:ascii="Arial" w:eastAsia="Arial" w:hAnsi="Arial" w:cs="Arial"/>
          <w:color w:val="000000"/>
          <w:sz w:val="24"/>
          <w:szCs w:val="24"/>
        </w:rPr>
        <w:t xml:space="preserve"> pues </w:t>
      </w:r>
      <w:r>
        <w:rPr>
          <w:rFonts w:ascii="Arial" w:eastAsia="Arial" w:hAnsi="Arial" w:cs="Arial"/>
          <w:sz w:val="24"/>
          <w:szCs w:val="24"/>
        </w:rPr>
        <w:t>estas no</w:t>
      </w:r>
      <w:r>
        <w:rPr>
          <w:rFonts w:ascii="Arial" w:eastAsia="Arial" w:hAnsi="Arial" w:cs="Arial"/>
          <w:color w:val="000000"/>
          <w:sz w:val="24"/>
          <w:szCs w:val="24"/>
        </w:rPr>
        <w:t xml:space="preserve"> </w:t>
      </w:r>
      <w:r>
        <w:rPr>
          <w:rFonts w:ascii="Arial" w:eastAsia="Arial" w:hAnsi="Arial" w:cs="Arial"/>
          <w:sz w:val="24"/>
          <w:szCs w:val="24"/>
        </w:rPr>
        <w:t>logran</w:t>
      </w:r>
      <w:r>
        <w:rPr>
          <w:rFonts w:ascii="Arial" w:eastAsia="Arial" w:hAnsi="Arial" w:cs="Arial"/>
          <w:color w:val="000000"/>
          <w:sz w:val="24"/>
          <w:szCs w:val="24"/>
        </w:rPr>
        <w:t xml:space="preserve"> </w:t>
      </w:r>
      <w:r>
        <w:rPr>
          <w:rFonts w:ascii="Arial" w:eastAsia="Arial" w:hAnsi="Arial" w:cs="Arial"/>
          <w:sz w:val="24"/>
          <w:szCs w:val="24"/>
        </w:rPr>
        <w:t>acreditar</w:t>
      </w:r>
      <w:r>
        <w:rPr>
          <w:rFonts w:ascii="Arial" w:eastAsia="Arial" w:hAnsi="Arial" w:cs="Arial"/>
          <w:color w:val="000000"/>
          <w:sz w:val="24"/>
          <w:szCs w:val="24"/>
        </w:rPr>
        <w:t xml:space="preserve"> que la candidata cuestionada cometiera calumnia en perjuicio del PAN y del PRI</w:t>
      </w:r>
      <w:r>
        <w:rPr>
          <w:rFonts w:ascii="Arial" w:eastAsia="Arial" w:hAnsi="Arial" w:cs="Arial"/>
          <w:sz w:val="24"/>
          <w:szCs w:val="24"/>
        </w:rPr>
        <w:t>.</w:t>
      </w:r>
      <w:r>
        <w:rPr>
          <w:rFonts w:ascii="Arial" w:eastAsia="Arial" w:hAnsi="Arial" w:cs="Arial"/>
          <w:color w:val="000000"/>
          <w:sz w:val="24"/>
          <w:szCs w:val="24"/>
        </w:rPr>
        <w:t xml:space="preserve"> </w:t>
      </w:r>
    </w:p>
    <w:p w14:paraId="1FC00087" w14:textId="5450414A" w:rsidR="00256634" w:rsidRDefault="008E064A" w:rsidP="007728E6">
      <w:pPr>
        <w:numPr>
          <w:ilvl w:val="0"/>
          <w:numId w:val="3"/>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Afirman que </w:t>
      </w:r>
      <w:r w:rsidR="000F0709">
        <w:rPr>
          <w:rFonts w:ascii="Arial" w:eastAsia="Arial" w:hAnsi="Arial" w:cs="Arial"/>
          <w:color w:val="000000"/>
          <w:sz w:val="24"/>
          <w:szCs w:val="24"/>
        </w:rPr>
        <w:t xml:space="preserve">el contenido del video denunciado no </w:t>
      </w:r>
      <w:r w:rsidR="000F0709">
        <w:rPr>
          <w:rFonts w:ascii="Arial" w:eastAsia="Arial" w:hAnsi="Arial" w:cs="Arial"/>
          <w:sz w:val="24"/>
          <w:szCs w:val="24"/>
        </w:rPr>
        <w:t>constituye</w:t>
      </w:r>
      <w:r w:rsidR="000F0709">
        <w:rPr>
          <w:rFonts w:ascii="Arial" w:eastAsia="Arial" w:hAnsi="Arial" w:cs="Arial"/>
          <w:color w:val="000000"/>
          <w:sz w:val="24"/>
          <w:szCs w:val="24"/>
        </w:rPr>
        <w:t xml:space="preserve"> la infracción de calumnia, ya que su supuesta existencia está basada en subjetividades del denunciante y no en indicios.</w:t>
      </w:r>
    </w:p>
    <w:p w14:paraId="23E1108A" w14:textId="6E526C0A" w:rsidR="00256634" w:rsidRDefault="000F0709" w:rsidP="007728E6">
      <w:pPr>
        <w:numPr>
          <w:ilvl w:val="0"/>
          <w:numId w:val="3"/>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Consideran que, en todo caso, el contenido del video denunciado se realizó en el ejercicio de su libertad de expresión, </w:t>
      </w:r>
      <w:r w:rsidR="008E064A">
        <w:rPr>
          <w:rFonts w:ascii="Arial" w:eastAsia="Arial" w:hAnsi="Arial" w:cs="Arial"/>
          <w:color w:val="000000"/>
          <w:sz w:val="24"/>
          <w:szCs w:val="24"/>
        </w:rPr>
        <w:t xml:space="preserve">haciendo referencia a </w:t>
      </w:r>
      <w:r>
        <w:rPr>
          <w:rFonts w:ascii="Arial" w:eastAsia="Arial" w:hAnsi="Arial" w:cs="Arial"/>
          <w:color w:val="000000"/>
          <w:sz w:val="24"/>
          <w:szCs w:val="24"/>
        </w:rPr>
        <w:t xml:space="preserve">un tema de interés general y que forma parte del debate público. </w:t>
      </w:r>
    </w:p>
    <w:p w14:paraId="0C443B47" w14:textId="77777777" w:rsidR="00256634" w:rsidRDefault="000F0709" w:rsidP="007728E6">
      <w:pPr>
        <w:numPr>
          <w:ilvl w:val="0"/>
          <w:numId w:val="3"/>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Sostienen que no se señala a algún representante de los institutos políticos involucrados, es decir, a una persona en concreto, sobre </w:t>
      </w:r>
      <w:r>
        <w:rPr>
          <w:rFonts w:ascii="Arial" w:eastAsia="Arial" w:hAnsi="Arial" w:cs="Arial"/>
          <w:sz w:val="24"/>
          <w:szCs w:val="24"/>
        </w:rPr>
        <w:t>quien</w:t>
      </w:r>
      <w:r>
        <w:rPr>
          <w:rFonts w:ascii="Arial" w:eastAsia="Arial" w:hAnsi="Arial" w:cs="Arial"/>
          <w:color w:val="000000"/>
          <w:sz w:val="24"/>
          <w:szCs w:val="24"/>
        </w:rPr>
        <w:t xml:space="preserve"> recaiga la infracción de calumnia.</w:t>
      </w:r>
    </w:p>
    <w:p w14:paraId="30A2CEA9" w14:textId="77777777" w:rsidR="00256634" w:rsidRDefault="00256634" w:rsidP="007728E6">
      <w:pPr>
        <w:pStyle w:val="Sinespaciado"/>
        <w:rPr>
          <w:rFonts w:eastAsia="Arial"/>
        </w:rPr>
      </w:pPr>
    </w:p>
    <w:p w14:paraId="70DF0840" w14:textId="3C2EE530" w:rsidR="00256634" w:rsidRDefault="000F0709">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 xml:space="preserve">Como se advierte, de la audiencia de pruebas y alegatos, </w:t>
      </w:r>
      <w:r w:rsidR="007728E6">
        <w:rPr>
          <w:rFonts w:ascii="Arial" w:eastAsia="Arial" w:hAnsi="Arial" w:cs="Arial"/>
          <w:color w:val="000000"/>
          <w:sz w:val="24"/>
          <w:szCs w:val="24"/>
        </w:rPr>
        <w:t>a las partes</w:t>
      </w:r>
      <w:r>
        <w:rPr>
          <w:rFonts w:ascii="Arial" w:eastAsia="Arial" w:hAnsi="Arial" w:cs="Arial"/>
          <w:color w:val="000000"/>
          <w:sz w:val="24"/>
          <w:szCs w:val="24"/>
        </w:rPr>
        <w:t xml:space="preserve"> le</w:t>
      </w:r>
      <w:r w:rsidR="007728E6">
        <w:rPr>
          <w:rFonts w:ascii="Arial" w:eastAsia="Arial" w:hAnsi="Arial" w:cs="Arial"/>
          <w:color w:val="000000"/>
          <w:sz w:val="24"/>
          <w:szCs w:val="24"/>
        </w:rPr>
        <w:t>s</w:t>
      </w:r>
      <w:r>
        <w:rPr>
          <w:rFonts w:ascii="Arial" w:eastAsia="Arial" w:hAnsi="Arial" w:cs="Arial"/>
          <w:color w:val="000000"/>
          <w:sz w:val="24"/>
          <w:szCs w:val="24"/>
        </w:rPr>
        <w:t xml:space="preserve"> fueron admitidas y desahogadas las siguientes probanzas:</w:t>
      </w:r>
      <w:r>
        <w:rPr>
          <w:rFonts w:ascii="Arial" w:eastAsia="Arial" w:hAnsi="Arial" w:cs="Arial"/>
          <w:b/>
          <w:sz w:val="24"/>
          <w:szCs w:val="24"/>
        </w:rPr>
        <w:t xml:space="preserve"> </w:t>
      </w:r>
    </w:p>
    <w:p w14:paraId="374C7DCE" w14:textId="77777777" w:rsidR="00256634" w:rsidRDefault="00256634">
      <w:pPr>
        <w:pBdr>
          <w:top w:val="nil"/>
          <w:left w:val="nil"/>
          <w:bottom w:val="nil"/>
          <w:right w:val="nil"/>
          <w:between w:val="nil"/>
        </w:pBdr>
        <w:rPr>
          <w:color w:val="000000"/>
        </w:rPr>
      </w:pPr>
    </w:p>
    <w:p w14:paraId="0C8319BC" w14:textId="23C375E4" w:rsidR="00256634" w:rsidRDefault="000F0709">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los institutos políticos denunciantes: </w:t>
      </w:r>
    </w:p>
    <w:p w14:paraId="1C8E83A6" w14:textId="77777777" w:rsidR="00274769" w:rsidRDefault="00274769" w:rsidP="00274769">
      <w:pPr>
        <w:pStyle w:val="Sinespaciado"/>
        <w:rPr>
          <w:rFonts w:eastAsia="Arial"/>
        </w:rPr>
      </w:pPr>
    </w:p>
    <w:tbl>
      <w:tblPr>
        <w:tblStyle w:val="Tabladecuadrcula4-nfasis31"/>
        <w:tblW w:w="9634" w:type="dxa"/>
        <w:tblLayout w:type="fixed"/>
        <w:tblLook w:val="04A0" w:firstRow="1" w:lastRow="0" w:firstColumn="1" w:lastColumn="0" w:noHBand="0" w:noVBand="1"/>
      </w:tblPr>
      <w:tblGrid>
        <w:gridCol w:w="499"/>
        <w:gridCol w:w="2757"/>
        <w:gridCol w:w="6378"/>
      </w:tblGrid>
      <w:tr w:rsidR="00256634" w14:paraId="1F763AD3" w14:textId="77777777" w:rsidTr="0077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C7F093B" w14:textId="77777777" w:rsidR="00256634" w:rsidRDefault="000F0709">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5091DE4B" w14:textId="77777777" w:rsidR="00256634" w:rsidRDefault="000F0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0709D67D" w14:textId="77777777" w:rsidR="00256634" w:rsidRDefault="000F0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256634" w14:paraId="029AC3A9" w14:textId="77777777" w:rsidTr="007728E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15BB7A16"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1</w:t>
            </w:r>
          </w:p>
        </w:tc>
        <w:tc>
          <w:tcPr>
            <w:tcW w:w="2757" w:type="dxa"/>
          </w:tcPr>
          <w:p w14:paraId="544751C4" w14:textId="361D6B0B" w:rsidR="00256634" w:rsidRPr="007728E6" w:rsidRDefault="000F0709">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Prueba técnica</w:t>
            </w:r>
          </w:p>
        </w:tc>
        <w:tc>
          <w:tcPr>
            <w:tcW w:w="6378" w:type="dxa"/>
          </w:tcPr>
          <w:p w14:paraId="4F18B9BF" w14:textId="77777777" w:rsidR="00256634" w:rsidRDefault="000F070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14">
              <w:r>
                <w:rPr>
                  <w:rFonts w:ascii="Arial" w:eastAsia="Arial" w:hAnsi="Arial" w:cs="Arial"/>
                  <w:color w:val="0000FF"/>
                  <w:sz w:val="18"/>
                  <w:szCs w:val="18"/>
                  <w:u w:val="single"/>
                </w:rPr>
                <w:t>https://www.facebook.com/noraruvalcabamx/videos/657593881997892</w:t>
              </w:r>
            </w:hyperlink>
            <w:r>
              <w:rPr>
                <w:rFonts w:ascii="Arial" w:eastAsia="Arial" w:hAnsi="Arial" w:cs="Arial"/>
                <w:sz w:val="18"/>
                <w:szCs w:val="18"/>
              </w:rPr>
              <w:t>, consistente en una publicación de Facebook de la candidata Nora Ruvalcaba Gámez.</w:t>
            </w:r>
          </w:p>
        </w:tc>
      </w:tr>
      <w:tr w:rsidR="00256634" w14:paraId="3C1899DE" w14:textId="77777777" w:rsidTr="007728E6">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0650D3C2"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2</w:t>
            </w:r>
          </w:p>
        </w:tc>
        <w:tc>
          <w:tcPr>
            <w:tcW w:w="2757" w:type="dxa"/>
          </w:tcPr>
          <w:p w14:paraId="65D87725" w14:textId="283A74A0" w:rsidR="00256634" w:rsidRPr="007728E6" w:rsidRDefault="000F0709">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Prueba técnica</w:t>
            </w:r>
          </w:p>
        </w:tc>
        <w:tc>
          <w:tcPr>
            <w:tcW w:w="6378" w:type="dxa"/>
          </w:tcPr>
          <w:p w14:paraId="3C5FA3B8" w14:textId="77777777" w:rsidR="00256634" w:rsidRDefault="000F070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r>
              <w:rPr>
                <w:rFonts w:ascii="Arial" w:eastAsia="Arial" w:hAnsi="Arial" w:cs="Arial"/>
                <w:color w:val="0000FF"/>
                <w:sz w:val="18"/>
                <w:szCs w:val="18"/>
                <w:u w:val="single"/>
              </w:rPr>
              <w:t>http://www.facebook.com/ads/library/?active_suatuts=all&amp;ad_type=political_and_issue_ads&amp;country=MX&amp;view_all_page_id=815161611910553&amp;sort_data[direction]=desc&amp;sort_data[mode]=relevancy_monthly_gruoped&amp;serch_type=page&amp;media_type=all</w:t>
            </w:r>
            <w:r>
              <w:rPr>
                <w:rFonts w:ascii="Arial" w:eastAsia="Arial" w:hAnsi="Arial" w:cs="Arial"/>
                <w:sz w:val="18"/>
                <w:szCs w:val="18"/>
              </w:rPr>
              <w:t xml:space="preserve">, consistente en uno de los apartados del perfil de Facebook de la candidata Nora Ruvalcaba Gámez. </w:t>
            </w:r>
          </w:p>
        </w:tc>
      </w:tr>
      <w:tr w:rsidR="00256634" w14:paraId="6B5F243A" w14:textId="77777777" w:rsidTr="007728E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16D3B331"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3</w:t>
            </w:r>
          </w:p>
        </w:tc>
        <w:tc>
          <w:tcPr>
            <w:tcW w:w="2757" w:type="dxa"/>
          </w:tcPr>
          <w:p w14:paraId="528E1499" w14:textId="517A5B32" w:rsidR="00256634" w:rsidRPr="007728E6" w:rsidRDefault="000F0709">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Prueba técnica</w:t>
            </w:r>
          </w:p>
        </w:tc>
        <w:tc>
          <w:tcPr>
            <w:tcW w:w="6378" w:type="dxa"/>
          </w:tcPr>
          <w:p w14:paraId="2FB91B75" w14:textId="77777777" w:rsidR="00256634" w:rsidRDefault="000F070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15">
              <w:r>
                <w:rPr>
                  <w:rFonts w:ascii="Arial" w:eastAsia="Arial" w:hAnsi="Arial" w:cs="Arial"/>
                  <w:color w:val="0000FF"/>
                  <w:sz w:val="18"/>
                  <w:szCs w:val="18"/>
                  <w:u w:val="single"/>
                </w:rPr>
                <w:t>https://www.instagram.com/p/CcUE3ktDOnj/</w:t>
              </w:r>
            </w:hyperlink>
            <w:r>
              <w:rPr>
                <w:rFonts w:ascii="Arial" w:eastAsia="Arial" w:hAnsi="Arial" w:cs="Arial"/>
                <w:sz w:val="18"/>
                <w:szCs w:val="18"/>
              </w:rPr>
              <w:t>, consistente en una publicación de Instagram de la candidata Nora Ruvalcaba Gámez.</w:t>
            </w:r>
          </w:p>
        </w:tc>
      </w:tr>
      <w:tr w:rsidR="00256634" w14:paraId="13392FDC" w14:textId="77777777" w:rsidTr="007728E6">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3BFDC546"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4</w:t>
            </w:r>
          </w:p>
        </w:tc>
        <w:tc>
          <w:tcPr>
            <w:tcW w:w="2757" w:type="dxa"/>
          </w:tcPr>
          <w:p w14:paraId="1185E02E" w14:textId="54341EE6" w:rsidR="00256634" w:rsidRPr="007728E6" w:rsidRDefault="000F0709">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Prueba técnica</w:t>
            </w:r>
          </w:p>
        </w:tc>
        <w:tc>
          <w:tcPr>
            <w:tcW w:w="6378" w:type="dxa"/>
          </w:tcPr>
          <w:p w14:paraId="57F5FEB4" w14:textId="77777777" w:rsidR="00256634" w:rsidRDefault="000F070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Inspección judicial del link </w:t>
            </w:r>
            <w:hyperlink r:id="rId16">
              <w:r>
                <w:rPr>
                  <w:rFonts w:ascii="Arial" w:eastAsia="Arial" w:hAnsi="Arial" w:cs="Arial"/>
                  <w:color w:val="0000FF"/>
                  <w:sz w:val="18"/>
                  <w:szCs w:val="18"/>
                  <w:u w:val="single"/>
                </w:rPr>
                <w:t>https://www.youtube.com/watch?v=kVBL6pzeBs</w:t>
              </w:r>
            </w:hyperlink>
            <w:r>
              <w:rPr>
                <w:rFonts w:ascii="Arial" w:eastAsia="Arial" w:hAnsi="Arial" w:cs="Arial"/>
                <w:sz w:val="18"/>
                <w:szCs w:val="18"/>
              </w:rPr>
              <w:t xml:space="preserve">, consistente en un vídeo publicado en el perfil de la candidata Nora Ruvalcaba Gámez de </w:t>
            </w:r>
            <w:proofErr w:type="spellStart"/>
            <w:r>
              <w:rPr>
                <w:rFonts w:ascii="Arial" w:eastAsia="Arial" w:hAnsi="Arial" w:cs="Arial"/>
                <w:sz w:val="18"/>
                <w:szCs w:val="18"/>
              </w:rPr>
              <w:t>Youtube</w:t>
            </w:r>
            <w:proofErr w:type="spellEnd"/>
            <w:r>
              <w:rPr>
                <w:rFonts w:ascii="Arial" w:eastAsia="Arial" w:hAnsi="Arial" w:cs="Arial"/>
                <w:sz w:val="18"/>
                <w:szCs w:val="18"/>
              </w:rPr>
              <w:t xml:space="preserve">. </w:t>
            </w:r>
          </w:p>
        </w:tc>
      </w:tr>
      <w:tr w:rsidR="00256634" w14:paraId="217C925F" w14:textId="77777777" w:rsidTr="007728E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13EDD70D"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5</w:t>
            </w:r>
          </w:p>
        </w:tc>
        <w:tc>
          <w:tcPr>
            <w:tcW w:w="2757" w:type="dxa"/>
          </w:tcPr>
          <w:p w14:paraId="45A86EFD" w14:textId="26E8CE08" w:rsidR="00256634" w:rsidRPr="007728E6" w:rsidRDefault="000F0709">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Instrumental de actuaciones</w:t>
            </w:r>
          </w:p>
        </w:tc>
        <w:tc>
          <w:tcPr>
            <w:tcW w:w="6378" w:type="dxa"/>
          </w:tcPr>
          <w:p w14:paraId="69B6B64D" w14:textId="77777777" w:rsidR="00256634" w:rsidRDefault="000F070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256634" w14:paraId="6A0EE60E" w14:textId="77777777" w:rsidTr="007728E6">
        <w:trPr>
          <w:trHeight w:val="384"/>
        </w:trPr>
        <w:tc>
          <w:tcPr>
            <w:cnfStyle w:val="001000000000" w:firstRow="0" w:lastRow="0" w:firstColumn="1" w:lastColumn="0" w:oddVBand="0" w:evenVBand="0" w:oddHBand="0" w:evenHBand="0" w:firstRowFirstColumn="0" w:firstRowLastColumn="0" w:lastRowFirstColumn="0" w:lastRowLastColumn="0"/>
            <w:tcW w:w="499" w:type="dxa"/>
          </w:tcPr>
          <w:p w14:paraId="43081DA7"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6</w:t>
            </w:r>
          </w:p>
        </w:tc>
        <w:tc>
          <w:tcPr>
            <w:tcW w:w="2757" w:type="dxa"/>
          </w:tcPr>
          <w:p w14:paraId="29667306" w14:textId="4C34E1D9" w:rsidR="00256634" w:rsidRPr="007728E6" w:rsidRDefault="000F0709">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Presuncional legal y humana</w:t>
            </w:r>
          </w:p>
        </w:tc>
        <w:tc>
          <w:tcPr>
            <w:tcW w:w="6378" w:type="dxa"/>
          </w:tcPr>
          <w:p w14:paraId="5A578179" w14:textId="77777777" w:rsidR="00256634" w:rsidRDefault="000F070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589CA4E4" w14:textId="77777777" w:rsidR="00256634" w:rsidRPr="00274769" w:rsidRDefault="00256634" w:rsidP="00274769">
      <w:pPr>
        <w:pStyle w:val="Sinespaciado"/>
        <w:rPr>
          <w:sz w:val="36"/>
          <w:szCs w:val="36"/>
        </w:rPr>
      </w:pPr>
    </w:p>
    <w:p w14:paraId="0C6E97B2" w14:textId="0CEA8E03" w:rsidR="00256634" w:rsidRDefault="000F0709">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 xml:space="preserve">3.2. Pruebas aportadas por la candidata y el partido político </w:t>
      </w:r>
      <w:r w:rsidR="007728E6">
        <w:rPr>
          <w:rFonts w:ascii="Arial" w:eastAsia="Arial" w:hAnsi="Arial" w:cs="Arial"/>
          <w:b/>
          <w:sz w:val="24"/>
          <w:szCs w:val="24"/>
        </w:rPr>
        <w:t>denunciados</w:t>
      </w:r>
      <w:r>
        <w:rPr>
          <w:rFonts w:ascii="Arial" w:eastAsia="Arial" w:hAnsi="Arial" w:cs="Arial"/>
          <w:b/>
          <w:sz w:val="24"/>
          <w:szCs w:val="24"/>
        </w:rPr>
        <w:t>:</w:t>
      </w:r>
    </w:p>
    <w:p w14:paraId="1D56BDFE" w14:textId="77777777" w:rsidR="00274769" w:rsidRDefault="00274769" w:rsidP="00274769">
      <w:pPr>
        <w:pStyle w:val="Sinespaciado"/>
        <w:rPr>
          <w:rFonts w:eastAsia="Arial"/>
        </w:rPr>
      </w:pPr>
    </w:p>
    <w:tbl>
      <w:tblPr>
        <w:tblStyle w:val="Tabladecuadrcula4-nfasis31"/>
        <w:tblW w:w="9634" w:type="dxa"/>
        <w:tblLayout w:type="fixed"/>
        <w:tblLook w:val="04A0" w:firstRow="1" w:lastRow="0" w:firstColumn="1" w:lastColumn="0" w:noHBand="0" w:noVBand="1"/>
      </w:tblPr>
      <w:tblGrid>
        <w:gridCol w:w="499"/>
        <w:gridCol w:w="2757"/>
        <w:gridCol w:w="6378"/>
      </w:tblGrid>
      <w:tr w:rsidR="00256634" w14:paraId="62C0CF81" w14:textId="77777777" w:rsidTr="0077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09BE4B7A" w14:textId="77777777" w:rsidR="00256634" w:rsidRDefault="000F0709">
            <w:pPr>
              <w:jc w:val="center"/>
              <w:rPr>
                <w:rFonts w:ascii="Arial" w:eastAsia="Arial" w:hAnsi="Arial" w:cs="Arial"/>
                <w:color w:val="000000"/>
                <w:sz w:val="18"/>
                <w:szCs w:val="18"/>
              </w:rPr>
            </w:pPr>
            <w:r>
              <w:rPr>
                <w:rFonts w:ascii="Arial" w:eastAsia="Arial" w:hAnsi="Arial" w:cs="Arial"/>
                <w:color w:val="000000"/>
                <w:sz w:val="18"/>
                <w:szCs w:val="18"/>
              </w:rPr>
              <w:t>#</w:t>
            </w:r>
          </w:p>
        </w:tc>
        <w:tc>
          <w:tcPr>
            <w:tcW w:w="2757" w:type="dxa"/>
          </w:tcPr>
          <w:p w14:paraId="6462498E" w14:textId="77777777" w:rsidR="00256634" w:rsidRDefault="000F0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378" w:type="dxa"/>
          </w:tcPr>
          <w:p w14:paraId="29ACBC4E" w14:textId="77777777" w:rsidR="00256634" w:rsidRDefault="000F07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256634" w14:paraId="1C246499" w14:textId="77777777" w:rsidTr="007728E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19E57988"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1</w:t>
            </w:r>
          </w:p>
        </w:tc>
        <w:tc>
          <w:tcPr>
            <w:tcW w:w="2757" w:type="dxa"/>
          </w:tcPr>
          <w:p w14:paraId="13741EF1" w14:textId="23C90C9D" w:rsidR="00256634" w:rsidRPr="007728E6" w:rsidRDefault="000F0709">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 xml:space="preserve">Instrumental de actuaciones  </w:t>
            </w:r>
          </w:p>
        </w:tc>
        <w:tc>
          <w:tcPr>
            <w:tcW w:w="6378" w:type="dxa"/>
          </w:tcPr>
          <w:p w14:paraId="68D3B06E" w14:textId="77777777" w:rsidR="00256634" w:rsidRDefault="000F070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256634" w14:paraId="2E608AB8" w14:textId="77777777" w:rsidTr="007728E6">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3B3405FE" w14:textId="77777777" w:rsidR="00256634" w:rsidRPr="007728E6" w:rsidRDefault="000F0709">
            <w:pPr>
              <w:jc w:val="center"/>
              <w:rPr>
                <w:rFonts w:ascii="Arial" w:eastAsia="Arial" w:hAnsi="Arial" w:cs="Arial"/>
                <w:bCs w:val="0"/>
                <w:sz w:val="18"/>
                <w:szCs w:val="18"/>
              </w:rPr>
            </w:pPr>
            <w:r w:rsidRPr="007728E6">
              <w:rPr>
                <w:rFonts w:ascii="Arial" w:eastAsia="Arial" w:hAnsi="Arial" w:cs="Arial"/>
                <w:bCs w:val="0"/>
                <w:sz w:val="18"/>
                <w:szCs w:val="18"/>
              </w:rPr>
              <w:t>2</w:t>
            </w:r>
          </w:p>
        </w:tc>
        <w:tc>
          <w:tcPr>
            <w:tcW w:w="2757" w:type="dxa"/>
          </w:tcPr>
          <w:p w14:paraId="55D6B4E4" w14:textId="77777777" w:rsidR="00256634" w:rsidRPr="007728E6" w:rsidRDefault="000F0709">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7728E6">
              <w:rPr>
                <w:rFonts w:ascii="Arial" w:eastAsia="Arial" w:hAnsi="Arial" w:cs="Arial"/>
                <w:b/>
                <w:sz w:val="18"/>
                <w:szCs w:val="18"/>
              </w:rPr>
              <w:t>Presuncional legal y humana</w:t>
            </w:r>
          </w:p>
        </w:tc>
        <w:tc>
          <w:tcPr>
            <w:tcW w:w="6378" w:type="dxa"/>
          </w:tcPr>
          <w:p w14:paraId="28E683F1" w14:textId="77777777" w:rsidR="00256634" w:rsidRDefault="000F070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48B68A56" w14:textId="77777777" w:rsidR="00256634" w:rsidRDefault="00256634">
      <w:pPr>
        <w:tabs>
          <w:tab w:val="left" w:pos="567"/>
        </w:tabs>
        <w:spacing w:line="360" w:lineRule="auto"/>
        <w:jc w:val="both"/>
        <w:rPr>
          <w:rFonts w:ascii="Arial" w:eastAsia="Arial" w:hAnsi="Arial" w:cs="Arial"/>
          <w:b/>
        </w:rPr>
      </w:pPr>
    </w:p>
    <w:p w14:paraId="1DE5E8C0" w14:textId="77777777" w:rsidR="00256634" w:rsidRDefault="000F0709">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181EC99F" w14:textId="77777777" w:rsidR="00256634" w:rsidRDefault="00256634">
      <w:pPr>
        <w:pBdr>
          <w:top w:val="nil"/>
          <w:left w:val="nil"/>
          <w:bottom w:val="nil"/>
          <w:right w:val="nil"/>
          <w:between w:val="nil"/>
        </w:pBdr>
        <w:rPr>
          <w:color w:val="000000"/>
        </w:rPr>
      </w:pPr>
    </w:p>
    <w:p w14:paraId="70299141"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05B6692C" w14:textId="77777777" w:rsidR="00256634" w:rsidRDefault="00256634">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41ED6885" w14:textId="3695FCE2" w:rsidR="00256634" w:rsidRPr="008E064A" w:rsidRDefault="000F0709">
      <w:pPr>
        <w:numPr>
          <w:ilvl w:val="0"/>
          <w:numId w:val="4"/>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w:t>
      </w:r>
      <w:r w:rsidR="00BD45A3">
        <w:rPr>
          <w:rFonts w:ascii="Arial" w:eastAsia="Arial" w:hAnsi="Arial" w:cs="Arial"/>
          <w:color w:val="000000"/>
          <w:sz w:val="24"/>
          <w:szCs w:val="24"/>
        </w:rPr>
        <w:t>l ciudadano</w:t>
      </w:r>
      <w:r>
        <w:rPr>
          <w:rFonts w:ascii="Arial" w:eastAsia="Arial" w:hAnsi="Arial" w:cs="Arial"/>
          <w:sz w:val="24"/>
          <w:szCs w:val="24"/>
        </w:rPr>
        <w:t xml:space="preserve"> Israel Ángel Ramírez, como representante suplente del PAN </w:t>
      </w:r>
      <w:r w:rsidR="007728E6">
        <w:rPr>
          <w:rFonts w:ascii="Arial" w:eastAsia="Arial" w:hAnsi="Arial" w:cs="Arial"/>
          <w:sz w:val="24"/>
          <w:szCs w:val="24"/>
        </w:rPr>
        <w:t xml:space="preserve">y de la coalición “Va por Aguascalientes” </w:t>
      </w:r>
      <w:r>
        <w:rPr>
          <w:rFonts w:ascii="Arial" w:eastAsia="Arial" w:hAnsi="Arial" w:cs="Arial"/>
          <w:sz w:val="24"/>
          <w:szCs w:val="24"/>
        </w:rPr>
        <w:t xml:space="preserve">ante el Consejo General. </w:t>
      </w:r>
    </w:p>
    <w:p w14:paraId="01C1243C" w14:textId="0F8318AD" w:rsidR="008E064A" w:rsidRPr="008E064A" w:rsidRDefault="008E064A" w:rsidP="008E064A">
      <w:pPr>
        <w:numPr>
          <w:ilvl w:val="0"/>
          <w:numId w:val="4"/>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w:t>
      </w:r>
      <w:r w:rsidR="00BD45A3">
        <w:rPr>
          <w:rFonts w:ascii="Arial" w:eastAsia="Arial" w:hAnsi="Arial" w:cs="Arial"/>
          <w:sz w:val="24"/>
          <w:szCs w:val="24"/>
        </w:rPr>
        <w:t>l ciudadano **</w:t>
      </w:r>
      <w:r>
        <w:rPr>
          <w:rFonts w:ascii="Arial" w:eastAsia="Arial" w:hAnsi="Arial" w:cs="Arial"/>
          <w:sz w:val="24"/>
          <w:szCs w:val="24"/>
        </w:rPr>
        <w:t>, como representante suplente del P</w:t>
      </w:r>
      <w:r w:rsidR="00BD45A3">
        <w:rPr>
          <w:rFonts w:ascii="Arial" w:eastAsia="Arial" w:hAnsi="Arial" w:cs="Arial"/>
          <w:sz w:val="24"/>
          <w:szCs w:val="24"/>
        </w:rPr>
        <w:t>RI</w:t>
      </w:r>
      <w:r>
        <w:rPr>
          <w:rFonts w:ascii="Arial" w:eastAsia="Arial" w:hAnsi="Arial" w:cs="Arial"/>
          <w:sz w:val="24"/>
          <w:szCs w:val="24"/>
        </w:rPr>
        <w:t xml:space="preserve"> ante el Consejo General. </w:t>
      </w:r>
    </w:p>
    <w:p w14:paraId="4BCF7E3F" w14:textId="160DC74D" w:rsidR="00256634" w:rsidRDefault="000F0709">
      <w:pPr>
        <w:numPr>
          <w:ilvl w:val="0"/>
          <w:numId w:val="4"/>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 xml:space="preserve">La calidad de Nora Ruvalcaba Gámez, como candidata de </w:t>
      </w:r>
      <w:r w:rsidR="002667C7">
        <w:rPr>
          <w:rFonts w:ascii="Arial" w:eastAsia="Arial" w:hAnsi="Arial" w:cs="Arial"/>
          <w:sz w:val="24"/>
          <w:szCs w:val="24"/>
        </w:rPr>
        <w:t>Morena</w:t>
      </w:r>
      <w:r>
        <w:rPr>
          <w:rFonts w:ascii="Arial" w:eastAsia="Arial" w:hAnsi="Arial" w:cs="Arial"/>
          <w:sz w:val="24"/>
          <w:szCs w:val="24"/>
        </w:rPr>
        <w:t xml:space="preserve"> a la gubernatura del estado para el actual proceso electoral.</w:t>
      </w:r>
    </w:p>
    <w:p w14:paraId="722B1F1C" w14:textId="7FD2A534" w:rsidR="00256634" w:rsidRDefault="000F0709">
      <w:pPr>
        <w:numPr>
          <w:ilvl w:val="0"/>
          <w:numId w:val="4"/>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existencia del video y, por tanto, del mensaje denunciado</w:t>
      </w:r>
      <w:r w:rsidR="008E064A">
        <w:rPr>
          <w:rFonts w:ascii="Arial" w:eastAsia="Arial" w:hAnsi="Arial" w:cs="Arial"/>
          <w:color w:val="000000"/>
          <w:sz w:val="24"/>
          <w:szCs w:val="24"/>
        </w:rPr>
        <w:t xml:space="preserve"> que se </w:t>
      </w:r>
      <w:r>
        <w:rPr>
          <w:rFonts w:ascii="Arial" w:eastAsia="Arial" w:hAnsi="Arial" w:cs="Arial"/>
          <w:color w:val="000000"/>
          <w:sz w:val="24"/>
          <w:szCs w:val="24"/>
        </w:rPr>
        <w:t>difund</w:t>
      </w:r>
      <w:r w:rsidR="008E064A">
        <w:rPr>
          <w:rFonts w:ascii="Arial" w:eastAsia="Arial" w:hAnsi="Arial" w:cs="Arial"/>
          <w:color w:val="000000"/>
          <w:sz w:val="24"/>
          <w:szCs w:val="24"/>
        </w:rPr>
        <w:t>ió</w:t>
      </w:r>
      <w:r>
        <w:rPr>
          <w:rFonts w:ascii="Arial" w:eastAsia="Arial" w:hAnsi="Arial" w:cs="Arial"/>
          <w:color w:val="000000"/>
          <w:sz w:val="24"/>
          <w:szCs w:val="24"/>
        </w:rPr>
        <w:t xml:space="preserve"> a través de los perfiles de Facebook e Instagram, así como en el canal de </w:t>
      </w:r>
      <w:proofErr w:type="spellStart"/>
      <w:r>
        <w:rPr>
          <w:rFonts w:ascii="Arial" w:eastAsia="Arial" w:hAnsi="Arial" w:cs="Arial"/>
          <w:color w:val="000000"/>
          <w:sz w:val="24"/>
          <w:szCs w:val="24"/>
        </w:rPr>
        <w:t>Youtube</w:t>
      </w:r>
      <w:proofErr w:type="spellEnd"/>
      <w:r>
        <w:rPr>
          <w:rFonts w:ascii="Arial" w:eastAsia="Arial" w:hAnsi="Arial" w:cs="Arial"/>
          <w:color w:val="000000"/>
          <w:sz w:val="24"/>
          <w:szCs w:val="24"/>
        </w:rPr>
        <w:t xml:space="preserve"> de la candidata cuestionada. </w:t>
      </w:r>
    </w:p>
    <w:p w14:paraId="7B556869" w14:textId="77777777" w:rsidR="00256634" w:rsidRDefault="00256634" w:rsidP="00091183">
      <w:pPr>
        <w:pStyle w:val="Sinespaciado"/>
      </w:pPr>
    </w:p>
    <w:p w14:paraId="16936C13"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30A5C5FB" w14:textId="77777777" w:rsidR="00256634" w:rsidRDefault="00256634">
      <w:pPr>
        <w:pBdr>
          <w:top w:val="nil"/>
          <w:left w:val="nil"/>
          <w:bottom w:val="nil"/>
          <w:right w:val="nil"/>
          <w:between w:val="nil"/>
        </w:pBdr>
        <w:rPr>
          <w:color w:val="000000"/>
          <w:sz w:val="14"/>
          <w:szCs w:val="14"/>
        </w:rPr>
      </w:pPr>
    </w:p>
    <w:p w14:paraId="62A9070C" w14:textId="77777777" w:rsidR="00256634" w:rsidRDefault="000F0709">
      <w:pPr>
        <w:numPr>
          <w:ilvl w:val="0"/>
          <w:numId w:val="1"/>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09804189" w14:textId="77777777" w:rsidR="00256634" w:rsidRDefault="00256634">
      <w:pPr>
        <w:pBdr>
          <w:top w:val="nil"/>
          <w:left w:val="nil"/>
          <w:bottom w:val="nil"/>
          <w:right w:val="nil"/>
          <w:between w:val="nil"/>
        </w:pBdr>
        <w:rPr>
          <w:color w:val="000000"/>
          <w:sz w:val="14"/>
          <w:szCs w:val="14"/>
        </w:rPr>
      </w:pPr>
    </w:p>
    <w:p w14:paraId="185EE702" w14:textId="1CA1C31E"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del video denunciado, actualiza la infracción de </w:t>
      </w:r>
      <w:r>
        <w:rPr>
          <w:rFonts w:ascii="Arial" w:eastAsia="Arial" w:hAnsi="Arial" w:cs="Arial"/>
          <w:b/>
          <w:sz w:val="24"/>
          <w:szCs w:val="24"/>
        </w:rPr>
        <w:t>calumnia</w:t>
      </w:r>
      <w:r>
        <w:rPr>
          <w:rFonts w:ascii="Arial" w:eastAsia="Arial" w:hAnsi="Arial" w:cs="Arial"/>
          <w:sz w:val="24"/>
          <w:szCs w:val="24"/>
        </w:rPr>
        <w:t xml:space="preserve"> a partir de </w:t>
      </w:r>
      <w:r w:rsidR="00BD45A3">
        <w:rPr>
          <w:rFonts w:ascii="Arial" w:eastAsia="Arial" w:hAnsi="Arial" w:cs="Arial"/>
          <w:sz w:val="24"/>
          <w:szCs w:val="24"/>
        </w:rPr>
        <w:t xml:space="preserve">una </w:t>
      </w:r>
      <w:r>
        <w:rPr>
          <w:rFonts w:ascii="Arial" w:eastAsia="Arial" w:hAnsi="Arial" w:cs="Arial"/>
          <w:sz w:val="24"/>
          <w:szCs w:val="24"/>
        </w:rPr>
        <w:t xml:space="preserve">imputación falsa de un delito, </w:t>
      </w:r>
      <w:r w:rsidR="00BD45A3">
        <w:rPr>
          <w:rFonts w:ascii="Arial" w:eastAsia="Arial" w:hAnsi="Arial" w:cs="Arial"/>
          <w:sz w:val="24"/>
          <w:szCs w:val="24"/>
        </w:rPr>
        <w:t>cometida en perjuicio de los partidos políticos PAN y PRI</w:t>
      </w:r>
      <w:r>
        <w:rPr>
          <w:rFonts w:ascii="Arial" w:eastAsia="Arial" w:hAnsi="Arial" w:cs="Arial"/>
          <w:sz w:val="24"/>
          <w:szCs w:val="24"/>
        </w:rPr>
        <w:t>?</w:t>
      </w:r>
    </w:p>
    <w:p w14:paraId="0BD10116" w14:textId="77777777" w:rsidR="00256634" w:rsidRDefault="00256634">
      <w:pPr>
        <w:pBdr>
          <w:top w:val="nil"/>
          <w:left w:val="nil"/>
          <w:bottom w:val="nil"/>
          <w:right w:val="nil"/>
          <w:between w:val="nil"/>
        </w:pBdr>
        <w:rPr>
          <w:color w:val="000000"/>
          <w:sz w:val="14"/>
          <w:szCs w:val="14"/>
        </w:rPr>
      </w:pPr>
    </w:p>
    <w:p w14:paraId="64D6217E" w14:textId="77777777" w:rsidR="00BD45A3" w:rsidRDefault="000F0709">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0CF5B031" w14:textId="77777777" w:rsidR="00BD45A3" w:rsidRDefault="00BD45A3" w:rsidP="00B37ECD">
      <w:pPr>
        <w:pStyle w:val="Sinespaciado"/>
        <w:rPr>
          <w:rFonts w:eastAsia="Arial"/>
        </w:rPr>
      </w:pPr>
    </w:p>
    <w:p w14:paraId="6C2355CC" w14:textId="17BD5763" w:rsidR="00256634" w:rsidRDefault="000F0709">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lastRenderedPageBreak/>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declararse la </w:t>
      </w:r>
      <w:r>
        <w:rPr>
          <w:rFonts w:ascii="Arial" w:eastAsia="Arial" w:hAnsi="Arial" w:cs="Arial"/>
          <w:b/>
          <w:sz w:val="24"/>
          <w:szCs w:val="24"/>
        </w:rPr>
        <w:t xml:space="preserve">existencia </w:t>
      </w:r>
      <w:r>
        <w:rPr>
          <w:rFonts w:ascii="Arial" w:eastAsia="Arial" w:hAnsi="Arial" w:cs="Arial"/>
          <w:sz w:val="24"/>
          <w:szCs w:val="24"/>
        </w:rPr>
        <w:t>de la infracción de calumnia en perjuicio de los institutos políticos Partido Revolucionario Institucional y Partido Acción Nacional, atribuida a la ciudadana Nora Ruvalcaba Gámez, candidata a la gubernatura del estado por el partido Morena</w:t>
      </w:r>
      <w:r w:rsidR="00BD45A3">
        <w:rPr>
          <w:rFonts w:ascii="Arial" w:eastAsia="Arial" w:hAnsi="Arial" w:cs="Arial"/>
          <w:sz w:val="24"/>
          <w:szCs w:val="24"/>
        </w:rPr>
        <w:t>,</w:t>
      </w:r>
      <w:r>
        <w:rPr>
          <w:rFonts w:ascii="Arial" w:eastAsia="Arial" w:hAnsi="Arial" w:cs="Arial"/>
          <w:sz w:val="24"/>
          <w:szCs w:val="24"/>
        </w:rPr>
        <w:t xml:space="preserve"> derivado de la difusión de un video a través de sus redes sociales, mismo que contiene expresiones calumniosas</w:t>
      </w:r>
      <w:r w:rsidR="00661E36" w:rsidRPr="00661E36">
        <w:rPr>
          <w:rFonts w:ascii="Arial" w:eastAsia="Arial" w:hAnsi="Arial" w:cs="Arial"/>
          <w:sz w:val="24"/>
          <w:szCs w:val="24"/>
        </w:rPr>
        <w:t xml:space="preserve">; y, en consecuencia, se acredita la </w:t>
      </w:r>
      <w:r w:rsidR="00661E36" w:rsidRPr="00661E36">
        <w:rPr>
          <w:rFonts w:ascii="Arial" w:eastAsia="Arial" w:hAnsi="Arial" w:cs="Arial"/>
          <w:b/>
          <w:bCs/>
          <w:sz w:val="24"/>
          <w:szCs w:val="24"/>
        </w:rPr>
        <w:t>existencia</w:t>
      </w:r>
      <w:r w:rsidR="00661E36" w:rsidRPr="00661E36">
        <w:rPr>
          <w:rFonts w:ascii="Arial" w:eastAsia="Arial" w:hAnsi="Arial" w:cs="Arial"/>
          <w:sz w:val="24"/>
          <w:szCs w:val="24"/>
        </w:rPr>
        <w:t xml:space="preserve"> de la infracción de </w:t>
      </w:r>
      <w:r w:rsidR="00661E36" w:rsidRPr="00661E36">
        <w:rPr>
          <w:rFonts w:ascii="Arial" w:eastAsia="Arial" w:hAnsi="Arial" w:cs="Arial"/>
          <w:i/>
          <w:iCs/>
          <w:sz w:val="24"/>
          <w:szCs w:val="24"/>
        </w:rPr>
        <w:t>culpa in vigilando</w:t>
      </w:r>
      <w:r w:rsidR="00661E36" w:rsidRPr="00661E36">
        <w:rPr>
          <w:rFonts w:ascii="Arial" w:eastAsia="Arial" w:hAnsi="Arial" w:cs="Arial"/>
          <w:sz w:val="24"/>
          <w:szCs w:val="24"/>
        </w:rPr>
        <w:t xml:space="preserve"> atribuida al partido político Morena.</w:t>
      </w:r>
    </w:p>
    <w:p w14:paraId="21C3E1D3" w14:textId="77777777" w:rsidR="00274769" w:rsidRDefault="00274769">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p>
    <w:p w14:paraId="229F64C7" w14:textId="74FFA031" w:rsidR="00256634" w:rsidRDefault="000F0709">
      <w:pPr>
        <w:spacing w:before="240" w:after="240" w:line="360" w:lineRule="auto"/>
        <w:jc w:val="both"/>
        <w:rPr>
          <w:color w:val="000000"/>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w:t>
      </w:r>
      <w:proofErr w:type="gramStart"/>
      <w:r>
        <w:rPr>
          <w:rFonts w:ascii="Arial" w:eastAsia="Arial" w:hAnsi="Arial" w:cs="Arial"/>
          <w:sz w:val="24"/>
          <w:szCs w:val="24"/>
        </w:rPr>
        <w:t>que</w:t>
      </w:r>
      <w:proofErr w:type="gramEnd"/>
      <w:r>
        <w:rPr>
          <w:rFonts w:ascii="Arial" w:eastAsia="Arial" w:hAnsi="Arial" w:cs="Arial"/>
          <w:sz w:val="24"/>
          <w:szCs w:val="24"/>
        </w:rPr>
        <w:t xml:space="preserve"> del análisis del video denunciado, se advierte que la candidata cuestionada</w:t>
      </w:r>
      <w:r w:rsidR="00BD45A3">
        <w:rPr>
          <w:rFonts w:ascii="Arial" w:eastAsia="Arial" w:hAnsi="Arial" w:cs="Arial"/>
          <w:sz w:val="24"/>
          <w:szCs w:val="24"/>
        </w:rPr>
        <w:t xml:space="preserve"> le</w:t>
      </w:r>
      <w:r>
        <w:rPr>
          <w:rFonts w:ascii="Arial" w:eastAsia="Arial" w:hAnsi="Arial" w:cs="Arial"/>
          <w:sz w:val="24"/>
          <w:szCs w:val="24"/>
        </w:rPr>
        <w:t xml:space="preserve"> atribuyó de manera directa a los partidos denunciantes la comisión del delito de robo, sin que de las constancias que existen en el expediente se advierta prueba alguna que sustente su dicho. Lo anterior, con el propósito de provocar un daño a su reputación, en relación con su imagen frente al electorado.</w:t>
      </w:r>
    </w:p>
    <w:p w14:paraId="57E9EEE6" w14:textId="77777777" w:rsidR="00256634" w:rsidRDefault="000F0709">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447EC7C5" w14:textId="77777777" w:rsidR="00256634" w:rsidRDefault="00256634">
      <w:pPr>
        <w:pBdr>
          <w:top w:val="nil"/>
          <w:left w:val="nil"/>
          <w:bottom w:val="nil"/>
          <w:right w:val="nil"/>
          <w:between w:val="nil"/>
        </w:pBdr>
        <w:rPr>
          <w:color w:val="000000"/>
        </w:rPr>
      </w:pPr>
    </w:p>
    <w:p w14:paraId="4EC29EB7" w14:textId="732B12C5" w:rsidR="00256634" w:rsidRDefault="000F0709">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567C044E" w14:textId="77777777" w:rsidR="00091183" w:rsidRDefault="00091183" w:rsidP="00091183">
      <w:pPr>
        <w:pStyle w:val="Sinespaciado"/>
        <w:rPr>
          <w:rFonts w:eastAsia="Arial"/>
        </w:rPr>
      </w:pPr>
    </w:p>
    <w:p w14:paraId="1B4FBDA1" w14:textId="40ECB8FF" w:rsidR="00256634" w:rsidRPr="00091183" w:rsidRDefault="000F0709" w:rsidP="00091183">
      <w:pPr>
        <w:pStyle w:val="Prrafodelista"/>
        <w:numPr>
          <w:ilvl w:val="1"/>
          <w:numId w:val="5"/>
        </w:numPr>
        <w:spacing w:line="360" w:lineRule="auto"/>
        <w:ind w:left="567" w:hanging="567"/>
        <w:jc w:val="both"/>
        <w:rPr>
          <w:rFonts w:ascii="Arial" w:eastAsia="Arial" w:hAnsi="Arial" w:cs="Arial"/>
          <w:b/>
          <w:sz w:val="24"/>
          <w:szCs w:val="24"/>
        </w:rPr>
      </w:pPr>
      <w:r w:rsidRPr="00091183">
        <w:rPr>
          <w:rFonts w:ascii="Arial" w:eastAsia="Arial" w:hAnsi="Arial" w:cs="Arial"/>
          <w:b/>
          <w:sz w:val="24"/>
          <w:szCs w:val="24"/>
        </w:rPr>
        <w:t>Marco normativo de calumnia.</w:t>
      </w:r>
    </w:p>
    <w:p w14:paraId="50212135" w14:textId="77777777" w:rsidR="00091183" w:rsidRDefault="00091183" w:rsidP="00091183">
      <w:pPr>
        <w:pStyle w:val="Sinespaciado"/>
        <w:rPr>
          <w:rFonts w:eastAsia="Arial"/>
        </w:rPr>
      </w:pPr>
    </w:p>
    <w:p w14:paraId="5D2A9996" w14:textId="777A1DAD" w:rsidR="00256634" w:rsidRDefault="000F0709">
      <w:pPr>
        <w:spacing w:line="360" w:lineRule="auto"/>
        <w:jc w:val="both"/>
      </w:pPr>
      <w:r w:rsidRPr="00B46FE6">
        <w:rPr>
          <w:rFonts w:ascii="Arial" w:eastAsia="Arial" w:hAnsi="Arial" w:cs="Arial"/>
          <w:sz w:val="24"/>
          <w:szCs w:val="24"/>
        </w:rPr>
        <w:t>El artículo 6</w:t>
      </w:r>
      <w:r w:rsidR="00B37ECD" w:rsidRPr="00B46FE6">
        <w:rPr>
          <w:rFonts w:ascii="Arial" w:eastAsia="Arial" w:hAnsi="Arial" w:cs="Arial"/>
          <w:sz w:val="24"/>
          <w:szCs w:val="24"/>
        </w:rPr>
        <w:t>°</w:t>
      </w:r>
      <w:r w:rsidRPr="00B46FE6">
        <w:rPr>
          <w:rFonts w:ascii="Arial" w:eastAsia="Arial" w:hAnsi="Arial" w:cs="Arial"/>
          <w:sz w:val="24"/>
          <w:szCs w:val="24"/>
        </w:rPr>
        <w:t>,</w:t>
      </w:r>
      <w:r>
        <w:rPr>
          <w:rFonts w:ascii="Arial" w:eastAsia="Arial" w:hAnsi="Arial" w:cs="Arial"/>
          <w:sz w:val="24"/>
          <w:szCs w:val="24"/>
        </w:rPr>
        <w:t xml:space="preserve"> de la Constitución Federal</w:t>
      </w:r>
      <w:r>
        <w:rPr>
          <w:rFonts w:ascii="Arial" w:eastAsia="Arial" w:hAnsi="Arial" w:cs="Arial"/>
          <w:sz w:val="24"/>
          <w:szCs w:val="24"/>
          <w:vertAlign w:val="superscript"/>
        </w:rPr>
        <w:footnoteReference w:id="8"/>
      </w:r>
      <w:r>
        <w:rPr>
          <w:rFonts w:ascii="Arial" w:eastAsia="Arial" w:hAnsi="Arial" w:cs="Arial"/>
          <w:sz w:val="24"/>
          <w:szCs w:val="24"/>
        </w:rPr>
        <w:t xml:space="preserve"> establece que los supuestos en los cuales la libertad de expresión se encuentra limitada, son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4652F000" w14:textId="77777777" w:rsidR="00256634" w:rsidRDefault="000F0709">
      <w:pPr>
        <w:spacing w:before="240" w:after="240" w:line="360" w:lineRule="auto"/>
        <w:jc w:val="both"/>
      </w:pPr>
      <w:r>
        <w:rPr>
          <w:rFonts w:ascii="Arial" w:eastAsia="Arial" w:hAnsi="Arial" w:cs="Arial"/>
          <w:sz w:val="24"/>
          <w:szCs w:val="24"/>
        </w:rPr>
        <w:t xml:space="preserve">De ahí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la protección a la seguridad nacional y el orden público.</w:t>
      </w:r>
    </w:p>
    <w:p w14:paraId="76CE080A" w14:textId="77777777" w:rsidR="00256634" w:rsidRDefault="000F0709">
      <w:pPr>
        <w:spacing w:before="240" w:after="240" w:line="360" w:lineRule="auto"/>
        <w:jc w:val="both"/>
      </w:pPr>
      <w:r>
        <w:rPr>
          <w:rFonts w:ascii="Arial" w:eastAsia="Arial" w:hAnsi="Arial" w:cs="Arial"/>
          <w:sz w:val="24"/>
          <w:szCs w:val="24"/>
        </w:rPr>
        <w:t>A su vez, el artículo 41, Base II, apartado C</w:t>
      </w:r>
      <w:r>
        <w:rPr>
          <w:rFonts w:ascii="Arial" w:eastAsia="Arial" w:hAnsi="Arial" w:cs="Arial"/>
          <w:sz w:val="24"/>
          <w:szCs w:val="24"/>
          <w:vertAlign w:val="superscript"/>
        </w:rPr>
        <w:footnoteReference w:id="9"/>
      </w:r>
      <w:r>
        <w:rPr>
          <w:rFonts w:ascii="Arial" w:eastAsia="Arial" w:hAnsi="Arial" w:cs="Arial"/>
          <w:sz w:val="24"/>
          <w:szCs w:val="24"/>
        </w:rPr>
        <w:t xml:space="preserve"> del mismo ordenamiento, establece que los partidos políticos y candidatos deben abstenerse de difundir propaganda que calumnie a las personas o que cometan alguna infracción electoral.</w:t>
      </w:r>
    </w:p>
    <w:p w14:paraId="591751E1" w14:textId="0D949044" w:rsidR="00256634" w:rsidRDefault="000F0709">
      <w:pPr>
        <w:spacing w:before="240" w:after="240" w:line="360" w:lineRule="auto"/>
        <w:jc w:val="both"/>
      </w:pPr>
      <w:r>
        <w:rPr>
          <w:rFonts w:ascii="Arial" w:eastAsia="Arial" w:hAnsi="Arial" w:cs="Arial"/>
          <w:sz w:val="24"/>
          <w:szCs w:val="24"/>
        </w:rPr>
        <w:lastRenderedPageBreak/>
        <w:t xml:space="preserve">Por otro lado, el artículo 471, segundo párrafo, de la </w:t>
      </w:r>
      <w:r w:rsidRPr="00B46FE6">
        <w:rPr>
          <w:rFonts w:ascii="Arial" w:eastAsia="Arial" w:hAnsi="Arial" w:cs="Arial"/>
          <w:sz w:val="24"/>
          <w:szCs w:val="24"/>
        </w:rPr>
        <w:t>L</w:t>
      </w:r>
      <w:r w:rsidR="00B46FE6" w:rsidRPr="00B46FE6">
        <w:rPr>
          <w:rFonts w:ascii="Arial" w:eastAsia="Arial" w:hAnsi="Arial" w:cs="Arial"/>
          <w:sz w:val="24"/>
          <w:szCs w:val="24"/>
        </w:rPr>
        <w:t>E</w:t>
      </w:r>
      <w:r w:rsidRPr="00B46FE6">
        <w:rPr>
          <w:rFonts w:ascii="Arial" w:eastAsia="Arial" w:hAnsi="Arial" w:cs="Arial"/>
          <w:sz w:val="24"/>
          <w:szCs w:val="24"/>
        </w:rPr>
        <w:t>GIPE</w:t>
      </w:r>
      <w:r w:rsidRPr="00B46FE6">
        <w:rPr>
          <w:rFonts w:ascii="Arial" w:eastAsia="Arial" w:hAnsi="Arial" w:cs="Arial"/>
          <w:sz w:val="24"/>
          <w:szCs w:val="24"/>
          <w:vertAlign w:val="superscript"/>
        </w:rPr>
        <w:footnoteReference w:id="10"/>
      </w:r>
      <w:r w:rsidRPr="00B46FE6">
        <w:rPr>
          <w:rFonts w:ascii="Arial" w:eastAsia="Arial" w:hAnsi="Arial" w:cs="Arial"/>
          <w:sz w:val="24"/>
          <w:szCs w:val="24"/>
        </w:rPr>
        <w:t xml:space="preserve"> establece</w:t>
      </w:r>
      <w:r>
        <w:rPr>
          <w:rFonts w:ascii="Arial" w:eastAsia="Arial" w:hAnsi="Arial" w:cs="Arial"/>
          <w:sz w:val="24"/>
          <w:szCs w:val="24"/>
        </w:rPr>
        <w:t xml:space="preserv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candidatos</w:t>
      </w:r>
      <w:r>
        <w:rPr>
          <w:rFonts w:ascii="Arial" w:eastAsia="Arial" w:hAnsi="Arial" w:cs="Arial"/>
          <w:sz w:val="24"/>
          <w:szCs w:val="24"/>
        </w:rPr>
        <w:t>, con impacto en un proceso electoral.</w:t>
      </w:r>
    </w:p>
    <w:p w14:paraId="6EAD1474" w14:textId="7352A0E0" w:rsidR="00256634" w:rsidRDefault="000F0709">
      <w:pPr>
        <w:spacing w:before="240" w:after="240" w:line="360" w:lineRule="auto"/>
        <w:jc w:val="both"/>
      </w:pPr>
      <w:r>
        <w:rPr>
          <w:rFonts w:ascii="Arial" w:eastAsia="Arial" w:hAnsi="Arial" w:cs="Arial"/>
          <w:sz w:val="24"/>
          <w:szCs w:val="24"/>
        </w:rPr>
        <w:t xml:space="preserve">En tal sentido, </w:t>
      </w:r>
      <w:r w:rsidRPr="00B46FE6">
        <w:rPr>
          <w:rFonts w:ascii="Arial" w:eastAsia="Arial" w:hAnsi="Arial" w:cs="Arial"/>
          <w:sz w:val="24"/>
          <w:szCs w:val="24"/>
        </w:rPr>
        <w:t>la SCJN</w:t>
      </w:r>
      <w:r>
        <w:rPr>
          <w:rFonts w:ascii="Arial" w:eastAsia="Arial" w:hAnsi="Arial" w:cs="Arial"/>
          <w:sz w:val="24"/>
          <w:szCs w:val="24"/>
          <w:vertAlign w:val="superscript"/>
        </w:rPr>
        <w:footnoteReference w:id="11"/>
      </w:r>
      <w:r>
        <w:rPr>
          <w:rFonts w:ascii="Arial" w:eastAsia="Arial" w:hAnsi="Arial" w:cs="Arial"/>
          <w:sz w:val="24"/>
          <w:szCs w:val="24"/>
        </w:rPr>
        <w:t xml:space="preserve"> estableció que para poder acreditar la calumnia es necesario que se cumplan dos elementos, estos son: </w:t>
      </w:r>
      <w:r w:rsidR="009C0B6C" w:rsidRPr="009C0B6C">
        <w:rPr>
          <w:rFonts w:ascii="Arial" w:eastAsia="Arial" w:hAnsi="Arial" w:cs="Arial"/>
          <w:b/>
          <w:bCs/>
          <w:i/>
          <w:iCs/>
          <w:sz w:val="24"/>
          <w:szCs w:val="24"/>
        </w:rPr>
        <w:t>a)</w:t>
      </w:r>
      <w:r w:rsidR="009C0B6C" w:rsidRPr="009C0B6C">
        <w:rPr>
          <w:rFonts w:ascii="Arial" w:eastAsia="Arial" w:hAnsi="Arial" w:cs="Arial"/>
          <w:b/>
          <w:bCs/>
          <w:sz w:val="24"/>
          <w:szCs w:val="24"/>
        </w:rPr>
        <w:t xml:space="preserve"> personal</w:t>
      </w:r>
      <w:r w:rsidR="009C0B6C">
        <w:rPr>
          <w:rFonts w:ascii="Arial" w:eastAsia="Arial" w:hAnsi="Arial" w:cs="Arial"/>
          <w:sz w:val="24"/>
          <w:szCs w:val="24"/>
        </w:rPr>
        <w:t xml:space="preserve">, que implica valorar al sujeto que fue denunciado que, por lo general, solo pueden ser sancionados por calumnia electoral los partidos políticos, las coaliciones y las </w:t>
      </w:r>
      <w:r w:rsidR="009C0B6C" w:rsidRPr="009C0B6C">
        <w:rPr>
          <w:rFonts w:ascii="Arial" w:eastAsia="Arial" w:hAnsi="Arial" w:cs="Arial"/>
          <w:b/>
          <w:bCs/>
          <w:sz w:val="24"/>
          <w:szCs w:val="24"/>
        </w:rPr>
        <w:t>candidaturas</w:t>
      </w:r>
      <w:r w:rsidR="009C0B6C">
        <w:rPr>
          <w:rFonts w:ascii="Arial" w:eastAsia="Arial" w:hAnsi="Arial" w:cs="Arial"/>
          <w:sz w:val="24"/>
          <w:szCs w:val="24"/>
        </w:rPr>
        <w:t xml:space="preserve">, </w:t>
      </w:r>
      <w:r w:rsidR="009C0B6C">
        <w:rPr>
          <w:rFonts w:ascii="Arial" w:eastAsia="Arial" w:hAnsi="Arial" w:cs="Arial"/>
          <w:b/>
          <w:i/>
          <w:sz w:val="24"/>
          <w:szCs w:val="24"/>
        </w:rPr>
        <w:t>b</w:t>
      </w:r>
      <w:r>
        <w:rPr>
          <w:rFonts w:ascii="Arial" w:eastAsia="Arial" w:hAnsi="Arial" w:cs="Arial"/>
          <w:b/>
          <w:i/>
          <w:sz w:val="24"/>
          <w:szCs w:val="24"/>
        </w:rPr>
        <w:t>)</w:t>
      </w:r>
      <w:r>
        <w:rPr>
          <w:rFonts w:ascii="Arial" w:eastAsia="Arial" w:hAnsi="Arial" w:cs="Arial"/>
          <w:sz w:val="24"/>
          <w:szCs w:val="24"/>
        </w:rPr>
        <w:t xml:space="preserve"> el</w:t>
      </w:r>
      <w:r>
        <w:rPr>
          <w:rFonts w:ascii="Arial" w:eastAsia="Arial" w:hAnsi="Arial" w:cs="Arial"/>
          <w:b/>
          <w:sz w:val="24"/>
          <w:szCs w:val="24"/>
        </w:rPr>
        <w:t xml:space="preserve"> objetivo, </w:t>
      </w:r>
      <w:r>
        <w:rPr>
          <w:rFonts w:ascii="Arial" w:eastAsia="Arial" w:hAnsi="Arial" w:cs="Arial"/>
          <w:sz w:val="24"/>
          <w:szCs w:val="24"/>
        </w:rPr>
        <w:t xml:space="preserve">es decir, que exista una imputación de hechos o delitos falsos y, </w:t>
      </w:r>
      <w:r w:rsidR="009C0B6C" w:rsidRPr="009C0B6C">
        <w:rPr>
          <w:rFonts w:ascii="Arial" w:eastAsia="Arial" w:hAnsi="Arial" w:cs="Arial"/>
          <w:b/>
          <w:bCs/>
          <w:sz w:val="24"/>
          <w:szCs w:val="24"/>
        </w:rPr>
        <w:t>c</w:t>
      </w:r>
      <w:r w:rsidRPr="009C0B6C">
        <w:rPr>
          <w:rFonts w:ascii="Arial" w:eastAsia="Arial" w:hAnsi="Arial" w:cs="Arial"/>
          <w:b/>
          <w:bCs/>
          <w:i/>
          <w:sz w:val="24"/>
          <w:szCs w:val="24"/>
        </w:rPr>
        <w:t>)</w:t>
      </w:r>
      <w:r>
        <w:rPr>
          <w:rFonts w:ascii="Arial" w:eastAsia="Arial" w:hAnsi="Arial" w:cs="Arial"/>
          <w:b/>
          <w:i/>
          <w:sz w:val="24"/>
          <w:szCs w:val="24"/>
        </w:rPr>
        <w:t xml:space="preserve"> </w:t>
      </w:r>
      <w:r>
        <w:rPr>
          <w:rFonts w:ascii="Arial" w:eastAsia="Arial" w:hAnsi="Arial" w:cs="Arial"/>
          <w:sz w:val="24"/>
          <w:szCs w:val="24"/>
        </w:rPr>
        <w:t>el elemento</w:t>
      </w:r>
      <w:r>
        <w:rPr>
          <w:rFonts w:ascii="Arial" w:eastAsia="Arial" w:hAnsi="Arial" w:cs="Arial"/>
          <w:b/>
          <w:sz w:val="24"/>
          <w:szCs w:val="24"/>
        </w:rPr>
        <w:t xml:space="preserve"> subjetivo</w:t>
      </w:r>
      <w:r>
        <w:rPr>
          <w:rFonts w:ascii="Arial" w:eastAsia="Arial" w:hAnsi="Arial" w:cs="Arial"/>
          <w:sz w:val="24"/>
          <w:szCs w:val="24"/>
        </w:rPr>
        <w:t>, que implica que quien realiza la imputación sepa que los hechos y delitos son falsos.</w:t>
      </w:r>
    </w:p>
    <w:p w14:paraId="00F69FAE" w14:textId="77777777" w:rsidR="00256634" w:rsidRDefault="000F0709">
      <w:pPr>
        <w:spacing w:before="240" w:after="240" w:line="360" w:lineRule="auto"/>
        <w:jc w:val="both"/>
      </w:pPr>
      <w:r>
        <w:rPr>
          <w:rFonts w:ascii="Arial" w:eastAsia="Arial" w:hAnsi="Arial" w:cs="Arial"/>
          <w:sz w:val="24"/>
          <w:szCs w:val="24"/>
        </w:rPr>
        <w:t xml:space="preserve">Por su parte, la Sala Superior estableció dos elementos adicionales para poder acreditar tal infracción y, en su caso, sancionar la calumnia. Estos son: </w:t>
      </w:r>
      <w:r>
        <w:rPr>
          <w:rFonts w:ascii="Arial" w:eastAsia="Arial" w:hAnsi="Arial" w:cs="Arial"/>
          <w:b/>
          <w:i/>
          <w:sz w:val="24"/>
          <w:szCs w:val="24"/>
        </w:rPr>
        <w:t>i)</w:t>
      </w:r>
      <w:r>
        <w:rPr>
          <w:rFonts w:ascii="Arial" w:eastAsia="Arial" w:hAnsi="Arial" w:cs="Arial"/>
          <w:sz w:val="24"/>
          <w:szCs w:val="24"/>
        </w:rPr>
        <w:t xml:space="preserve"> que las expresiones tengan un </w:t>
      </w:r>
      <w:r>
        <w:rPr>
          <w:rFonts w:ascii="Arial" w:eastAsia="Arial" w:hAnsi="Arial" w:cs="Arial"/>
          <w:b/>
          <w:sz w:val="24"/>
          <w:szCs w:val="24"/>
        </w:rPr>
        <w:t>impacto en el proceso</w:t>
      </w:r>
      <w:r>
        <w:rPr>
          <w:rFonts w:ascii="Arial" w:eastAsia="Arial" w:hAnsi="Arial" w:cs="Arial"/>
          <w:sz w:val="24"/>
          <w:szCs w:val="24"/>
        </w:rPr>
        <w:t xml:space="preserve"> electoral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las expresiones se hubiesen realizado de </w:t>
      </w:r>
      <w:r>
        <w:rPr>
          <w:rFonts w:ascii="Arial" w:eastAsia="Arial" w:hAnsi="Arial" w:cs="Arial"/>
          <w:b/>
          <w:sz w:val="24"/>
          <w:szCs w:val="24"/>
        </w:rPr>
        <w:t>forma maliciosa</w:t>
      </w:r>
      <w:r>
        <w:rPr>
          <w:rFonts w:ascii="Arial" w:eastAsia="Arial" w:hAnsi="Arial" w:cs="Arial"/>
          <w:sz w:val="24"/>
          <w:szCs w:val="24"/>
        </w:rPr>
        <w:t>. Asimismo, sostuvo que al establecer las expresiones que presuntamente constituyen calumnia no solo deben ser analizadas por su contenido, sino también en su contexto.</w:t>
      </w:r>
      <w:r>
        <w:rPr>
          <w:rFonts w:ascii="Arial" w:eastAsia="Arial" w:hAnsi="Arial" w:cs="Arial"/>
          <w:sz w:val="24"/>
          <w:szCs w:val="24"/>
          <w:vertAlign w:val="superscript"/>
        </w:rPr>
        <w:footnoteReference w:id="12"/>
      </w:r>
    </w:p>
    <w:p w14:paraId="10587B4E" w14:textId="77777777" w:rsidR="00256634" w:rsidRDefault="000F0709">
      <w:pPr>
        <w:spacing w:before="240" w:after="240" w:line="360" w:lineRule="auto"/>
        <w:jc w:val="both"/>
      </w:pPr>
      <w:r>
        <w:rPr>
          <w:rFonts w:ascii="Arial" w:eastAsia="Arial" w:hAnsi="Arial" w:cs="Arial"/>
          <w:sz w:val="24"/>
          <w:szCs w:val="24"/>
        </w:rPr>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ya que </w:t>
      </w:r>
      <w:r>
        <w:rPr>
          <w:rFonts w:ascii="Arial" w:eastAsia="Arial" w:hAnsi="Arial" w:cs="Arial"/>
          <w:b/>
          <w:sz w:val="24"/>
          <w:szCs w:val="24"/>
        </w:rPr>
        <w:t>incluso permite expresiones severas, vehementes, molestas o perturbadoras</w:t>
      </w:r>
      <w:r>
        <w:rPr>
          <w:rFonts w:ascii="Arial" w:eastAsia="Arial" w:hAnsi="Arial" w:cs="Arial"/>
          <w:sz w:val="24"/>
          <w:szCs w:val="24"/>
        </w:rPr>
        <w:t>.</w:t>
      </w:r>
    </w:p>
    <w:p w14:paraId="2D7F0F71" w14:textId="1DA63B17" w:rsidR="00256634" w:rsidRDefault="00091183">
      <w:pPr>
        <w:spacing w:before="240" w:after="240" w:line="360" w:lineRule="auto"/>
        <w:jc w:val="both"/>
      </w:pPr>
      <w:r>
        <w:rPr>
          <w:rFonts w:ascii="Arial" w:eastAsia="Arial" w:hAnsi="Arial" w:cs="Arial"/>
          <w:b/>
          <w:sz w:val="24"/>
          <w:szCs w:val="24"/>
        </w:rPr>
        <w:t>1.</w:t>
      </w:r>
      <w:r w:rsidR="000F0709">
        <w:rPr>
          <w:rFonts w:ascii="Arial" w:eastAsia="Arial" w:hAnsi="Arial" w:cs="Arial"/>
          <w:b/>
          <w:sz w:val="24"/>
          <w:szCs w:val="24"/>
        </w:rPr>
        <w:t>2.</w:t>
      </w:r>
      <w:r w:rsidR="000F0709">
        <w:rPr>
          <w:sz w:val="14"/>
          <w:szCs w:val="14"/>
        </w:rPr>
        <w:t xml:space="preserve">     </w:t>
      </w:r>
      <w:r w:rsidR="000F0709">
        <w:rPr>
          <w:rFonts w:ascii="Arial" w:eastAsia="Arial" w:hAnsi="Arial" w:cs="Arial"/>
          <w:b/>
          <w:sz w:val="24"/>
          <w:szCs w:val="24"/>
        </w:rPr>
        <w:t>Marco normativo de la libertad de expresión en las redes sociales.</w:t>
      </w:r>
    </w:p>
    <w:p w14:paraId="7E80388D" w14:textId="77777777" w:rsidR="00256634" w:rsidRDefault="000F0709">
      <w:pPr>
        <w:spacing w:before="240" w:after="240" w:line="360" w:lineRule="auto"/>
        <w:jc w:val="both"/>
      </w:pPr>
      <w:r>
        <w:rPr>
          <w:rFonts w:ascii="Arial" w:eastAsia="Arial" w:hAnsi="Arial" w:cs="Arial"/>
          <w:sz w:val="24"/>
          <w:szCs w:val="24"/>
        </w:rPr>
        <w:t>Las redes sociales constituyen una herramienta útil para general la comunicación social, ya que permite a un número indefinido de personas, a fin de que puedan acceder, compartir e intercambiar información, de manera global, instantánea y a un bajo costo.</w:t>
      </w:r>
    </w:p>
    <w:p w14:paraId="18068142" w14:textId="77777777" w:rsidR="00256634" w:rsidRDefault="000F0709">
      <w:pPr>
        <w:spacing w:before="240" w:after="240" w:line="360" w:lineRule="auto"/>
        <w:jc w:val="both"/>
      </w:pPr>
      <w:r>
        <w:rPr>
          <w:rFonts w:ascii="Arial" w:eastAsia="Arial" w:hAnsi="Arial" w:cs="Arial"/>
          <w:sz w:val="24"/>
          <w:szCs w:val="24"/>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4C997ECB" w14:textId="77777777" w:rsidR="00256634" w:rsidRDefault="000F0709">
      <w:pPr>
        <w:spacing w:before="240" w:after="240" w:line="360" w:lineRule="auto"/>
        <w:jc w:val="both"/>
      </w:pPr>
      <w:r>
        <w:rPr>
          <w:rFonts w:ascii="Arial" w:eastAsia="Arial" w:hAnsi="Arial" w:cs="Arial"/>
          <w:sz w:val="24"/>
          <w:szCs w:val="24"/>
        </w:rPr>
        <w:lastRenderedPageBreak/>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r>
        <w:t xml:space="preserve"> </w:t>
      </w:r>
    </w:p>
    <w:p w14:paraId="37A205F7" w14:textId="20DA8186" w:rsidR="00256634" w:rsidRDefault="000F0709">
      <w:pPr>
        <w:spacing w:before="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w:t>
      </w:r>
      <w:r w:rsidR="00091183">
        <w:rPr>
          <w:rFonts w:ascii="Arial" w:eastAsia="Arial" w:hAnsi="Arial" w:cs="Arial"/>
          <w:sz w:val="24"/>
          <w:szCs w:val="24"/>
        </w:rPr>
        <w:t>que,</w:t>
      </w:r>
      <w:r>
        <w:rPr>
          <w:rFonts w:ascii="Arial" w:eastAsia="Arial" w:hAnsi="Arial" w:cs="Arial"/>
          <w:sz w:val="24"/>
          <w:szCs w:val="24"/>
        </w:rPr>
        <w:t xml:space="preserv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5DCBB4DD" w14:textId="72BB0E87" w:rsidR="00256634" w:rsidRDefault="00256634">
      <w:pPr>
        <w:pBdr>
          <w:top w:val="nil"/>
          <w:left w:val="nil"/>
          <w:bottom w:val="nil"/>
          <w:right w:val="nil"/>
          <w:between w:val="nil"/>
        </w:pBdr>
        <w:tabs>
          <w:tab w:val="left" w:pos="284"/>
        </w:tabs>
        <w:ind w:right="36"/>
        <w:jc w:val="both"/>
        <w:rPr>
          <w:rFonts w:ascii="Arial" w:eastAsia="Arial" w:hAnsi="Arial" w:cs="Arial"/>
          <w:sz w:val="24"/>
          <w:szCs w:val="24"/>
        </w:rPr>
      </w:pPr>
    </w:p>
    <w:p w14:paraId="0D2937B3" w14:textId="014A7BD0" w:rsidR="00274769" w:rsidRDefault="00274769">
      <w:pPr>
        <w:pBdr>
          <w:top w:val="nil"/>
          <w:left w:val="nil"/>
          <w:bottom w:val="nil"/>
          <w:right w:val="nil"/>
          <w:between w:val="nil"/>
        </w:pBdr>
        <w:tabs>
          <w:tab w:val="left" w:pos="284"/>
        </w:tabs>
        <w:ind w:right="36"/>
        <w:jc w:val="both"/>
        <w:rPr>
          <w:rFonts w:ascii="Arial" w:eastAsia="Arial" w:hAnsi="Arial" w:cs="Arial"/>
          <w:sz w:val="24"/>
          <w:szCs w:val="24"/>
        </w:rPr>
      </w:pPr>
    </w:p>
    <w:p w14:paraId="217C8D5E" w14:textId="42480878" w:rsidR="00274769" w:rsidRDefault="00274769">
      <w:pPr>
        <w:pBdr>
          <w:top w:val="nil"/>
          <w:left w:val="nil"/>
          <w:bottom w:val="nil"/>
          <w:right w:val="nil"/>
          <w:between w:val="nil"/>
        </w:pBdr>
        <w:tabs>
          <w:tab w:val="left" w:pos="284"/>
        </w:tabs>
        <w:ind w:right="36"/>
        <w:jc w:val="both"/>
        <w:rPr>
          <w:rFonts w:ascii="Arial" w:eastAsia="Arial" w:hAnsi="Arial" w:cs="Arial"/>
          <w:sz w:val="24"/>
          <w:szCs w:val="24"/>
        </w:rPr>
      </w:pPr>
    </w:p>
    <w:p w14:paraId="6079C736" w14:textId="3ADC3C15" w:rsidR="00274769" w:rsidRDefault="00274769">
      <w:pPr>
        <w:pBdr>
          <w:top w:val="nil"/>
          <w:left w:val="nil"/>
          <w:bottom w:val="nil"/>
          <w:right w:val="nil"/>
          <w:between w:val="nil"/>
        </w:pBdr>
        <w:tabs>
          <w:tab w:val="left" w:pos="284"/>
        </w:tabs>
        <w:ind w:right="36"/>
        <w:jc w:val="both"/>
        <w:rPr>
          <w:rFonts w:ascii="Arial" w:eastAsia="Arial" w:hAnsi="Arial" w:cs="Arial"/>
          <w:sz w:val="24"/>
          <w:szCs w:val="24"/>
        </w:rPr>
      </w:pPr>
    </w:p>
    <w:p w14:paraId="2DF9C6D3" w14:textId="77777777" w:rsidR="00274769" w:rsidRDefault="00274769">
      <w:pPr>
        <w:pBdr>
          <w:top w:val="nil"/>
          <w:left w:val="nil"/>
          <w:bottom w:val="nil"/>
          <w:right w:val="nil"/>
          <w:between w:val="nil"/>
        </w:pBdr>
        <w:tabs>
          <w:tab w:val="left" w:pos="284"/>
        </w:tabs>
        <w:ind w:right="36"/>
        <w:jc w:val="both"/>
        <w:rPr>
          <w:rFonts w:ascii="Arial" w:eastAsia="Arial" w:hAnsi="Arial" w:cs="Arial"/>
          <w:sz w:val="24"/>
          <w:szCs w:val="24"/>
        </w:rPr>
      </w:pPr>
    </w:p>
    <w:p w14:paraId="6AE65DD8" w14:textId="77777777" w:rsidR="00256634" w:rsidRDefault="000F0709">
      <w:pPr>
        <w:pBdr>
          <w:top w:val="nil"/>
          <w:left w:val="nil"/>
          <w:bottom w:val="nil"/>
          <w:right w:val="nil"/>
          <w:between w:val="nil"/>
        </w:pBdr>
        <w:tabs>
          <w:tab w:val="left" w:pos="284"/>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2. Caso Concreto</w:t>
      </w:r>
    </w:p>
    <w:p w14:paraId="22AB2653" w14:textId="77777777" w:rsidR="00256634" w:rsidRDefault="00256634" w:rsidP="00091183">
      <w:pPr>
        <w:pStyle w:val="Sinespaciado"/>
        <w:rPr>
          <w:rFonts w:eastAsia="Arial"/>
        </w:rPr>
      </w:pPr>
    </w:p>
    <w:p w14:paraId="1AEA0590" w14:textId="3E3448D1"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El PAN y PRI, en el contexto del proceso electoral 2021-2022 en el que se renueva a la gubernatura de Aguascalientes, presentaron una queja ante el Instituto Local en contra de Nora Ruvalcaba Gámez, en su calidad de candidata por </w:t>
      </w:r>
      <w:r w:rsidR="002667C7">
        <w:rPr>
          <w:rFonts w:ascii="Arial" w:eastAsia="Arial" w:hAnsi="Arial" w:cs="Arial"/>
          <w:sz w:val="24"/>
          <w:szCs w:val="24"/>
        </w:rPr>
        <w:t>Morena</w:t>
      </w:r>
      <w:r>
        <w:rPr>
          <w:rFonts w:ascii="Arial" w:eastAsia="Arial" w:hAnsi="Arial" w:cs="Arial"/>
          <w:sz w:val="24"/>
          <w:szCs w:val="24"/>
        </w:rPr>
        <w:t xml:space="preserve">, y del propio instituto político porque, a su parecer, la primera cometió calumnia en su contra a partir de la difusión de un video difundido en los perfiles de Facebook e Instagram, así como en el canal de </w:t>
      </w:r>
      <w:proofErr w:type="spellStart"/>
      <w:r>
        <w:rPr>
          <w:rFonts w:ascii="Arial" w:eastAsia="Arial" w:hAnsi="Arial" w:cs="Arial"/>
          <w:sz w:val="24"/>
          <w:szCs w:val="24"/>
        </w:rPr>
        <w:t>Youtube</w:t>
      </w:r>
      <w:proofErr w:type="spellEnd"/>
      <w:r>
        <w:rPr>
          <w:rFonts w:ascii="Arial" w:eastAsia="Arial" w:hAnsi="Arial" w:cs="Arial"/>
          <w:sz w:val="24"/>
          <w:szCs w:val="24"/>
        </w:rPr>
        <w:t xml:space="preserve"> de la candidata cuestionada, en el cual se realiza</w:t>
      </w:r>
      <w:r w:rsidR="009C0B6C">
        <w:rPr>
          <w:rFonts w:ascii="Arial" w:eastAsia="Arial" w:hAnsi="Arial" w:cs="Arial"/>
          <w:sz w:val="24"/>
          <w:szCs w:val="24"/>
        </w:rPr>
        <w:t>ron</w:t>
      </w:r>
      <w:r>
        <w:rPr>
          <w:rFonts w:ascii="Arial" w:eastAsia="Arial" w:hAnsi="Arial" w:cs="Arial"/>
          <w:sz w:val="24"/>
          <w:szCs w:val="24"/>
        </w:rPr>
        <w:t xml:space="preserve"> una serie de expresiones que consistieron en la imputación de un delito previsto en la normativa penal de dicha entidad. </w:t>
      </w:r>
    </w:p>
    <w:p w14:paraId="1EE41CC3" w14:textId="77777777" w:rsidR="00256634" w:rsidRDefault="00256634">
      <w:pPr>
        <w:pBdr>
          <w:top w:val="nil"/>
          <w:left w:val="nil"/>
          <w:bottom w:val="nil"/>
          <w:right w:val="nil"/>
          <w:between w:val="nil"/>
        </w:pBdr>
        <w:rPr>
          <w:color w:val="000000"/>
        </w:rPr>
      </w:pPr>
    </w:p>
    <w:p w14:paraId="30302834"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Las frases que fueron cuestionadas son las siguientes: </w:t>
      </w:r>
    </w:p>
    <w:p w14:paraId="428311AE" w14:textId="77777777" w:rsidR="00256634" w:rsidRDefault="00256634">
      <w:pPr>
        <w:pBdr>
          <w:top w:val="nil"/>
          <w:left w:val="nil"/>
          <w:bottom w:val="nil"/>
          <w:right w:val="nil"/>
          <w:between w:val="nil"/>
        </w:pBdr>
        <w:rPr>
          <w:color w:val="000000"/>
        </w:rPr>
      </w:pPr>
    </w:p>
    <w:p w14:paraId="394A224B" w14:textId="77777777" w:rsidR="00256634" w:rsidRDefault="000F0709" w:rsidP="00091183">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i/>
          <w:sz w:val="22"/>
          <w:szCs w:val="22"/>
        </w:rPr>
        <w:t>“Hay cosas que no se mezclan: el agua y el aceite; la navidad y la política; la fiesta y los celulares.</w:t>
      </w:r>
    </w:p>
    <w:p w14:paraId="6C12682B" w14:textId="77777777" w:rsidR="00256634" w:rsidRDefault="000F0709" w:rsidP="00091183">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i/>
          <w:sz w:val="22"/>
          <w:szCs w:val="22"/>
        </w:rPr>
        <w:t xml:space="preserve">Hay cosas que cuando se mezclan, son peligrosas. Como el </w:t>
      </w:r>
      <w:r>
        <w:rPr>
          <w:rFonts w:ascii="Arial" w:eastAsia="Arial" w:hAnsi="Arial" w:cs="Arial"/>
          <w:b/>
          <w:i/>
          <w:sz w:val="22"/>
          <w:szCs w:val="22"/>
        </w:rPr>
        <w:t xml:space="preserve">PRI y el PAN. </w:t>
      </w:r>
      <w:r>
        <w:rPr>
          <w:rFonts w:ascii="Arial" w:eastAsia="Arial" w:hAnsi="Arial" w:cs="Arial"/>
          <w:i/>
          <w:sz w:val="22"/>
          <w:szCs w:val="22"/>
        </w:rPr>
        <w:t>Separados</w:t>
      </w:r>
      <w:r>
        <w:rPr>
          <w:rFonts w:ascii="Arial" w:eastAsia="Arial" w:hAnsi="Arial" w:cs="Arial"/>
          <w:b/>
          <w:i/>
          <w:sz w:val="22"/>
          <w:szCs w:val="22"/>
        </w:rPr>
        <w:t xml:space="preserve"> robaron si control</w:t>
      </w:r>
      <w:r>
        <w:rPr>
          <w:rFonts w:ascii="Arial" w:eastAsia="Arial" w:hAnsi="Arial" w:cs="Arial"/>
          <w:i/>
          <w:sz w:val="22"/>
          <w:szCs w:val="22"/>
        </w:rPr>
        <w:t xml:space="preserve">, juntos serán peores. </w:t>
      </w:r>
      <w:r>
        <w:rPr>
          <w:rFonts w:ascii="Arial" w:eastAsia="Arial" w:hAnsi="Arial" w:cs="Arial"/>
          <w:b/>
          <w:i/>
          <w:sz w:val="22"/>
          <w:szCs w:val="22"/>
        </w:rPr>
        <w:t>Lo único que les une, es la corrupción</w:t>
      </w:r>
      <w:r>
        <w:rPr>
          <w:rFonts w:ascii="Arial" w:eastAsia="Arial" w:hAnsi="Arial" w:cs="Arial"/>
          <w:i/>
          <w:sz w:val="22"/>
          <w:szCs w:val="22"/>
        </w:rPr>
        <w:t xml:space="preserve">. </w:t>
      </w:r>
    </w:p>
    <w:p w14:paraId="19331A0E" w14:textId="77777777" w:rsidR="00256634" w:rsidRDefault="000F0709" w:rsidP="00091183">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i/>
          <w:sz w:val="22"/>
          <w:szCs w:val="22"/>
        </w:rPr>
        <w:t>Nora Ruvalcaba, candidata a gobernadora de Aguascalientes. Morena, la esperanza de México.”</w:t>
      </w:r>
    </w:p>
    <w:p w14:paraId="587B5C3B" w14:textId="77777777" w:rsidR="00256634" w:rsidRDefault="00256634" w:rsidP="00091183">
      <w:pPr>
        <w:pStyle w:val="Sinespaciado"/>
        <w:rPr>
          <w:rFonts w:eastAsia="Arial"/>
        </w:rPr>
      </w:pPr>
    </w:p>
    <w:p w14:paraId="0F8E38C6" w14:textId="77777777" w:rsidR="00256634" w:rsidRDefault="000F070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E24C8A3" w14:textId="77777777" w:rsidR="00256634" w:rsidRDefault="00256634">
      <w:pPr>
        <w:pBdr>
          <w:top w:val="nil"/>
          <w:left w:val="nil"/>
          <w:bottom w:val="nil"/>
          <w:right w:val="nil"/>
          <w:between w:val="nil"/>
        </w:pBdr>
        <w:rPr>
          <w:color w:val="000000"/>
        </w:rPr>
      </w:pPr>
    </w:p>
    <w:p w14:paraId="443204B5" w14:textId="26F91385"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de un análisis gramatical e integral del contexto en el que se emitió la expresión cuestionada, es posible advertir que efectivamente se </w:t>
      </w:r>
      <w:r>
        <w:rPr>
          <w:rFonts w:ascii="Arial" w:eastAsia="Arial" w:hAnsi="Arial" w:cs="Arial"/>
          <w:b/>
          <w:sz w:val="24"/>
          <w:szCs w:val="24"/>
        </w:rPr>
        <w:t>acredit</w:t>
      </w:r>
      <w:r w:rsidR="00934640">
        <w:rPr>
          <w:rFonts w:ascii="Arial" w:eastAsia="Arial" w:hAnsi="Arial" w:cs="Arial"/>
          <w:b/>
          <w:sz w:val="24"/>
          <w:szCs w:val="24"/>
        </w:rPr>
        <w:t>ó</w:t>
      </w:r>
      <w:r>
        <w:rPr>
          <w:rFonts w:ascii="Arial" w:eastAsia="Arial" w:hAnsi="Arial" w:cs="Arial"/>
          <w:b/>
          <w:sz w:val="24"/>
          <w:szCs w:val="24"/>
        </w:rPr>
        <w:t xml:space="preserve"> la infracción de calumnia</w:t>
      </w:r>
      <w:r>
        <w:rPr>
          <w:rFonts w:ascii="Arial" w:eastAsia="Arial" w:hAnsi="Arial" w:cs="Arial"/>
          <w:sz w:val="24"/>
          <w:szCs w:val="24"/>
        </w:rPr>
        <w:t xml:space="preserve">, al considerar que tal manifestación rebasó los límites permitidos por el derecho a la libertad de expresión en el contexto de un proceso comicial, pues a través de esta, se les atribuyó de forma vinculante un delito de forma directa al PAN y al PRI, en específico, el tipo penal de robo. </w:t>
      </w:r>
    </w:p>
    <w:p w14:paraId="4DEB7862" w14:textId="77777777" w:rsidR="00256634" w:rsidRDefault="00256634">
      <w:pPr>
        <w:pBdr>
          <w:top w:val="nil"/>
          <w:left w:val="nil"/>
          <w:bottom w:val="nil"/>
          <w:right w:val="nil"/>
          <w:between w:val="nil"/>
        </w:pBdr>
        <w:rPr>
          <w:color w:val="000000"/>
        </w:rPr>
      </w:pPr>
    </w:p>
    <w:p w14:paraId="5D761F44" w14:textId="0AA76D3F" w:rsidR="00256634" w:rsidRDefault="000F0709">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Lo anterior, porque tanto de las constancias que existen en el expediente como de las pruebas ofrecidas por la parte denunciada, </w:t>
      </w:r>
      <w:r>
        <w:rPr>
          <w:rFonts w:ascii="Arial" w:eastAsia="Arial" w:hAnsi="Arial" w:cs="Arial"/>
          <w:b/>
          <w:sz w:val="24"/>
          <w:szCs w:val="24"/>
        </w:rPr>
        <w:t>no se advierte ninguna prueba idónea que sustente tal imputación</w:t>
      </w:r>
      <w:r>
        <w:rPr>
          <w:rFonts w:ascii="Arial" w:eastAsia="Arial" w:hAnsi="Arial" w:cs="Arial"/>
          <w:sz w:val="24"/>
          <w:szCs w:val="24"/>
        </w:rPr>
        <w:t>, es decir, que omitió ofrecer alguna prueba -consistente en una resolución firme emitida por una autoridad judicial federal y/o local o algún documento que evidenci</w:t>
      </w:r>
      <w:r w:rsidR="00934640">
        <w:rPr>
          <w:rFonts w:ascii="Arial" w:eastAsia="Arial" w:hAnsi="Arial" w:cs="Arial"/>
          <w:sz w:val="24"/>
          <w:szCs w:val="24"/>
        </w:rPr>
        <w:t>ara</w:t>
      </w:r>
      <w:r>
        <w:rPr>
          <w:rFonts w:ascii="Arial" w:eastAsia="Arial" w:hAnsi="Arial" w:cs="Arial"/>
          <w:sz w:val="24"/>
          <w:szCs w:val="24"/>
        </w:rPr>
        <w:t xml:space="preserve"> la existencia de un proceso penal iniciado en contra de los partidos políticos denunciantes-, que tuvieran como efecto condenarlos o vincularlos por haber cometido o participado en el delito de robo y, a su vez, responsabilizarlos por la comisión del delito en cuestión, a fin de que la candidata denunciada hubiese estado en posibilidad </w:t>
      </w:r>
      <w:r w:rsidR="00934640">
        <w:rPr>
          <w:rFonts w:ascii="Arial" w:eastAsia="Arial" w:hAnsi="Arial" w:cs="Arial"/>
          <w:sz w:val="24"/>
          <w:szCs w:val="24"/>
        </w:rPr>
        <w:t xml:space="preserve">legal </w:t>
      </w:r>
      <w:r>
        <w:rPr>
          <w:rFonts w:ascii="Arial" w:eastAsia="Arial" w:hAnsi="Arial" w:cs="Arial"/>
          <w:sz w:val="24"/>
          <w:szCs w:val="24"/>
        </w:rPr>
        <w:t xml:space="preserve">de emitir una expresión de tal </w:t>
      </w:r>
      <w:r w:rsidR="00934640">
        <w:rPr>
          <w:rFonts w:ascii="Arial" w:eastAsia="Arial" w:hAnsi="Arial" w:cs="Arial"/>
          <w:sz w:val="24"/>
          <w:szCs w:val="24"/>
        </w:rPr>
        <w:t xml:space="preserve">índole. </w:t>
      </w:r>
    </w:p>
    <w:p w14:paraId="179A617A" w14:textId="77777777" w:rsidR="00256634" w:rsidRDefault="00256634">
      <w:pPr>
        <w:pBdr>
          <w:top w:val="nil"/>
          <w:left w:val="nil"/>
          <w:bottom w:val="nil"/>
          <w:right w:val="nil"/>
          <w:between w:val="nil"/>
        </w:pBdr>
        <w:rPr>
          <w:color w:val="000000"/>
        </w:rPr>
      </w:pPr>
    </w:p>
    <w:p w14:paraId="189A3CC5"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Contrario a lo anterior, de las constancias que obran en el expediente se advierte que la parte denunciada dejó de ofrecer pruebas, -con independencia del carácter de estas- que demostraran la situación jurídica en la que se encontraban los instituto políticos denunciantes (PAN y PRI), situación que evidencia que la imputación cuestionada -delito de robo- </w:t>
      </w:r>
      <w:r>
        <w:rPr>
          <w:rFonts w:ascii="Arial" w:eastAsia="Arial" w:hAnsi="Arial" w:cs="Arial"/>
          <w:b/>
          <w:sz w:val="24"/>
          <w:szCs w:val="24"/>
        </w:rPr>
        <w:t>tuvo como propósito generar un daño a la reputación</w:t>
      </w:r>
      <w:r>
        <w:rPr>
          <w:rFonts w:ascii="Arial" w:eastAsia="Arial" w:hAnsi="Arial" w:cs="Arial"/>
          <w:sz w:val="24"/>
          <w:szCs w:val="24"/>
        </w:rPr>
        <w:t xml:space="preserve"> de tales partidos políticos, en relación con su imagen frente al electorado del Estado de Aguascalientes. </w:t>
      </w:r>
    </w:p>
    <w:p w14:paraId="701A14ED" w14:textId="77777777" w:rsidR="00256634" w:rsidRDefault="00256634">
      <w:pPr>
        <w:pBdr>
          <w:top w:val="nil"/>
          <w:left w:val="nil"/>
          <w:bottom w:val="nil"/>
          <w:right w:val="nil"/>
          <w:between w:val="nil"/>
        </w:pBdr>
        <w:rPr>
          <w:color w:val="000000"/>
        </w:rPr>
      </w:pPr>
    </w:p>
    <w:p w14:paraId="33A1AD40"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Lo argumentado es así, porque de acuerdo a la línea jurisprudencial emitida por </w:t>
      </w:r>
      <w:r w:rsidRPr="00B46FE6">
        <w:rPr>
          <w:rFonts w:ascii="Arial" w:eastAsia="Arial" w:hAnsi="Arial" w:cs="Arial"/>
          <w:sz w:val="24"/>
          <w:szCs w:val="24"/>
        </w:rPr>
        <w:t>la SCJN y</w:t>
      </w:r>
      <w:r>
        <w:rPr>
          <w:rFonts w:ascii="Arial" w:eastAsia="Arial" w:hAnsi="Arial" w:cs="Arial"/>
          <w:sz w:val="24"/>
          <w:szCs w:val="24"/>
        </w:rPr>
        <w:t xml:space="preserve"> reiterada por la Sala Superior, para analizar los hechos que posiblemente puedan constituir calumnia, es necesario estudiarlos a través de los elementos siguientes: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i/>
          <w:sz w:val="24"/>
          <w:szCs w:val="24"/>
        </w:rPr>
        <w:t>personal</w:t>
      </w:r>
      <w:r>
        <w:rPr>
          <w:rFonts w:ascii="Arial" w:eastAsia="Arial" w:hAnsi="Arial" w:cs="Arial"/>
          <w:b/>
          <w:sz w:val="24"/>
          <w:szCs w:val="24"/>
        </w:rPr>
        <w:t>:</w:t>
      </w:r>
      <w:r>
        <w:rPr>
          <w:rFonts w:ascii="Arial" w:eastAsia="Arial" w:hAnsi="Arial" w:cs="Arial"/>
          <w:sz w:val="24"/>
          <w:szCs w:val="24"/>
        </w:rPr>
        <w:t xml:space="preserve"> entendido como el sujeto que fue denunciado -solo pueden ser sancionados por calumnia electoral los partidos políticos, coaliciones y </w:t>
      </w:r>
      <w:r w:rsidRPr="00934640">
        <w:rPr>
          <w:rFonts w:ascii="Arial" w:eastAsia="Arial" w:hAnsi="Arial" w:cs="Arial"/>
          <w:b/>
          <w:bCs/>
          <w:sz w:val="24"/>
          <w:szCs w:val="24"/>
          <w:u w:val="single"/>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w:t>
      </w:r>
      <w:r>
        <w:rPr>
          <w:rFonts w:ascii="Arial" w:eastAsia="Arial" w:hAnsi="Arial" w:cs="Arial"/>
          <w:b/>
          <w:sz w:val="24"/>
          <w:szCs w:val="24"/>
        </w:rPr>
        <w:t xml:space="preserve">objetivo: </w:t>
      </w:r>
      <w:r>
        <w:rPr>
          <w:rFonts w:ascii="Arial" w:eastAsia="Arial" w:hAnsi="Arial" w:cs="Arial"/>
          <w:sz w:val="24"/>
          <w:szCs w:val="24"/>
        </w:rPr>
        <w:t xml:space="preserve">es decir, que exista la imputación de algún hecho o delito falso y, </w:t>
      </w:r>
      <w:r>
        <w:rPr>
          <w:rFonts w:ascii="Arial" w:eastAsia="Arial" w:hAnsi="Arial" w:cs="Arial"/>
          <w:b/>
          <w:i/>
          <w:sz w:val="24"/>
          <w:szCs w:val="24"/>
        </w:rPr>
        <w:t xml:space="preserve">c) </w:t>
      </w:r>
      <w:r>
        <w:rPr>
          <w:rFonts w:ascii="Arial" w:eastAsia="Arial" w:hAnsi="Arial" w:cs="Arial"/>
          <w:b/>
          <w:sz w:val="24"/>
          <w:szCs w:val="24"/>
        </w:rPr>
        <w:t>subjetivo:</w:t>
      </w:r>
      <w:r>
        <w:rPr>
          <w:rFonts w:ascii="Arial" w:eastAsia="Arial" w:hAnsi="Arial" w:cs="Arial"/>
          <w:sz w:val="24"/>
          <w:szCs w:val="24"/>
        </w:rPr>
        <w:t xml:space="preserve"> a sabiendas que el hecho o delito que se imputa es falso. </w:t>
      </w:r>
    </w:p>
    <w:p w14:paraId="5C80527B" w14:textId="77777777" w:rsidR="00256634" w:rsidRDefault="00256634">
      <w:pPr>
        <w:pBdr>
          <w:top w:val="nil"/>
          <w:left w:val="nil"/>
          <w:bottom w:val="nil"/>
          <w:right w:val="nil"/>
          <w:between w:val="nil"/>
        </w:pBdr>
        <w:rPr>
          <w:color w:val="000000"/>
        </w:rPr>
      </w:pPr>
    </w:p>
    <w:p w14:paraId="41E9178B" w14:textId="3012EC33"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Ante ello, en primer lugar, </w:t>
      </w:r>
      <w:r>
        <w:rPr>
          <w:rFonts w:ascii="Arial" w:eastAsia="Arial" w:hAnsi="Arial" w:cs="Arial"/>
          <w:b/>
          <w:i/>
          <w:sz w:val="24"/>
          <w:szCs w:val="24"/>
        </w:rPr>
        <w:t>a)</w:t>
      </w:r>
      <w:r>
        <w:rPr>
          <w:rFonts w:ascii="Arial" w:eastAsia="Arial" w:hAnsi="Arial" w:cs="Arial"/>
          <w:sz w:val="24"/>
          <w:szCs w:val="24"/>
        </w:rPr>
        <w:t xml:space="preserve"> </w:t>
      </w:r>
      <w:r>
        <w:rPr>
          <w:rFonts w:ascii="Arial" w:eastAsia="Arial" w:hAnsi="Arial" w:cs="Arial"/>
          <w:b/>
          <w:sz w:val="24"/>
          <w:szCs w:val="24"/>
        </w:rPr>
        <w:t>el elemento personal se acredita</w:t>
      </w:r>
      <w:r>
        <w:rPr>
          <w:rFonts w:ascii="Arial" w:eastAsia="Arial" w:hAnsi="Arial" w:cs="Arial"/>
          <w:sz w:val="24"/>
          <w:szCs w:val="24"/>
        </w:rPr>
        <w:t xml:space="preserve">, ya que es un hecho no controvertido que a quien se le atribuye la imputación de calumnia es a la candidata Nora Ruvalcaba Gámez, quien es postulada por </w:t>
      </w:r>
      <w:r w:rsidR="002667C7">
        <w:rPr>
          <w:rFonts w:ascii="Arial" w:eastAsia="Arial" w:hAnsi="Arial" w:cs="Arial"/>
          <w:sz w:val="24"/>
          <w:szCs w:val="24"/>
        </w:rPr>
        <w:t xml:space="preserve">Morena </w:t>
      </w:r>
      <w:r>
        <w:rPr>
          <w:rFonts w:ascii="Arial" w:eastAsia="Arial" w:hAnsi="Arial" w:cs="Arial"/>
          <w:sz w:val="24"/>
          <w:szCs w:val="24"/>
        </w:rPr>
        <w:t xml:space="preserve">para el proceso electoral (2021-2022) en el que se renovará la gubernatura de Aguascalientes.  </w:t>
      </w:r>
    </w:p>
    <w:p w14:paraId="263907B0" w14:textId="77777777" w:rsidR="00256634" w:rsidRDefault="00256634"/>
    <w:p w14:paraId="74E8BCC2"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En segundo término, </w:t>
      </w:r>
      <w:r>
        <w:rPr>
          <w:rFonts w:ascii="Arial" w:eastAsia="Arial" w:hAnsi="Arial" w:cs="Arial"/>
          <w:b/>
          <w:i/>
          <w:sz w:val="24"/>
          <w:szCs w:val="24"/>
        </w:rPr>
        <w:t xml:space="preserve">b) </w:t>
      </w:r>
      <w:r>
        <w:rPr>
          <w:rFonts w:ascii="Arial" w:eastAsia="Arial" w:hAnsi="Arial" w:cs="Arial"/>
          <w:b/>
          <w:sz w:val="24"/>
          <w:szCs w:val="24"/>
        </w:rPr>
        <w:t>el elemento objetivo también se colma</w:t>
      </w:r>
      <w:r>
        <w:rPr>
          <w:rFonts w:ascii="Arial" w:eastAsia="Arial" w:hAnsi="Arial" w:cs="Arial"/>
          <w:sz w:val="24"/>
          <w:szCs w:val="24"/>
        </w:rPr>
        <w:t>, porque del contenido expreso del video se advierte la expresión siguiente: “</w:t>
      </w:r>
      <w:r>
        <w:rPr>
          <w:rFonts w:ascii="Arial" w:eastAsia="Arial" w:hAnsi="Arial" w:cs="Arial"/>
          <w:i/>
          <w:sz w:val="22"/>
          <w:szCs w:val="22"/>
        </w:rPr>
        <w:t xml:space="preserve">hay cosas que cuando se mezclan, son peligrosas. Como el </w:t>
      </w:r>
      <w:r>
        <w:rPr>
          <w:rFonts w:ascii="Arial" w:eastAsia="Arial" w:hAnsi="Arial" w:cs="Arial"/>
          <w:b/>
          <w:i/>
          <w:sz w:val="22"/>
          <w:szCs w:val="22"/>
        </w:rPr>
        <w:t xml:space="preserve">PRI y el PAN. </w:t>
      </w:r>
      <w:r>
        <w:rPr>
          <w:rFonts w:ascii="Arial" w:eastAsia="Arial" w:hAnsi="Arial" w:cs="Arial"/>
          <w:i/>
          <w:sz w:val="22"/>
          <w:szCs w:val="22"/>
        </w:rPr>
        <w:t>Separados</w:t>
      </w:r>
      <w:r>
        <w:rPr>
          <w:rFonts w:ascii="Arial" w:eastAsia="Arial" w:hAnsi="Arial" w:cs="Arial"/>
          <w:b/>
          <w:i/>
          <w:sz w:val="22"/>
          <w:szCs w:val="22"/>
        </w:rPr>
        <w:t xml:space="preserve"> robaron sin control</w:t>
      </w:r>
      <w:r>
        <w:rPr>
          <w:rFonts w:ascii="Arial" w:eastAsia="Arial" w:hAnsi="Arial" w:cs="Arial"/>
          <w:i/>
          <w:sz w:val="22"/>
          <w:szCs w:val="22"/>
        </w:rPr>
        <w:t>, juntos serán peores.”</w:t>
      </w:r>
    </w:p>
    <w:p w14:paraId="1F9E45CE" w14:textId="77777777" w:rsidR="00256634" w:rsidRDefault="00256634">
      <w:pPr>
        <w:pBdr>
          <w:top w:val="nil"/>
          <w:left w:val="nil"/>
          <w:bottom w:val="nil"/>
          <w:right w:val="nil"/>
          <w:between w:val="nil"/>
        </w:pBdr>
        <w:rPr>
          <w:color w:val="000000"/>
        </w:rPr>
      </w:pPr>
    </w:p>
    <w:p w14:paraId="15E8B5E6"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De ahí que, es posible concluir que del contenido del mensaje se identifica plenamente la atribución directa de un delito al PAN y al PRI, específicamente, el delito de robo. Esta situación demuestra que, en el caso, se está en presencia de la imputación de un tipo penal previsto por el artículo 140, del Código Penal para el Estado de Aguascalientes.</w:t>
      </w:r>
      <w:r>
        <w:rPr>
          <w:rFonts w:ascii="Arial" w:eastAsia="Arial" w:hAnsi="Arial" w:cs="Arial"/>
          <w:sz w:val="24"/>
          <w:szCs w:val="24"/>
          <w:vertAlign w:val="superscript"/>
        </w:rPr>
        <w:footnoteReference w:id="13"/>
      </w:r>
      <w:r>
        <w:rPr>
          <w:rFonts w:ascii="Arial" w:eastAsia="Arial" w:hAnsi="Arial" w:cs="Arial"/>
          <w:sz w:val="24"/>
          <w:szCs w:val="24"/>
        </w:rPr>
        <w:t xml:space="preserve"> Dicho en </w:t>
      </w:r>
      <w:r>
        <w:rPr>
          <w:rFonts w:ascii="Arial" w:eastAsia="Arial" w:hAnsi="Arial" w:cs="Arial"/>
          <w:sz w:val="24"/>
          <w:szCs w:val="24"/>
        </w:rPr>
        <w:lastRenderedPageBreak/>
        <w:t>otras palabras, se advierte que existe una imputación directa entre los hechos delictivos cuestionados en relación con los institutos políticos involucrados.</w:t>
      </w:r>
    </w:p>
    <w:p w14:paraId="1B96E5AA" w14:textId="77777777" w:rsidR="00256634" w:rsidRDefault="00256634">
      <w:pPr>
        <w:pBdr>
          <w:top w:val="nil"/>
          <w:left w:val="nil"/>
          <w:bottom w:val="nil"/>
          <w:right w:val="nil"/>
          <w:between w:val="nil"/>
        </w:pBdr>
        <w:rPr>
          <w:color w:val="000000"/>
        </w:rPr>
      </w:pPr>
    </w:p>
    <w:p w14:paraId="06F56B93" w14:textId="083BEE79"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Finalmente, en lo que respecta al </w:t>
      </w:r>
      <w:r>
        <w:rPr>
          <w:rFonts w:ascii="Arial" w:eastAsia="Arial" w:hAnsi="Arial" w:cs="Arial"/>
          <w:b/>
          <w:i/>
          <w:sz w:val="24"/>
          <w:szCs w:val="24"/>
        </w:rPr>
        <w:t xml:space="preserve">c) </w:t>
      </w:r>
      <w:r>
        <w:rPr>
          <w:rFonts w:ascii="Arial" w:eastAsia="Arial" w:hAnsi="Arial" w:cs="Arial"/>
          <w:b/>
          <w:sz w:val="24"/>
          <w:szCs w:val="24"/>
        </w:rPr>
        <w:t>elemento subjetivo</w:t>
      </w:r>
      <w:r>
        <w:rPr>
          <w:rFonts w:ascii="Arial" w:eastAsia="Arial" w:hAnsi="Arial" w:cs="Arial"/>
          <w:sz w:val="24"/>
          <w:szCs w:val="24"/>
        </w:rPr>
        <w:t xml:space="preserve">, igualmente </w:t>
      </w:r>
      <w:r>
        <w:rPr>
          <w:rFonts w:ascii="Arial" w:eastAsia="Arial" w:hAnsi="Arial" w:cs="Arial"/>
          <w:b/>
          <w:sz w:val="24"/>
          <w:szCs w:val="24"/>
        </w:rPr>
        <w:t>se acredita</w:t>
      </w:r>
      <w:r>
        <w:rPr>
          <w:rFonts w:ascii="Arial" w:eastAsia="Arial" w:hAnsi="Arial" w:cs="Arial"/>
          <w:sz w:val="24"/>
          <w:szCs w:val="24"/>
        </w:rPr>
        <w:t xml:space="preserve">, porque </w:t>
      </w:r>
      <w:r>
        <w:rPr>
          <w:rFonts w:ascii="Arial" w:eastAsia="Arial" w:hAnsi="Arial" w:cs="Arial"/>
          <w:b/>
          <w:sz w:val="24"/>
          <w:szCs w:val="24"/>
        </w:rPr>
        <w:t xml:space="preserve">la parte denunciada omitió </w:t>
      </w:r>
      <w:r w:rsidR="000D5635">
        <w:rPr>
          <w:rFonts w:ascii="Arial" w:eastAsia="Arial" w:hAnsi="Arial" w:cs="Arial"/>
          <w:b/>
          <w:sz w:val="24"/>
          <w:szCs w:val="24"/>
        </w:rPr>
        <w:t>-</w:t>
      </w:r>
      <w:r>
        <w:rPr>
          <w:rFonts w:ascii="Arial" w:eastAsia="Arial" w:hAnsi="Arial" w:cs="Arial"/>
          <w:b/>
          <w:sz w:val="24"/>
          <w:szCs w:val="24"/>
        </w:rPr>
        <w:t>por completo</w:t>
      </w:r>
      <w:r w:rsidR="000D5635">
        <w:rPr>
          <w:rFonts w:ascii="Arial" w:eastAsia="Arial" w:hAnsi="Arial" w:cs="Arial"/>
          <w:b/>
          <w:sz w:val="24"/>
          <w:szCs w:val="24"/>
        </w:rPr>
        <w:t>-</w:t>
      </w:r>
      <w:r>
        <w:rPr>
          <w:rFonts w:ascii="Arial" w:eastAsia="Arial" w:hAnsi="Arial" w:cs="Arial"/>
          <w:b/>
          <w:sz w:val="24"/>
          <w:szCs w:val="24"/>
        </w:rPr>
        <w:t xml:space="preserve"> ofrecer alguna prueba en la que sustentara la expresión realizada</w:t>
      </w:r>
      <w:r>
        <w:rPr>
          <w:rFonts w:ascii="Arial" w:eastAsia="Arial" w:hAnsi="Arial" w:cs="Arial"/>
          <w:sz w:val="24"/>
          <w:szCs w:val="24"/>
        </w:rPr>
        <w:t xml:space="preserve">, es decir, que cuando fue </w:t>
      </w:r>
      <w:proofErr w:type="spellStart"/>
      <w:r>
        <w:rPr>
          <w:rFonts w:ascii="Arial" w:eastAsia="Arial" w:hAnsi="Arial" w:cs="Arial"/>
          <w:sz w:val="24"/>
          <w:szCs w:val="24"/>
        </w:rPr>
        <w:t>emplazada</w:t>
      </w:r>
      <w:proofErr w:type="spellEnd"/>
      <w:r>
        <w:rPr>
          <w:rFonts w:ascii="Arial" w:eastAsia="Arial" w:hAnsi="Arial" w:cs="Arial"/>
          <w:sz w:val="24"/>
          <w:szCs w:val="24"/>
        </w:rPr>
        <w:t xml:space="preserve"> por la autoridad administrativa</w:t>
      </w:r>
      <w:r w:rsidR="000D5635">
        <w:rPr>
          <w:rFonts w:ascii="Arial" w:eastAsia="Arial" w:hAnsi="Arial" w:cs="Arial"/>
          <w:sz w:val="24"/>
          <w:szCs w:val="24"/>
        </w:rPr>
        <w:t xml:space="preserve"> y, en su momento, compareció a la audiencia para deshojar las pruebas y emitir alegatos,</w:t>
      </w:r>
      <w:r>
        <w:rPr>
          <w:rFonts w:ascii="Arial" w:eastAsia="Arial" w:hAnsi="Arial" w:cs="Arial"/>
          <w:sz w:val="24"/>
          <w:szCs w:val="24"/>
        </w:rPr>
        <w:t xml:space="preserve"> únicamente ofreció como medios de prueba la instrumental de actuaciones y la </w:t>
      </w:r>
      <w:proofErr w:type="spellStart"/>
      <w:r>
        <w:rPr>
          <w:rFonts w:ascii="Arial" w:eastAsia="Arial" w:hAnsi="Arial" w:cs="Arial"/>
          <w:sz w:val="24"/>
          <w:szCs w:val="24"/>
        </w:rPr>
        <w:t>presuncional</w:t>
      </w:r>
      <w:proofErr w:type="spellEnd"/>
      <w:r>
        <w:rPr>
          <w:rFonts w:ascii="Arial" w:eastAsia="Arial" w:hAnsi="Arial" w:cs="Arial"/>
          <w:sz w:val="24"/>
          <w:szCs w:val="24"/>
        </w:rPr>
        <w:t xml:space="preserve"> en su doble aspecto, legal y humana, lo cual</w:t>
      </w:r>
      <w:r w:rsidR="00934640">
        <w:rPr>
          <w:rFonts w:ascii="Arial" w:eastAsia="Arial" w:hAnsi="Arial" w:cs="Arial"/>
          <w:sz w:val="24"/>
          <w:szCs w:val="24"/>
        </w:rPr>
        <w:t>,</w:t>
      </w:r>
      <w:r>
        <w:rPr>
          <w:rFonts w:ascii="Arial" w:eastAsia="Arial" w:hAnsi="Arial" w:cs="Arial"/>
          <w:sz w:val="24"/>
          <w:szCs w:val="24"/>
        </w:rPr>
        <w:t xml:space="preserve"> implica la ausencia total de materia</w:t>
      </w:r>
      <w:r w:rsidR="000D5635">
        <w:rPr>
          <w:rFonts w:ascii="Arial" w:eastAsia="Arial" w:hAnsi="Arial" w:cs="Arial"/>
          <w:sz w:val="24"/>
          <w:szCs w:val="24"/>
        </w:rPr>
        <w:t>l</w:t>
      </w:r>
      <w:r>
        <w:rPr>
          <w:rFonts w:ascii="Arial" w:eastAsia="Arial" w:hAnsi="Arial" w:cs="Arial"/>
          <w:sz w:val="24"/>
          <w:szCs w:val="24"/>
        </w:rPr>
        <w:t xml:space="preserve"> probatorio que, en su caso, hubiese motivado la emisión de la </w:t>
      </w:r>
      <w:r w:rsidR="00934640">
        <w:rPr>
          <w:rFonts w:ascii="Arial" w:eastAsia="Arial" w:hAnsi="Arial" w:cs="Arial"/>
          <w:sz w:val="24"/>
          <w:szCs w:val="24"/>
        </w:rPr>
        <w:t xml:space="preserve">expresión </w:t>
      </w:r>
      <w:r>
        <w:rPr>
          <w:rFonts w:ascii="Arial" w:eastAsia="Arial" w:hAnsi="Arial" w:cs="Arial"/>
          <w:sz w:val="24"/>
          <w:szCs w:val="24"/>
        </w:rPr>
        <w:t xml:space="preserve">denunciada. </w:t>
      </w:r>
    </w:p>
    <w:p w14:paraId="102C9E74" w14:textId="77777777" w:rsidR="00256634" w:rsidRDefault="00256634">
      <w:pPr>
        <w:pBdr>
          <w:top w:val="nil"/>
          <w:left w:val="nil"/>
          <w:bottom w:val="nil"/>
          <w:right w:val="nil"/>
          <w:between w:val="nil"/>
        </w:pBdr>
        <w:rPr>
          <w:color w:val="000000"/>
        </w:rPr>
      </w:pPr>
    </w:p>
    <w:p w14:paraId="1AC77686"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En consecuencia, a criterio de esta autoridad jurisdiccional, se considera que el hecho de que la candidata denunciada calumniara un delito en perjuicio del PAN y PRI, sin contar con sustento fáctico alguno, implicó que se evidenciara una </w:t>
      </w:r>
      <w:r>
        <w:rPr>
          <w:rFonts w:ascii="Arial" w:eastAsia="Arial" w:hAnsi="Arial" w:cs="Arial"/>
          <w:b/>
          <w:sz w:val="24"/>
          <w:szCs w:val="24"/>
        </w:rPr>
        <w:t>intención maliciosa de afectarlos sin razón</w:t>
      </w:r>
      <w:r>
        <w:rPr>
          <w:rFonts w:ascii="Arial" w:eastAsia="Arial" w:hAnsi="Arial" w:cs="Arial"/>
          <w:sz w:val="24"/>
          <w:szCs w:val="24"/>
        </w:rPr>
        <w:t>, es decir, que se realizó con la única intención de dañar la imagen de dichos institutos,</w:t>
      </w:r>
      <w:r>
        <w:rPr>
          <w:rFonts w:ascii="Arial" w:eastAsia="Arial" w:hAnsi="Arial" w:cs="Arial"/>
          <w:b/>
          <w:sz w:val="24"/>
          <w:szCs w:val="24"/>
        </w:rPr>
        <w:t xml:space="preserve"> a sabiendas de que ello era falso</w:t>
      </w:r>
      <w:r>
        <w:rPr>
          <w:rFonts w:ascii="Arial" w:eastAsia="Arial" w:hAnsi="Arial" w:cs="Arial"/>
          <w:sz w:val="24"/>
          <w:szCs w:val="24"/>
        </w:rPr>
        <w:t xml:space="preserve">.  </w:t>
      </w:r>
    </w:p>
    <w:p w14:paraId="711AB6DD" w14:textId="77777777" w:rsidR="00256634" w:rsidRDefault="00256634">
      <w:pPr>
        <w:pBdr>
          <w:top w:val="nil"/>
          <w:left w:val="nil"/>
          <w:bottom w:val="nil"/>
          <w:right w:val="nil"/>
          <w:between w:val="nil"/>
        </w:pBdr>
        <w:rPr>
          <w:color w:val="000000"/>
        </w:rPr>
      </w:pPr>
    </w:p>
    <w:p w14:paraId="28E6215D"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La postura asumida por este Tribunal Electoral no resulta contraria a las permisiones que existen entorno a las críticas en contra de las figura públicas en el debate político, pues si bien se tiene en cuenta que se trata del derecho a la libertad de expresión, que reviste una especial protección, también es que </w:t>
      </w:r>
      <w:r>
        <w:rPr>
          <w:rFonts w:ascii="Arial" w:eastAsia="Arial" w:hAnsi="Arial" w:cs="Arial"/>
          <w:b/>
          <w:sz w:val="24"/>
          <w:szCs w:val="24"/>
        </w:rPr>
        <w:t>tal libertad no es absoluta ni ilimitada</w:t>
      </w:r>
      <w:r>
        <w:rPr>
          <w:rFonts w:ascii="Arial" w:eastAsia="Arial" w:hAnsi="Arial" w:cs="Arial"/>
          <w:sz w:val="24"/>
          <w:szCs w:val="24"/>
        </w:rPr>
        <w:t xml:space="preserve">, ya que la imagen y reputación de los institutos políticos en el contexto de un proceso electoral es de suma relevancia para incidir en la perspectiva de las y los electores. </w:t>
      </w:r>
    </w:p>
    <w:p w14:paraId="1F9AC7FA" w14:textId="77777777" w:rsidR="00256634" w:rsidRDefault="00256634">
      <w:pPr>
        <w:pBdr>
          <w:top w:val="nil"/>
          <w:left w:val="nil"/>
          <w:bottom w:val="nil"/>
          <w:right w:val="nil"/>
          <w:between w:val="nil"/>
        </w:pBdr>
        <w:rPr>
          <w:color w:val="000000"/>
        </w:rPr>
      </w:pPr>
    </w:p>
    <w:p w14:paraId="0FF67779" w14:textId="77777777"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Por lo cual, es necesario considerar que, ante un análisis de ponderación entre el derecho a la libertad de expresión en el debate político y el derecho a la buena imagen y reputación de los institutos políticos frente a la ciudadanía, </w:t>
      </w:r>
      <w:r>
        <w:rPr>
          <w:rFonts w:ascii="Arial" w:eastAsia="Arial" w:hAnsi="Arial" w:cs="Arial"/>
          <w:b/>
          <w:sz w:val="24"/>
          <w:szCs w:val="24"/>
        </w:rPr>
        <w:t>debe resolverse en favor del bien constitucionalmente protegido</w:t>
      </w:r>
      <w:r>
        <w:rPr>
          <w:rFonts w:ascii="Arial" w:eastAsia="Arial" w:hAnsi="Arial" w:cs="Arial"/>
          <w:sz w:val="24"/>
          <w:szCs w:val="24"/>
        </w:rPr>
        <w:t xml:space="preserve"> por el texto constitucional, que prohíbe la difusión de propaganda política o electoral de carácter calumnioso.</w:t>
      </w:r>
      <w:r>
        <w:rPr>
          <w:rFonts w:ascii="Arial" w:eastAsia="Arial" w:hAnsi="Arial" w:cs="Arial"/>
          <w:sz w:val="24"/>
          <w:szCs w:val="24"/>
          <w:vertAlign w:val="superscript"/>
        </w:rPr>
        <w:footnoteReference w:id="14"/>
      </w:r>
      <w:r>
        <w:rPr>
          <w:rFonts w:ascii="Arial" w:eastAsia="Arial" w:hAnsi="Arial" w:cs="Arial"/>
          <w:sz w:val="24"/>
          <w:szCs w:val="24"/>
        </w:rPr>
        <w:t xml:space="preserve"> </w:t>
      </w:r>
    </w:p>
    <w:p w14:paraId="7D521287" w14:textId="77777777" w:rsidR="00256634" w:rsidRDefault="00256634">
      <w:pPr>
        <w:pBdr>
          <w:top w:val="nil"/>
          <w:left w:val="nil"/>
          <w:bottom w:val="nil"/>
          <w:right w:val="nil"/>
          <w:between w:val="nil"/>
        </w:pBdr>
        <w:rPr>
          <w:color w:val="000000"/>
        </w:rPr>
      </w:pPr>
    </w:p>
    <w:p w14:paraId="7C80033B" w14:textId="5E56B60F" w:rsidR="009C729B" w:rsidRDefault="009C729B">
      <w:pPr>
        <w:spacing w:line="360" w:lineRule="auto"/>
        <w:jc w:val="both"/>
        <w:rPr>
          <w:rFonts w:ascii="Arial" w:eastAsia="Arial" w:hAnsi="Arial" w:cs="Arial"/>
          <w:sz w:val="24"/>
          <w:szCs w:val="24"/>
        </w:rPr>
      </w:pPr>
      <w:r>
        <w:rPr>
          <w:rFonts w:ascii="Arial" w:eastAsia="Arial" w:hAnsi="Arial" w:cs="Arial"/>
          <w:sz w:val="24"/>
          <w:szCs w:val="24"/>
        </w:rPr>
        <w:t>Ante ello</w:t>
      </w:r>
      <w:r w:rsidR="000F0709">
        <w:rPr>
          <w:rFonts w:ascii="Arial" w:eastAsia="Arial" w:hAnsi="Arial" w:cs="Arial"/>
          <w:sz w:val="24"/>
          <w:szCs w:val="24"/>
        </w:rPr>
        <w:t xml:space="preserve">, es posible concluir que las autoridades electorales, en el ámbito de sus atribuciones y competencias, </w:t>
      </w:r>
      <w:r w:rsidR="000F0709">
        <w:rPr>
          <w:rFonts w:ascii="Arial" w:eastAsia="Arial" w:hAnsi="Arial" w:cs="Arial"/>
          <w:b/>
          <w:sz w:val="24"/>
          <w:szCs w:val="24"/>
        </w:rPr>
        <w:t xml:space="preserve">cuentan con la facultad de limitar la libertad de expresión cuando se pretende proteger la imputación de delitos que calumnien </w:t>
      </w:r>
      <w:r w:rsidR="000F0709">
        <w:rPr>
          <w:rFonts w:ascii="Arial" w:eastAsia="Arial" w:hAnsi="Arial" w:cs="Arial"/>
          <w:sz w:val="24"/>
          <w:szCs w:val="24"/>
        </w:rPr>
        <w:t xml:space="preserve">a los institutos políticos a fin de evitar una incidencia en el voto informado de las y los electores que participan en un proceso comicial. </w:t>
      </w:r>
      <w:r>
        <w:rPr>
          <w:rFonts w:ascii="Arial" w:eastAsia="Arial" w:hAnsi="Arial" w:cs="Arial"/>
          <w:sz w:val="24"/>
          <w:szCs w:val="24"/>
        </w:rPr>
        <w:t xml:space="preserve">Así que a la parte denunciada no le asiste la razón en </w:t>
      </w:r>
      <w:r>
        <w:rPr>
          <w:rFonts w:ascii="Arial" w:eastAsia="Arial" w:hAnsi="Arial" w:cs="Arial"/>
          <w:sz w:val="24"/>
          <w:szCs w:val="24"/>
        </w:rPr>
        <w:lastRenderedPageBreak/>
        <w:t>cuanto a que los partidos políticos no pueden ser víctimas de calumnia, pues ha sido criterio de la Sala Superior que tales institutos políticos sí pueden cuestionar la infracción calumnia cuando consideren que se les está atribuyendo hechos o delitos injustificadamente</w:t>
      </w:r>
      <w:r>
        <w:rPr>
          <w:rStyle w:val="Refdenotaalpie"/>
          <w:rFonts w:ascii="Arial" w:eastAsia="Arial" w:hAnsi="Arial" w:cs="Arial"/>
          <w:sz w:val="24"/>
          <w:szCs w:val="24"/>
        </w:rPr>
        <w:footnoteReference w:id="15"/>
      </w:r>
      <w:r>
        <w:rPr>
          <w:rFonts w:ascii="Arial" w:eastAsia="Arial" w:hAnsi="Arial" w:cs="Arial"/>
          <w:sz w:val="24"/>
          <w:szCs w:val="24"/>
        </w:rPr>
        <w:t xml:space="preserve">. </w:t>
      </w:r>
    </w:p>
    <w:p w14:paraId="68FD43FD" w14:textId="57262251" w:rsidR="009C729B" w:rsidRDefault="009C729B" w:rsidP="00B46FE6">
      <w:pPr>
        <w:pStyle w:val="Sinespaciado"/>
        <w:rPr>
          <w:rFonts w:eastAsia="Arial"/>
        </w:rPr>
      </w:pPr>
    </w:p>
    <w:p w14:paraId="509DC060" w14:textId="5608F6F4" w:rsidR="00256634" w:rsidRDefault="000F0709">
      <w:pPr>
        <w:spacing w:line="360" w:lineRule="auto"/>
        <w:jc w:val="both"/>
        <w:rPr>
          <w:rFonts w:ascii="Arial" w:eastAsia="Arial" w:hAnsi="Arial" w:cs="Arial"/>
          <w:sz w:val="24"/>
          <w:szCs w:val="24"/>
        </w:rPr>
      </w:pPr>
      <w:r>
        <w:rPr>
          <w:rFonts w:ascii="Arial" w:eastAsia="Arial" w:hAnsi="Arial" w:cs="Arial"/>
          <w:sz w:val="24"/>
          <w:szCs w:val="24"/>
        </w:rPr>
        <w:t xml:space="preserve">De ahí que, como se adelantó, en el caso </w:t>
      </w:r>
      <w:r>
        <w:rPr>
          <w:rFonts w:ascii="Arial" w:eastAsia="Arial" w:hAnsi="Arial" w:cs="Arial"/>
          <w:b/>
          <w:sz w:val="24"/>
          <w:szCs w:val="24"/>
        </w:rPr>
        <w:t xml:space="preserve">quedó acreditada la existencia de calumnia </w:t>
      </w:r>
      <w:r>
        <w:rPr>
          <w:rFonts w:ascii="Arial" w:eastAsia="Arial" w:hAnsi="Arial" w:cs="Arial"/>
          <w:sz w:val="24"/>
          <w:szCs w:val="24"/>
        </w:rPr>
        <w:t xml:space="preserve">en perjuicio de los partidos políticos denunciantes. </w:t>
      </w:r>
    </w:p>
    <w:p w14:paraId="4EE9FC1D" w14:textId="77777777" w:rsidR="00256634" w:rsidRDefault="00256634">
      <w:pPr>
        <w:jc w:val="both"/>
        <w:rPr>
          <w:rFonts w:ascii="Arial" w:eastAsia="Arial" w:hAnsi="Arial" w:cs="Arial"/>
          <w:sz w:val="24"/>
          <w:szCs w:val="24"/>
        </w:rPr>
      </w:pPr>
    </w:p>
    <w:p w14:paraId="0179CB31" w14:textId="77777777" w:rsidR="00256634" w:rsidRPr="00091183" w:rsidRDefault="000F0709" w:rsidP="00091183">
      <w:pPr>
        <w:pStyle w:val="Prrafodelista"/>
        <w:numPr>
          <w:ilvl w:val="0"/>
          <w:numId w:val="6"/>
        </w:numPr>
        <w:spacing w:after="280" w:line="360" w:lineRule="auto"/>
        <w:ind w:left="284" w:hanging="284"/>
        <w:jc w:val="both"/>
        <w:rPr>
          <w:rFonts w:ascii="Arial" w:eastAsia="Arial" w:hAnsi="Arial" w:cs="Arial"/>
          <w:b/>
          <w:sz w:val="24"/>
          <w:szCs w:val="24"/>
          <w:u w:val="single"/>
        </w:rPr>
      </w:pPr>
      <w:r w:rsidRPr="00091183">
        <w:rPr>
          <w:rFonts w:ascii="Arial" w:eastAsia="Arial" w:hAnsi="Arial" w:cs="Arial"/>
          <w:b/>
          <w:sz w:val="24"/>
          <w:szCs w:val="24"/>
          <w:u w:val="single"/>
        </w:rPr>
        <w:t>Responsabilidad de las partes involucradas</w:t>
      </w:r>
    </w:p>
    <w:p w14:paraId="3874C46F" w14:textId="66AA752D"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244, primer párrafo, fracción IV, del Código Electoral y, </w:t>
      </w:r>
      <w:r>
        <w:rPr>
          <w:rFonts w:ascii="Arial" w:eastAsia="Arial" w:hAnsi="Arial" w:cs="Arial"/>
          <w:b/>
          <w:i/>
          <w:sz w:val="24"/>
          <w:szCs w:val="24"/>
        </w:rPr>
        <w:t xml:space="preserve">b) </w:t>
      </w:r>
      <w:r w:rsidR="00717B8D" w:rsidRPr="00717B8D">
        <w:rPr>
          <w:rFonts w:ascii="Arial" w:eastAsia="Arial" w:hAnsi="Arial" w:cs="Arial"/>
          <w:bCs/>
          <w:i/>
          <w:sz w:val="24"/>
          <w:szCs w:val="24"/>
        </w:rPr>
        <w:t>el partido político</w:t>
      </w:r>
      <w:r w:rsidR="00717B8D">
        <w:rPr>
          <w:rFonts w:ascii="Arial" w:eastAsia="Arial" w:hAnsi="Arial" w:cs="Arial"/>
          <w:b/>
          <w:i/>
          <w:sz w:val="24"/>
          <w:szCs w:val="24"/>
        </w:rPr>
        <w:t xml:space="preserve"> </w:t>
      </w:r>
      <w:r>
        <w:rPr>
          <w:rFonts w:ascii="Arial" w:eastAsia="Arial" w:hAnsi="Arial" w:cs="Arial"/>
          <w:sz w:val="24"/>
          <w:szCs w:val="24"/>
        </w:rPr>
        <w:t>Morena incumplió su deber de cuidado en cuanto a la conducta denunciada y, por tanto, vulneró el primer párrafo, inciso a), del artículo 25, de la Ley General de Partidos Políticos.</w:t>
      </w:r>
    </w:p>
    <w:p w14:paraId="72A0A18D" w14:textId="44F1389C" w:rsidR="00256634" w:rsidRPr="00091183" w:rsidRDefault="000F0709" w:rsidP="00091183">
      <w:pPr>
        <w:pStyle w:val="Prrafodelista"/>
        <w:numPr>
          <w:ilvl w:val="0"/>
          <w:numId w:val="6"/>
        </w:numPr>
        <w:spacing w:before="240" w:after="240" w:line="360" w:lineRule="auto"/>
        <w:ind w:left="284" w:hanging="284"/>
        <w:jc w:val="both"/>
        <w:rPr>
          <w:rFonts w:ascii="Arial" w:eastAsia="Arial" w:hAnsi="Arial" w:cs="Arial"/>
          <w:b/>
          <w:sz w:val="24"/>
          <w:szCs w:val="24"/>
          <w:u w:val="single"/>
        </w:rPr>
      </w:pPr>
      <w:r w:rsidRPr="00091183">
        <w:rPr>
          <w:rFonts w:ascii="Arial" w:eastAsia="Arial" w:hAnsi="Arial" w:cs="Arial"/>
          <w:b/>
          <w:sz w:val="24"/>
          <w:szCs w:val="24"/>
          <w:u w:val="single"/>
        </w:rPr>
        <w:t>Individualización de la sanción</w:t>
      </w:r>
    </w:p>
    <w:p w14:paraId="1762919D" w14:textId="77777777" w:rsidR="00256634" w:rsidRDefault="000F0709">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16"/>
      </w:r>
    </w:p>
    <w:p w14:paraId="3B790363"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2C83AE27"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 xml:space="preserve">El bien jurídico directamente tutelado en las normas constitucionales es proteger los vínculos y límites de los derechos fundamentales a la </w:t>
      </w:r>
      <w:r>
        <w:rPr>
          <w:rFonts w:ascii="Arial" w:eastAsia="Arial" w:hAnsi="Arial" w:cs="Arial"/>
          <w:b/>
          <w:sz w:val="24"/>
          <w:szCs w:val="24"/>
        </w:rPr>
        <w:t>libertad de expresión</w:t>
      </w:r>
      <w:r>
        <w:rPr>
          <w:rFonts w:ascii="Arial" w:eastAsia="Arial" w:hAnsi="Arial" w:cs="Arial"/>
          <w:sz w:val="24"/>
          <w:szCs w:val="24"/>
        </w:rPr>
        <w:t xml:space="preserve"> en relación con el </w:t>
      </w:r>
      <w:r>
        <w:rPr>
          <w:rFonts w:ascii="Arial" w:eastAsia="Arial" w:hAnsi="Arial" w:cs="Arial"/>
          <w:b/>
          <w:sz w:val="24"/>
          <w:szCs w:val="24"/>
        </w:rPr>
        <w:t>honor y reputación</w:t>
      </w:r>
      <w:r>
        <w:rPr>
          <w:rFonts w:ascii="Arial" w:eastAsia="Arial" w:hAnsi="Arial" w:cs="Arial"/>
          <w:sz w:val="24"/>
          <w:szCs w:val="24"/>
        </w:rPr>
        <w:t xml:space="preserve"> de los partidos políticos. Así como el principio de legalidad, que impone la prohibición de difundir propaganda política que calumnie a las personas.</w:t>
      </w:r>
    </w:p>
    <w:p w14:paraId="52BCE90E" w14:textId="77777777" w:rsidR="00256634" w:rsidRDefault="000F0709">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lastRenderedPageBreak/>
        <w:t>ii</w:t>
      </w:r>
      <w:proofErr w:type="spellEnd"/>
      <w:r>
        <w:rPr>
          <w:rFonts w:ascii="Arial" w:eastAsia="Arial" w:hAnsi="Arial" w:cs="Arial"/>
          <w:b/>
          <w:i/>
          <w:sz w:val="24"/>
          <w:szCs w:val="24"/>
        </w:rPr>
        <w:t>)</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(propaganda con contenido calumnioso).</w:t>
      </w:r>
    </w:p>
    <w:p w14:paraId="3445A497" w14:textId="77777777" w:rsidR="00256634" w:rsidRDefault="000F0709">
      <w:pPr>
        <w:spacing w:before="240" w:after="240" w:line="360" w:lineRule="auto"/>
        <w:jc w:val="both"/>
        <w:rPr>
          <w:rFonts w:ascii="Arial" w:eastAsia="Arial" w:hAnsi="Arial" w:cs="Arial"/>
          <w:b/>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Circunstancias de modo, tiempo y lugar:</w:t>
      </w:r>
    </w:p>
    <w:p w14:paraId="6EC7FAE9" w14:textId="77777777" w:rsidR="00256634" w:rsidRPr="00091183" w:rsidRDefault="000F0709" w:rsidP="00091183">
      <w:pPr>
        <w:pStyle w:val="Prrafodelista"/>
        <w:numPr>
          <w:ilvl w:val="0"/>
          <w:numId w:val="7"/>
        </w:numPr>
        <w:spacing w:before="240" w:after="240" w:line="360" w:lineRule="auto"/>
        <w:ind w:left="426"/>
        <w:jc w:val="both"/>
        <w:rPr>
          <w:rFonts w:ascii="Arial" w:eastAsia="Arial" w:hAnsi="Arial" w:cs="Arial"/>
          <w:sz w:val="24"/>
          <w:szCs w:val="24"/>
        </w:rPr>
      </w:pPr>
      <w:r w:rsidRPr="00091183">
        <w:rPr>
          <w:rFonts w:ascii="Arial" w:eastAsia="Arial" w:hAnsi="Arial" w:cs="Arial"/>
          <w:b/>
          <w:sz w:val="24"/>
          <w:szCs w:val="24"/>
        </w:rPr>
        <w:t>Modo.</w:t>
      </w:r>
      <w:r w:rsidRPr="00091183">
        <w:rPr>
          <w:rFonts w:ascii="Arial" w:eastAsia="Arial" w:hAnsi="Arial" w:cs="Arial"/>
          <w:sz w:val="24"/>
          <w:szCs w:val="24"/>
        </w:rPr>
        <w:t xml:space="preserve"> La irregularidad consistió en la difusión de un video con expresiones calumniosas a través </w:t>
      </w:r>
      <w:proofErr w:type="gramStart"/>
      <w:r w:rsidRPr="00091183">
        <w:rPr>
          <w:rFonts w:ascii="Arial" w:eastAsia="Arial" w:hAnsi="Arial" w:cs="Arial"/>
          <w:sz w:val="24"/>
          <w:szCs w:val="24"/>
        </w:rPr>
        <w:t xml:space="preserve">de las </w:t>
      </w:r>
      <w:r w:rsidRPr="00091183">
        <w:rPr>
          <w:rFonts w:ascii="Arial" w:eastAsia="Arial" w:hAnsi="Arial" w:cs="Arial"/>
          <w:i/>
          <w:sz w:val="24"/>
          <w:szCs w:val="24"/>
        </w:rPr>
        <w:t>fan</w:t>
      </w:r>
      <w:proofErr w:type="gramEnd"/>
      <w:r w:rsidRPr="00091183">
        <w:rPr>
          <w:rFonts w:ascii="Arial" w:eastAsia="Arial" w:hAnsi="Arial" w:cs="Arial"/>
          <w:i/>
          <w:sz w:val="24"/>
          <w:szCs w:val="24"/>
        </w:rPr>
        <w:t xml:space="preserve"> page </w:t>
      </w:r>
      <w:r w:rsidRPr="00091183">
        <w:rPr>
          <w:rFonts w:ascii="Arial" w:eastAsia="Arial" w:hAnsi="Arial" w:cs="Arial"/>
          <w:sz w:val="24"/>
          <w:szCs w:val="24"/>
        </w:rPr>
        <w:t xml:space="preserve">de Facebook e Instagram de la denunciada, así como de su canal de </w:t>
      </w:r>
      <w:proofErr w:type="spellStart"/>
      <w:r w:rsidRPr="00091183">
        <w:rPr>
          <w:rFonts w:ascii="Arial" w:eastAsia="Arial" w:hAnsi="Arial" w:cs="Arial"/>
          <w:sz w:val="24"/>
          <w:szCs w:val="24"/>
        </w:rPr>
        <w:t>Youtube</w:t>
      </w:r>
      <w:proofErr w:type="spellEnd"/>
      <w:r w:rsidRPr="00091183">
        <w:rPr>
          <w:rFonts w:ascii="Arial" w:eastAsia="Arial" w:hAnsi="Arial" w:cs="Arial"/>
          <w:sz w:val="24"/>
          <w:szCs w:val="24"/>
        </w:rPr>
        <w:t>, de nombre “Nora Ruvalcaba”. Tal video tenía una duración de 30 segundos.</w:t>
      </w:r>
    </w:p>
    <w:p w14:paraId="08F1B67B" w14:textId="77777777" w:rsidR="00256634" w:rsidRPr="00091183" w:rsidRDefault="000F0709" w:rsidP="00091183">
      <w:pPr>
        <w:pStyle w:val="Prrafodelista"/>
        <w:numPr>
          <w:ilvl w:val="0"/>
          <w:numId w:val="7"/>
        </w:numPr>
        <w:spacing w:after="160" w:line="360" w:lineRule="auto"/>
        <w:ind w:left="426"/>
        <w:jc w:val="both"/>
        <w:rPr>
          <w:rFonts w:ascii="Arial" w:eastAsia="Arial" w:hAnsi="Arial" w:cs="Arial"/>
          <w:sz w:val="24"/>
          <w:szCs w:val="24"/>
        </w:rPr>
      </w:pPr>
      <w:r w:rsidRPr="00091183">
        <w:rPr>
          <w:rFonts w:ascii="Arial" w:eastAsia="Arial" w:hAnsi="Arial" w:cs="Arial"/>
          <w:b/>
          <w:sz w:val="24"/>
          <w:szCs w:val="24"/>
        </w:rPr>
        <w:t>Tiempo.</w:t>
      </w:r>
      <w:r w:rsidRPr="00091183">
        <w:rPr>
          <w:rFonts w:ascii="Arial" w:eastAsia="Arial" w:hAnsi="Arial" w:cs="Arial"/>
          <w:sz w:val="24"/>
          <w:szCs w:val="24"/>
        </w:rPr>
        <w:t xml:space="preserve"> La conducta se realizó durante el periodo comprendido del trece al veintiocho de abril, por tanto, el video denunciado estuvo en la red durante </w:t>
      </w:r>
      <w:r w:rsidRPr="00091183">
        <w:rPr>
          <w:rFonts w:ascii="Arial" w:eastAsia="Arial" w:hAnsi="Arial" w:cs="Arial"/>
          <w:b/>
          <w:sz w:val="24"/>
          <w:szCs w:val="24"/>
        </w:rPr>
        <w:t xml:space="preserve">quince días dentro del periodo de campaña </w:t>
      </w:r>
      <w:r w:rsidRPr="00091183">
        <w:rPr>
          <w:rFonts w:ascii="Arial" w:eastAsia="Arial" w:hAnsi="Arial" w:cs="Arial"/>
          <w:sz w:val="24"/>
          <w:szCs w:val="24"/>
        </w:rPr>
        <w:t>del proceso electoral local.</w:t>
      </w:r>
    </w:p>
    <w:p w14:paraId="3BF24DA6" w14:textId="77777777" w:rsidR="00256634" w:rsidRPr="00091183" w:rsidRDefault="000F0709" w:rsidP="00091183">
      <w:pPr>
        <w:pStyle w:val="Prrafodelista"/>
        <w:numPr>
          <w:ilvl w:val="0"/>
          <w:numId w:val="7"/>
        </w:numPr>
        <w:spacing w:before="240" w:after="240" w:line="360" w:lineRule="auto"/>
        <w:ind w:left="426"/>
        <w:jc w:val="both"/>
        <w:rPr>
          <w:rFonts w:ascii="Arial" w:eastAsia="Arial" w:hAnsi="Arial" w:cs="Arial"/>
          <w:sz w:val="24"/>
          <w:szCs w:val="24"/>
        </w:rPr>
      </w:pPr>
      <w:r w:rsidRPr="00091183">
        <w:rPr>
          <w:rFonts w:ascii="Arial" w:eastAsia="Arial" w:hAnsi="Arial" w:cs="Arial"/>
          <w:b/>
          <w:sz w:val="24"/>
          <w:szCs w:val="24"/>
        </w:rPr>
        <w:t>Lugar.</w:t>
      </w:r>
      <w:r w:rsidRPr="00091183">
        <w:rPr>
          <w:rFonts w:ascii="Arial" w:eastAsia="Arial" w:hAnsi="Arial" w:cs="Arial"/>
          <w:sz w:val="24"/>
          <w:szCs w:val="24"/>
        </w:rPr>
        <w:t xml:space="preserve"> La propaganda se transmitió a través de las redes sociales de Facebook e Instagram, así como en el canal de </w:t>
      </w:r>
      <w:proofErr w:type="spellStart"/>
      <w:r w:rsidRPr="00091183">
        <w:rPr>
          <w:rFonts w:ascii="Arial" w:eastAsia="Arial" w:hAnsi="Arial" w:cs="Arial"/>
          <w:sz w:val="24"/>
          <w:szCs w:val="24"/>
        </w:rPr>
        <w:t>Youtube</w:t>
      </w:r>
      <w:proofErr w:type="spellEnd"/>
      <w:r w:rsidRPr="00091183">
        <w:rPr>
          <w:rFonts w:ascii="Arial" w:eastAsia="Arial" w:hAnsi="Arial" w:cs="Arial"/>
          <w:sz w:val="24"/>
          <w:szCs w:val="24"/>
        </w:rPr>
        <w:t xml:space="preserve"> de la denunciada, de nombre “Nora Ruvalcaba”</w:t>
      </w:r>
    </w:p>
    <w:p w14:paraId="59999F49" w14:textId="1F3FD2AB" w:rsidR="00256634" w:rsidRDefault="000F0709" w:rsidP="00962E03">
      <w:pPr>
        <w:spacing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difusión del video con contenido calumnioso se realizó en el periodo de campaña dentro del PEL 2021-2022, a través de las redes sociales y plataformas digitales de la denunciada. La interacción que tales publicaciones fueron las siguientes:</w:t>
      </w:r>
    </w:p>
    <w:p w14:paraId="6E81BF2A" w14:textId="77777777" w:rsidR="00B46FE6" w:rsidRDefault="00B46FE6" w:rsidP="00274769">
      <w:pPr>
        <w:pStyle w:val="Sinespaciado"/>
        <w:rPr>
          <w:rFonts w:eastAsia="Arial"/>
        </w:rPr>
      </w:pPr>
    </w:p>
    <w:tbl>
      <w:tblPr>
        <w:tblStyle w:val="Tabladecuadrcula4-nfasis31"/>
        <w:tblpPr w:leftFromText="141" w:rightFromText="141" w:vertAnchor="text" w:horzAnchor="margin" w:tblpXSpec="center" w:tblpY="42"/>
        <w:tblW w:w="6091" w:type="dxa"/>
        <w:tblLayout w:type="fixed"/>
        <w:tblLook w:val="04A0" w:firstRow="1" w:lastRow="0" w:firstColumn="1" w:lastColumn="0" w:noHBand="0" w:noVBand="1"/>
      </w:tblPr>
      <w:tblGrid>
        <w:gridCol w:w="3114"/>
        <w:gridCol w:w="2977"/>
      </w:tblGrid>
      <w:tr w:rsidR="00962E03" w:rsidRPr="00962E03" w14:paraId="4975C2A3" w14:textId="77777777" w:rsidTr="00B46FE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9E51073" w14:textId="77777777" w:rsidR="00962E03" w:rsidRPr="00962E03" w:rsidRDefault="00962E03" w:rsidP="00962E03">
            <w:pPr>
              <w:jc w:val="center"/>
              <w:rPr>
                <w:rFonts w:ascii="Arial" w:eastAsia="Arial" w:hAnsi="Arial" w:cs="Arial"/>
                <w:color w:val="000000"/>
                <w:sz w:val="18"/>
                <w:szCs w:val="18"/>
              </w:rPr>
            </w:pPr>
            <w:r w:rsidRPr="00962E03">
              <w:rPr>
                <w:rFonts w:ascii="Arial" w:eastAsia="Arial" w:hAnsi="Arial" w:cs="Arial"/>
                <w:color w:val="000000"/>
                <w:sz w:val="18"/>
                <w:szCs w:val="18"/>
              </w:rPr>
              <w:t>Red social y/o plataforma digital</w:t>
            </w:r>
          </w:p>
        </w:tc>
        <w:tc>
          <w:tcPr>
            <w:tcW w:w="2977" w:type="dxa"/>
            <w:vAlign w:val="center"/>
          </w:tcPr>
          <w:p w14:paraId="03B4C853" w14:textId="77777777" w:rsidR="00962E03" w:rsidRPr="00962E03" w:rsidRDefault="00962E03" w:rsidP="00962E0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962E03">
              <w:rPr>
                <w:rFonts w:ascii="Arial" w:eastAsia="Arial" w:hAnsi="Arial" w:cs="Arial"/>
                <w:color w:val="000000"/>
                <w:sz w:val="18"/>
                <w:szCs w:val="18"/>
              </w:rPr>
              <w:t>Interacción</w:t>
            </w:r>
          </w:p>
        </w:tc>
      </w:tr>
      <w:tr w:rsidR="00962E03" w:rsidRPr="00962E03" w14:paraId="3FA85FDC" w14:textId="77777777" w:rsidTr="00B46FE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5B8C0AE" w14:textId="77777777" w:rsidR="00962E03" w:rsidRPr="00962E03" w:rsidRDefault="00962E03" w:rsidP="00962E03">
            <w:pPr>
              <w:jc w:val="center"/>
              <w:rPr>
                <w:rFonts w:ascii="Arial" w:eastAsia="Arial" w:hAnsi="Arial" w:cs="Arial"/>
                <w:bCs w:val="0"/>
                <w:sz w:val="18"/>
                <w:szCs w:val="18"/>
              </w:rPr>
            </w:pPr>
            <w:r w:rsidRPr="00962E03">
              <w:rPr>
                <w:rFonts w:ascii="Arial" w:eastAsia="Arial" w:hAnsi="Arial" w:cs="Arial"/>
                <w:sz w:val="18"/>
                <w:szCs w:val="18"/>
              </w:rPr>
              <w:t>Facebook</w:t>
            </w:r>
          </w:p>
        </w:tc>
        <w:tc>
          <w:tcPr>
            <w:tcW w:w="2977" w:type="dxa"/>
            <w:vAlign w:val="center"/>
          </w:tcPr>
          <w:p w14:paraId="5BC4A867" w14:textId="77777777" w:rsidR="00962E03" w:rsidRPr="00B46FE6" w:rsidRDefault="00962E03" w:rsidP="00B46FE6">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46FE6">
              <w:rPr>
                <w:rFonts w:ascii="Arial" w:eastAsia="Arial" w:hAnsi="Arial" w:cs="Arial"/>
                <w:sz w:val="18"/>
                <w:szCs w:val="18"/>
              </w:rPr>
              <w:t>397 comentarios</w:t>
            </w:r>
          </w:p>
          <w:p w14:paraId="227D656A" w14:textId="77777777" w:rsidR="00962E03" w:rsidRPr="00B46FE6" w:rsidRDefault="00962E03" w:rsidP="00B46FE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46FE6">
              <w:rPr>
                <w:rFonts w:ascii="Arial" w:eastAsia="Arial" w:hAnsi="Arial" w:cs="Arial"/>
                <w:sz w:val="18"/>
                <w:szCs w:val="18"/>
              </w:rPr>
              <w:t>45 mil reproducciones</w:t>
            </w:r>
          </w:p>
        </w:tc>
      </w:tr>
      <w:tr w:rsidR="00962E03" w:rsidRPr="00962E03" w14:paraId="249781D8" w14:textId="77777777" w:rsidTr="00B46FE6">
        <w:trPr>
          <w:trHeight w:val="346"/>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9725849" w14:textId="77777777" w:rsidR="00962E03" w:rsidRPr="00962E03" w:rsidRDefault="00962E03" w:rsidP="00962E03">
            <w:pPr>
              <w:jc w:val="center"/>
              <w:rPr>
                <w:rFonts w:ascii="Arial" w:eastAsia="Arial" w:hAnsi="Arial" w:cs="Arial"/>
                <w:bCs w:val="0"/>
                <w:sz w:val="18"/>
                <w:szCs w:val="18"/>
              </w:rPr>
            </w:pPr>
            <w:r w:rsidRPr="00962E03">
              <w:rPr>
                <w:rFonts w:ascii="Arial" w:eastAsia="Arial" w:hAnsi="Arial" w:cs="Arial"/>
                <w:sz w:val="18"/>
                <w:szCs w:val="18"/>
              </w:rPr>
              <w:t>Instagram</w:t>
            </w:r>
          </w:p>
        </w:tc>
        <w:tc>
          <w:tcPr>
            <w:tcW w:w="2977" w:type="dxa"/>
            <w:vAlign w:val="center"/>
          </w:tcPr>
          <w:p w14:paraId="72B1A86E" w14:textId="77777777" w:rsidR="00962E03" w:rsidRPr="00B46FE6" w:rsidRDefault="00962E03" w:rsidP="00B46FE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B46FE6">
              <w:rPr>
                <w:rFonts w:ascii="Arial" w:eastAsia="Arial" w:hAnsi="Arial" w:cs="Arial"/>
                <w:sz w:val="18"/>
                <w:szCs w:val="18"/>
              </w:rPr>
              <w:t>1,518 reproducciones</w:t>
            </w:r>
          </w:p>
        </w:tc>
      </w:tr>
      <w:tr w:rsidR="00962E03" w:rsidRPr="00962E03" w14:paraId="6CC3EA22" w14:textId="77777777" w:rsidTr="00B46FE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35CF4F0" w14:textId="77777777" w:rsidR="00962E03" w:rsidRPr="00962E03" w:rsidRDefault="00962E03" w:rsidP="00962E03">
            <w:pPr>
              <w:jc w:val="center"/>
              <w:rPr>
                <w:rFonts w:ascii="Arial" w:eastAsia="Arial" w:hAnsi="Arial" w:cs="Arial"/>
                <w:b w:val="0"/>
                <w:sz w:val="18"/>
                <w:szCs w:val="18"/>
              </w:rPr>
            </w:pPr>
            <w:proofErr w:type="spellStart"/>
            <w:r w:rsidRPr="00962E03">
              <w:rPr>
                <w:rFonts w:ascii="Arial" w:eastAsia="Arial" w:hAnsi="Arial" w:cs="Arial"/>
                <w:sz w:val="18"/>
                <w:szCs w:val="18"/>
              </w:rPr>
              <w:t>Youtube</w:t>
            </w:r>
            <w:proofErr w:type="spellEnd"/>
          </w:p>
        </w:tc>
        <w:tc>
          <w:tcPr>
            <w:tcW w:w="2977" w:type="dxa"/>
            <w:vAlign w:val="center"/>
          </w:tcPr>
          <w:p w14:paraId="002D813E" w14:textId="77777777" w:rsidR="00962E03" w:rsidRPr="00B46FE6" w:rsidRDefault="00962E03" w:rsidP="00B46FE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B46FE6">
              <w:rPr>
                <w:rFonts w:ascii="Arial" w:eastAsia="Arial" w:hAnsi="Arial" w:cs="Arial"/>
                <w:sz w:val="18"/>
                <w:szCs w:val="18"/>
              </w:rPr>
              <w:t>131,221 visualizaciones</w:t>
            </w:r>
          </w:p>
        </w:tc>
      </w:tr>
    </w:tbl>
    <w:p w14:paraId="60560CA7" w14:textId="32FA068D" w:rsidR="00962E03" w:rsidRDefault="00962E03">
      <w:pPr>
        <w:spacing w:before="240" w:after="240" w:line="360" w:lineRule="auto"/>
        <w:jc w:val="both"/>
        <w:rPr>
          <w:rFonts w:ascii="Arial" w:eastAsia="Arial" w:hAnsi="Arial" w:cs="Arial"/>
          <w:sz w:val="24"/>
          <w:szCs w:val="24"/>
        </w:rPr>
      </w:pPr>
    </w:p>
    <w:p w14:paraId="62188557" w14:textId="61C0502B" w:rsidR="00962E03" w:rsidRDefault="00962E03">
      <w:pPr>
        <w:spacing w:before="240" w:after="240" w:line="360" w:lineRule="auto"/>
        <w:jc w:val="both"/>
        <w:rPr>
          <w:rFonts w:ascii="Arial" w:eastAsia="Arial" w:hAnsi="Arial" w:cs="Arial"/>
          <w:sz w:val="24"/>
          <w:szCs w:val="24"/>
        </w:rPr>
      </w:pPr>
    </w:p>
    <w:p w14:paraId="29D05B3D" w14:textId="77777777" w:rsidR="00962E03" w:rsidRDefault="00962E03" w:rsidP="00962E03">
      <w:pPr>
        <w:spacing w:before="240" w:line="360" w:lineRule="auto"/>
        <w:jc w:val="both"/>
        <w:rPr>
          <w:rFonts w:ascii="Arial" w:eastAsia="Arial" w:hAnsi="Arial" w:cs="Arial"/>
          <w:b/>
          <w:i/>
          <w:sz w:val="24"/>
          <w:szCs w:val="24"/>
        </w:rPr>
      </w:pPr>
    </w:p>
    <w:p w14:paraId="008FE9CE" w14:textId="75087FB7" w:rsidR="00256634" w:rsidRDefault="000F0709" w:rsidP="00B46FE6">
      <w:pPr>
        <w:spacing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una violación al principio de legalidad en la contienda electoral al expresar manifestaciones calumniosas sin tener sustento alguno.</w:t>
      </w:r>
    </w:p>
    <w:p w14:paraId="2C092AF3"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Se encuentra acreditado que la candidata tuvo la intención de difundir el video que contenía expresiones calumniosas, con la finalidad de obtener un mejor posicionamiento durante el presente proceso electoral, a través de manifestaciones que constituyen imputaciones directas a los quejosos.</w:t>
      </w:r>
    </w:p>
    <w:p w14:paraId="76C17F12" w14:textId="77777777" w:rsidR="00256634" w:rsidRDefault="000F0709">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w:t>
      </w:r>
      <w:r>
        <w:rPr>
          <w:rFonts w:ascii="Arial" w:eastAsia="Arial" w:hAnsi="Arial" w:cs="Arial"/>
          <w:sz w:val="24"/>
          <w:szCs w:val="24"/>
        </w:rPr>
        <w:lastRenderedPageBreak/>
        <w:t xml:space="preserve">incumplimiento de alguna de las obligaciones a que se refiere la ley e incurre nuevamente en la misma conducta infractora, </w:t>
      </w:r>
      <w:r>
        <w:rPr>
          <w:rFonts w:ascii="Arial" w:eastAsia="Arial" w:hAnsi="Arial" w:cs="Arial"/>
          <w:b/>
          <w:sz w:val="24"/>
          <w:szCs w:val="24"/>
        </w:rPr>
        <w:t>lo que en el presente caso no ocurre</w:t>
      </w:r>
      <w:r>
        <w:rPr>
          <w:rFonts w:ascii="Arial" w:eastAsia="Arial" w:hAnsi="Arial" w:cs="Arial"/>
          <w:sz w:val="24"/>
          <w:szCs w:val="24"/>
        </w:rPr>
        <w:t>.</w:t>
      </w:r>
    </w:p>
    <w:p w14:paraId="7834D63A" w14:textId="77777777" w:rsidR="00256634" w:rsidRDefault="000F0709">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1E0B5AE5" w14:textId="77777777" w:rsidR="00256634" w:rsidRPr="00962E03" w:rsidRDefault="000F0709" w:rsidP="00962E03">
      <w:pPr>
        <w:pStyle w:val="Prrafodelista"/>
        <w:numPr>
          <w:ilvl w:val="0"/>
          <w:numId w:val="8"/>
        </w:numPr>
        <w:spacing w:before="240" w:after="240" w:line="360" w:lineRule="auto"/>
        <w:ind w:left="284" w:hanging="284"/>
        <w:jc w:val="both"/>
        <w:rPr>
          <w:rFonts w:ascii="Arial" w:eastAsia="Arial" w:hAnsi="Arial" w:cs="Arial"/>
          <w:sz w:val="24"/>
          <w:szCs w:val="24"/>
        </w:rPr>
      </w:pPr>
      <w:r w:rsidRPr="00962E03">
        <w:rPr>
          <w:rFonts w:ascii="Arial" w:eastAsia="Arial" w:hAnsi="Arial" w:cs="Arial"/>
          <w:b/>
          <w:sz w:val="24"/>
          <w:szCs w:val="24"/>
          <w:u w:val="single"/>
        </w:rPr>
        <w:t>Calificación de la responsabilidad</w:t>
      </w:r>
    </w:p>
    <w:p w14:paraId="34AAC55B"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xml:space="preserve">, mientras que para el partido político Morena resulta </w:t>
      </w:r>
      <w:r>
        <w:rPr>
          <w:rFonts w:ascii="Arial" w:eastAsia="Arial" w:hAnsi="Arial" w:cs="Arial"/>
          <w:b/>
          <w:sz w:val="24"/>
          <w:szCs w:val="24"/>
        </w:rPr>
        <w:t>levísima</w:t>
      </w:r>
      <w:r>
        <w:rPr>
          <w:rFonts w:ascii="Arial" w:eastAsia="Arial" w:hAnsi="Arial" w:cs="Arial"/>
          <w:sz w:val="24"/>
          <w:szCs w:val="24"/>
        </w:rPr>
        <w:t>, en virtud de que su responsabilidad sobre la conducta denunciada es indirecta, ya que no se le puede desvincular de las acciones que su candidata a la gubernatura realice.</w:t>
      </w:r>
    </w:p>
    <w:p w14:paraId="1661F673"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Ello es así, porque si bien los bienes jurídicos tutelados son el honor y la imagen de los denunciantes, lo cierto es que la vulneración a dichos bienes surgió con motivo de una serie de manifestaciones realizadas por parte de la denunciada respecto a diversas fuerzas políticas, en ejercicio de su derecho a la libertad de expresión y del debate político, sin embargo, en el transcurso indebidamente realizó señalamientos contrarios a Derecho.</w:t>
      </w:r>
    </w:p>
    <w:p w14:paraId="47384AB5"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Además, esta autoridad jurisdiccional toma en cuenta que el video se difundió a través de las redes sociales de Facebook, Instagram y </w:t>
      </w:r>
      <w:proofErr w:type="spellStart"/>
      <w:r>
        <w:rPr>
          <w:rFonts w:ascii="Arial" w:eastAsia="Arial" w:hAnsi="Arial" w:cs="Arial"/>
          <w:sz w:val="24"/>
          <w:szCs w:val="24"/>
        </w:rPr>
        <w:t>Youtube</w:t>
      </w:r>
      <w:proofErr w:type="spellEnd"/>
      <w:r>
        <w:rPr>
          <w:rFonts w:ascii="Arial" w:eastAsia="Arial" w:hAnsi="Arial" w:cs="Arial"/>
          <w:sz w:val="24"/>
          <w:szCs w:val="24"/>
        </w:rPr>
        <w:t xml:space="preserve"> -durante un lapso de </w:t>
      </w:r>
      <w:r>
        <w:rPr>
          <w:rFonts w:ascii="Arial" w:eastAsia="Arial" w:hAnsi="Arial" w:cs="Arial"/>
          <w:b/>
          <w:sz w:val="24"/>
          <w:szCs w:val="24"/>
        </w:rPr>
        <w:t>quince días</w:t>
      </w:r>
      <w:r>
        <w:rPr>
          <w:rFonts w:ascii="Arial" w:eastAsia="Arial" w:hAnsi="Arial" w:cs="Arial"/>
          <w:sz w:val="24"/>
          <w:szCs w:val="24"/>
        </w:rPr>
        <w:t>-, los cuales son considerados como un medio masivo de comunicación, pero a pesar de ello, este Tribunal ha estimado que el alcance o difusión que tales publicaciones tengan depende de la voluntad que la y el usuario tenga de interactuar con dichas publicaciones.</w:t>
      </w:r>
    </w:p>
    <w:p w14:paraId="5596CCAE" w14:textId="32C4D800"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conducta infractora desplegada por la candidata denunciada contraviene los límites a la libertad de expresión, este Tribunal estima que la calificación de la </w:t>
      </w:r>
      <w:r w:rsidR="000660DA">
        <w:rPr>
          <w:rFonts w:ascii="Arial" w:eastAsia="Arial" w:hAnsi="Arial" w:cs="Arial"/>
          <w:sz w:val="24"/>
          <w:szCs w:val="24"/>
        </w:rPr>
        <w:t xml:space="preserve">falta, como </w:t>
      </w:r>
      <w:r>
        <w:rPr>
          <w:rFonts w:ascii="Arial" w:eastAsia="Arial" w:hAnsi="Arial" w:cs="Arial"/>
          <w:b/>
          <w:sz w:val="24"/>
          <w:szCs w:val="24"/>
        </w:rPr>
        <w:t>grave ordinaria</w:t>
      </w:r>
      <w:r>
        <w:rPr>
          <w:rFonts w:ascii="Arial" w:eastAsia="Arial" w:hAnsi="Arial" w:cs="Arial"/>
          <w:sz w:val="24"/>
          <w:szCs w:val="24"/>
        </w:rPr>
        <w:t xml:space="preserve"> es adecuada.</w:t>
      </w:r>
    </w:p>
    <w:p w14:paraId="153721A1" w14:textId="77777777" w:rsidR="00256634" w:rsidRPr="00962E03" w:rsidRDefault="000F0709" w:rsidP="00962E03">
      <w:pPr>
        <w:pStyle w:val="Prrafodelista"/>
        <w:numPr>
          <w:ilvl w:val="0"/>
          <w:numId w:val="8"/>
        </w:numPr>
        <w:tabs>
          <w:tab w:val="left" w:pos="426"/>
        </w:tabs>
        <w:spacing w:before="240" w:after="240" w:line="360" w:lineRule="auto"/>
        <w:ind w:left="0" w:firstLine="0"/>
        <w:jc w:val="both"/>
        <w:rPr>
          <w:rFonts w:ascii="Arial" w:eastAsia="Arial" w:hAnsi="Arial" w:cs="Arial"/>
          <w:sz w:val="24"/>
          <w:szCs w:val="24"/>
        </w:rPr>
      </w:pPr>
      <w:r w:rsidRPr="00962E03">
        <w:rPr>
          <w:rFonts w:ascii="Arial" w:eastAsia="Arial" w:hAnsi="Arial" w:cs="Arial"/>
          <w:b/>
          <w:sz w:val="24"/>
          <w:szCs w:val="24"/>
          <w:u w:val="single"/>
        </w:rPr>
        <w:t>Capacidad económica.</w:t>
      </w:r>
      <w:r w:rsidRPr="00962E03">
        <w:rPr>
          <w:rFonts w:ascii="Arial" w:eastAsia="Arial" w:hAnsi="Arial" w:cs="Arial"/>
          <w:b/>
          <w:sz w:val="24"/>
          <w:szCs w:val="24"/>
        </w:rPr>
        <w:t xml:space="preserve"> </w:t>
      </w:r>
      <w:r w:rsidRPr="00962E03">
        <w:rPr>
          <w:rFonts w:ascii="Arial" w:eastAsia="Arial" w:hAnsi="Arial" w:cs="Arial"/>
          <w:sz w:val="24"/>
          <w:szCs w:val="24"/>
        </w:rPr>
        <w:t>Derivado de la acreditación de la infracción de calumnia atribuida a Nora Ruvalcaba Gámez, este Tribunal Electoral estima que lo procedente es imponer una multa, en términos del artículo 244, párrafo segundo, fracción III, del Código Electoral</w:t>
      </w:r>
    </w:p>
    <w:p w14:paraId="7F11DEF9"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Al respecto, la Sala Superior</w:t>
      </w:r>
      <w:r>
        <w:rPr>
          <w:rFonts w:ascii="Arial" w:eastAsia="Arial" w:hAnsi="Arial" w:cs="Arial"/>
          <w:sz w:val="24"/>
          <w:szCs w:val="24"/>
          <w:vertAlign w:val="superscript"/>
        </w:rPr>
        <w:footnoteReference w:id="17"/>
      </w:r>
      <w:r>
        <w:rPr>
          <w:rFonts w:ascii="Arial" w:eastAsia="Arial" w:hAnsi="Arial" w:cs="Arial"/>
          <w:sz w:val="24"/>
          <w:szCs w:val="24"/>
        </w:rPr>
        <w:t xml:space="preserve"> ha determinado que la cuantía o calidad de la multa no depende solo de la capacidad económica de la persona sancionada, sino que también se </w:t>
      </w:r>
      <w:r>
        <w:rPr>
          <w:rFonts w:ascii="Arial" w:eastAsia="Arial" w:hAnsi="Arial" w:cs="Arial"/>
          <w:sz w:val="24"/>
          <w:szCs w:val="24"/>
        </w:rPr>
        <w:lastRenderedPageBreak/>
        <w:t>trata de un ejercicio de racionalidad del órgano jurisdiccional, así como de la valoración conjunta de todos los elementos objetivos y subjetivos de la infracción.</w:t>
      </w:r>
    </w:p>
    <w:p w14:paraId="6BA3ED37" w14:textId="77777777" w:rsidR="00256634" w:rsidRDefault="000F0709">
      <w:pPr>
        <w:spacing w:before="240" w:after="240" w:line="360" w:lineRule="auto"/>
        <w:jc w:val="both"/>
        <w:rPr>
          <w:sz w:val="14"/>
          <w:szCs w:val="14"/>
        </w:rPr>
      </w:pPr>
      <w:r>
        <w:rPr>
          <w:rFonts w:ascii="Arial" w:eastAsia="Arial" w:hAnsi="Arial" w:cs="Arial"/>
          <w:sz w:val="24"/>
          <w:szCs w:val="24"/>
        </w:rPr>
        <w:t>Por tanto, ello implica que, con independencia de que no se cuente con las constancias idóneas, este Tribunal Electoral se encuentre en posibilidad de imponer una sanción económica a la infractora, bajo un ejercicio de racionalidad y a partir de una valoración integral de la infracción.</w:t>
      </w:r>
      <w:r>
        <w:rPr>
          <w:sz w:val="14"/>
          <w:szCs w:val="14"/>
        </w:rPr>
        <w:t xml:space="preserve"> </w:t>
      </w:r>
    </w:p>
    <w:p w14:paraId="0AD05371" w14:textId="77777777" w:rsidR="00256634" w:rsidRPr="00962E03" w:rsidRDefault="000F0709" w:rsidP="00962E03">
      <w:pPr>
        <w:pStyle w:val="Prrafodelista"/>
        <w:numPr>
          <w:ilvl w:val="0"/>
          <w:numId w:val="8"/>
        </w:numPr>
        <w:spacing w:before="240" w:after="240" w:line="360" w:lineRule="auto"/>
        <w:ind w:left="284" w:hanging="284"/>
        <w:jc w:val="both"/>
        <w:rPr>
          <w:rFonts w:ascii="Arial" w:eastAsia="Arial" w:hAnsi="Arial" w:cs="Arial"/>
          <w:sz w:val="24"/>
          <w:szCs w:val="24"/>
        </w:rPr>
      </w:pPr>
      <w:r w:rsidRPr="00962E03">
        <w:rPr>
          <w:rFonts w:ascii="Arial" w:eastAsia="Arial" w:hAnsi="Arial" w:cs="Arial"/>
          <w:b/>
          <w:sz w:val="24"/>
          <w:szCs w:val="24"/>
          <w:u w:val="single"/>
        </w:rPr>
        <w:t>Sanción</w:t>
      </w:r>
    </w:p>
    <w:p w14:paraId="751DBE49" w14:textId="40492389"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244, fracción IV, del Código Electoral</w:t>
      </w:r>
      <w:r>
        <w:rPr>
          <w:rFonts w:ascii="Arial" w:eastAsia="Arial" w:hAnsi="Arial" w:cs="Arial"/>
          <w:sz w:val="24"/>
          <w:szCs w:val="24"/>
          <w:vertAlign w:val="superscript"/>
        </w:rPr>
        <w:footnoteReference w:id="18"/>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III, del Código Electoral</w:t>
      </w:r>
      <w:r>
        <w:rPr>
          <w:rFonts w:ascii="Arial" w:eastAsia="Arial" w:hAnsi="Arial" w:cs="Arial"/>
          <w:sz w:val="24"/>
          <w:szCs w:val="24"/>
          <w:vertAlign w:val="superscript"/>
        </w:rPr>
        <w:footnoteReference w:id="19"/>
      </w:r>
      <w:r>
        <w:rPr>
          <w:rFonts w:ascii="Arial" w:eastAsia="Arial" w:hAnsi="Arial" w:cs="Arial"/>
          <w:sz w:val="24"/>
          <w:szCs w:val="24"/>
        </w:rPr>
        <w:t xml:space="preserve"> consistente en una </w:t>
      </w:r>
      <w:r>
        <w:rPr>
          <w:rFonts w:ascii="Arial" w:eastAsia="Arial" w:hAnsi="Arial" w:cs="Arial"/>
          <w:b/>
          <w:sz w:val="24"/>
          <w:szCs w:val="24"/>
        </w:rPr>
        <w:t xml:space="preserve">multa simbólica de </w:t>
      </w:r>
      <w:r w:rsidR="002147C0">
        <w:rPr>
          <w:rFonts w:ascii="Arial" w:eastAsia="Arial" w:hAnsi="Arial" w:cs="Arial"/>
          <w:b/>
          <w:sz w:val="24"/>
          <w:szCs w:val="24"/>
        </w:rPr>
        <w:t>40</w:t>
      </w:r>
      <w:r>
        <w:rPr>
          <w:rFonts w:ascii="Arial" w:eastAsia="Arial" w:hAnsi="Arial" w:cs="Arial"/>
          <w:b/>
          <w:sz w:val="24"/>
          <w:szCs w:val="24"/>
        </w:rPr>
        <w:t xml:space="preserve"> UMAS</w:t>
      </w:r>
      <w:r w:rsidR="00274769">
        <w:rPr>
          <w:rStyle w:val="Refdenotaalpie"/>
          <w:rFonts w:ascii="Arial" w:eastAsia="Arial" w:hAnsi="Arial" w:cs="Arial"/>
          <w:b/>
          <w:sz w:val="24"/>
          <w:szCs w:val="24"/>
        </w:rPr>
        <w:footnoteReference w:id="20"/>
      </w:r>
      <w:r>
        <w:rPr>
          <w:rFonts w:ascii="Arial" w:eastAsia="Arial" w:hAnsi="Arial" w:cs="Arial"/>
          <w:sz w:val="24"/>
          <w:szCs w:val="24"/>
        </w:rPr>
        <w:t xml:space="preserve"> (</w:t>
      </w:r>
      <w:r w:rsidR="002147C0">
        <w:rPr>
          <w:rFonts w:ascii="Arial" w:eastAsia="Arial" w:hAnsi="Arial" w:cs="Arial"/>
          <w:sz w:val="24"/>
          <w:szCs w:val="24"/>
        </w:rPr>
        <w:t>Cuarenta</w:t>
      </w:r>
      <w:r>
        <w:rPr>
          <w:rFonts w:ascii="Arial" w:eastAsia="Arial" w:hAnsi="Arial" w:cs="Arial"/>
          <w:sz w:val="24"/>
          <w:szCs w:val="24"/>
        </w:rPr>
        <w:t xml:space="preserve"> Unidades de Medida y Actualización) </w:t>
      </w:r>
      <w:r w:rsidR="002147C0" w:rsidRPr="002147C0">
        <w:rPr>
          <w:rFonts w:ascii="Arial" w:eastAsia="Arial" w:hAnsi="Arial" w:cs="Arial"/>
          <w:sz w:val="24"/>
          <w:szCs w:val="24"/>
        </w:rPr>
        <w:t>equivalente a $3,848.80 (Tres mil ochocientos cuarenta y ocho pesos 80/100 M.N.)</w:t>
      </w:r>
    </w:p>
    <w:p w14:paraId="501D8AD8" w14:textId="79BE87F6" w:rsidR="00256634" w:rsidRDefault="002234D5">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w:t>
      </w:r>
      <w:r w:rsidR="000F0709">
        <w:rPr>
          <w:rFonts w:ascii="Arial" w:eastAsia="Arial" w:hAnsi="Arial" w:cs="Arial"/>
          <w:sz w:val="24"/>
          <w:szCs w:val="24"/>
        </w:rPr>
        <w:t xml:space="preserve">tomando en cuenta la doble finalidad de la aplicación de las sanciones, es decir, una prevención </w:t>
      </w:r>
      <w:r w:rsidR="000F0709">
        <w:rPr>
          <w:rFonts w:ascii="Arial" w:eastAsia="Arial" w:hAnsi="Arial" w:cs="Arial"/>
          <w:b/>
          <w:i/>
          <w:sz w:val="24"/>
          <w:szCs w:val="24"/>
        </w:rPr>
        <w:t>general</w:t>
      </w:r>
      <w:r w:rsidR="000F0709">
        <w:rPr>
          <w:rFonts w:ascii="Arial" w:eastAsia="Arial" w:hAnsi="Arial" w:cs="Arial"/>
          <w:sz w:val="24"/>
          <w:szCs w:val="24"/>
        </w:rPr>
        <w:t xml:space="preserve">: impedir la comisión de otros hechos irregulares y, </w:t>
      </w:r>
      <w:r w:rsidR="000F0709">
        <w:rPr>
          <w:rFonts w:ascii="Arial" w:eastAsia="Arial" w:hAnsi="Arial" w:cs="Arial"/>
          <w:b/>
          <w:i/>
          <w:sz w:val="24"/>
          <w:szCs w:val="24"/>
        </w:rPr>
        <w:t>especial</w:t>
      </w:r>
      <w:r w:rsidR="000F0709">
        <w:rPr>
          <w:rFonts w:ascii="Arial" w:eastAsia="Arial" w:hAnsi="Arial" w:cs="Arial"/>
          <w:i/>
          <w:sz w:val="24"/>
          <w:szCs w:val="24"/>
        </w:rPr>
        <w:t>:</w:t>
      </w:r>
      <w:r w:rsidR="000F0709">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manifestaciones que incluyan temas de especial cuidado</w:t>
      </w:r>
      <w:r>
        <w:rPr>
          <w:rFonts w:ascii="Arial" w:eastAsia="Arial" w:hAnsi="Arial" w:cs="Arial"/>
          <w:sz w:val="24"/>
          <w:szCs w:val="24"/>
        </w:rPr>
        <w:t>.</w:t>
      </w:r>
    </w:p>
    <w:p w14:paraId="18645BCF"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w:t>
      </w:r>
      <w:r>
        <w:rPr>
          <w:rFonts w:ascii="Arial" w:eastAsia="Arial" w:hAnsi="Arial" w:cs="Arial"/>
          <w:sz w:val="24"/>
          <w:szCs w:val="24"/>
        </w:rPr>
        <w:lastRenderedPageBreak/>
        <w:t xml:space="preserve">sancionar de forma excesiva y desproporcionada, en atención a las particularidades de la conducta señalada. </w:t>
      </w:r>
    </w:p>
    <w:p w14:paraId="0DFE616F" w14:textId="248FF4CD" w:rsidR="00962E03" w:rsidRDefault="000F0709" w:rsidP="00962E03">
      <w:pPr>
        <w:pStyle w:val="Prrafodelista"/>
        <w:numPr>
          <w:ilvl w:val="0"/>
          <w:numId w:val="8"/>
        </w:numPr>
        <w:tabs>
          <w:tab w:val="left" w:pos="284"/>
        </w:tabs>
        <w:spacing w:before="240" w:line="360" w:lineRule="auto"/>
        <w:ind w:left="0" w:firstLine="0"/>
        <w:jc w:val="both"/>
        <w:rPr>
          <w:rFonts w:ascii="Arial" w:eastAsia="Arial" w:hAnsi="Arial" w:cs="Arial"/>
          <w:sz w:val="24"/>
          <w:szCs w:val="24"/>
        </w:rPr>
      </w:pPr>
      <w:r w:rsidRPr="00962E03">
        <w:rPr>
          <w:rFonts w:ascii="Arial" w:eastAsia="Arial" w:hAnsi="Arial" w:cs="Arial"/>
          <w:b/>
          <w:sz w:val="24"/>
          <w:szCs w:val="24"/>
          <w:u w:val="single"/>
        </w:rPr>
        <w:t>Pago de la multa.</w:t>
      </w:r>
      <w:r w:rsidRPr="00962E03">
        <w:rPr>
          <w:rFonts w:ascii="Arial" w:eastAsia="Arial" w:hAnsi="Arial" w:cs="Arial"/>
          <w:b/>
          <w:sz w:val="24"/>
          <w:szCs w:val="24"/>
        </w:rPr>
        <w:t xml:space="preserve"> </w:t>
      </w:r>
      <w:r w:rsidRPr="00962E03">
        <w:rPr>
          <w:rFonts w:ascii="Arial" w:eastAsia="Arial" w:hAnsi="Arial" w:cs="Arial"/>
          <w:sz w:val="24"/>
          <w:szCs w:val="24"/>
        </w:rPr>
        <w:t xml:space="preserve">El pago de la multa impuesta a la candidata Nora Ruvalcaba Gámez, deberá realizarse en la Dirección Administrativa del Instituto local, dentro de los </w:t>
      </w:r>
      <w:r w:rsidRPr="00962E03">
        <w:rPr>
          <w:rFonts w:ascii="Arial" w:eastAsia="Arial" w:hAnsi="Arial" w:cs="Arial"/>
          <w:b/>
          <w:sz w:val="24"/>
          <w:szCs w:val="24"/>
        </w:rPr>
        <w:t>cinco días</w:t>
      </w:r>
      <w:r w:rsidRPr="00962E03">
        <w:rPr>
          <w:rFonts w:ascii="Arial" w:eastAsia="Arial" w:hAnsi="Arial" w:cs="Arial"/>
          <w:sz w:val="24"/>
          <w:szCs w:val="24"/>
        </w:rPr>
        <w:t xml:space="preserve"> siguientes </w:t>
      </w:r>
      <w:r w:rsidRPr="000660DA">
        <w:rPr>
          <w:rFonts w:ascii="Arial" w:eastAsia="Arial" w:hAnsi="Arial" w:cs="Arial"/>
          <w:sz w:val="24"/>
          <w:szCs w:val="24"/>
        </w:rPr>
        <w:t>a que esta sentencia quede firme.</w:t>
      </w:r>
      <w:r>
        <w:rPr>
          <w:rFonts w:eastAsia="Arial"/>
          <w:vertAlign w:val="superscript"/>
        </w:rPr>
        <w:footnoteReference w:id="21"/>
      </w:r>
    </w:p>
    <w:p w14:paraId="41AF248E" w14:textId="77777777" w:rsidR="00962E03" w:rsidRPr="00B46FE6" w:rsidRDefault="00962E03" w:rsidP="00B46FE6">
      <w:pPr>
        <w:pStyle w:val="Sinespaciado"/>
        <w:rPr>
          <w:rFonts w:eastAsia="Arial"/>
        </w:rPr>
      </w:pPr>
    </w:p>
    <w:p w14:paraId="1CBD0DB8" w14:textId="77777777" w:rsidR="00256634" w:rsidRPr="00962E03" w:rsidRDefault="000F0709" w:rsidP="00962E03">
      <w:pPr>
        <w:pStyle w:val="Prrafodelista"/>
        <w:numPr>
          <w:ilvl w:val="0"/>
          <w:numId w:val="8"/>
        </w:numPr>
        <w:spacing w:after="240" w:line="360" w:lineRule="auto"/>
        <w:ind w:left="284" w:hanging="284"/>
        <w:jc w:val="both"/>
        <w:rPr>
          <w:rFonts w:ascii="Arial" w:eastAsia="Arial" w:hAnsi="Arial" w:cs="Arial"/>
          <w:sz w:val="24"/>
          <w:szCs w:val="24"/>
        </w:rPr>
      </w:pPr>
      <w:r w:rsidRPr="00962E03">
        <w:rPr>
          <w:rFonts w:ascii="Arial" w:eastAsia="Arial" w:hAnsi="Arial" w:cs="Arial"/>
          <w:b/>
          <w:sz w:val="24"/>
          <w:szCs w:val="24"/>
          <w:u w:val="single"/>
        </w:rPr>
        <w:t>Culpa in vigilando</w:t>
      </w:r>
    </w:p>
    <w:p w14:paraId="1BC3FB33" w14:textId="77777777"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existencia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2470C1ED" w14:textId="77777777" w:rsidR="00962E03" w:rsidRDefault="000F0709" w:rsidP="00962E03">
      <w:pPr>
        <w:spacing w:before="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Morena</w:t>
      </w:r>
      <w:r>
        <w:rPr>
          <w:rFonts w:ascii="Arial" w:eastAsia="Arial" w:hAnsi="Arial" w:cs="Arial"/>
          <w:sz w:val="24"/>
          <w:szCs w:val="24"/>
        </w:rPr>
        <w:t>.</w:t>
      </w:r>
    </w:p>
    <w:p w14:paraId="3D44CE45" w14:textId="3E8C38ED" w:rsidR="00256634" w:rsidRDefault="000F0709" w:rsidP="00962E03">
      <w:pPr>
        <w:spacing w:before="240" w:line="360" w:lineRule="auto"/>
        <w:jc w:val="both"/>
        <w:rPr>
          <w:rFonts w:ascii="Arial" w:eastAsia="Arial" w:hAnsi="Arial" w:cs="Arial"/>
          <w:sz w:val="24"/>
          <w:szCs w:val="24"/>
        </w:rPr>
      </w:pPr>
      <w:r>
        <w:rPr>
          <w:rFonts w:ascii="Arial" w:eastAsia="Arial" w:hAnsi="Arial" w:cs="Arial"/>
          <w:sz w:val="24"/>
          <w:szCs w:val="24"/>
        </w:rPr>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4"/>
          <w:szCs w:val="24"/>
          <w:vertAlign w:val="superscript"/>
        </w:rPr>
        <w:footnoteReference w:id="22"/>
      </w:r>
    </w:p>
    <w:p w14:paraId="13AA0D0D" w14:textId="434392DF" w:rsidR="00256634" w:rsidRDefault="000F070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4"/>
          <w:szCs w:val="24"/>
          <w:vertAlign w:val="superscript"/>
        </w:rPr>
        <w:footnoteReference w:id="23"/>
      </w:r>
    </w:p>
    <w:p w14:paraId="7DC37958" w14:textId="77777777" w:rsidR="00256634" w:rsidRPr="00962E03" w:rsidRDefault="000F0709" w:rsidP="00B46FE6">
      <w:pPr>
        <w:pStyle w:val="Prrafodelista"/>
        <w:numPr>
          <w:ilvl w:val="0"/>
          <w:numId w:val="9"/>
        </w:numPr>
        <w:tabs>
          <w:tab w:val="left" w:pos="284"/>
        </w:tabs>
        <w:spacing w:before="240" w:line="360" w:lineRule="auto"/>
        <w:ind w:left="0" w:firstLine="0"/>
        <w:jc w:val="both"/>
        <w:rPr>
          <w:rFonts w:ascii="Arial" w:eastAsia="Arial" w:hAnsi="Arial" w:cs="Arial"/>
          <w:sz w:val="24"/>
          <w:szCs w:val="24"/>
        </w:rPr>
      </w:pPr>
      <w:r w:rsidRPr="00962E03">
        <w:rPr>
          <w:rFonts w:ascii="Arial" w:eastAsia="Arial" w:hAnsi="Arial" w:cs="Arial"/>
          <w:b/>
          <w:sz w:val="24"/>
          <w:szCs w:val="24"/>
          <w:u w:val="single"/>
        </w:rPr>
        <w:t>Publicidad de la sanción.</w:t>
      </w:r>
      <w:r w:rsidRPr="00962E03">
        <w:rPr>
          <w:rFonts w:ascii="Arial" w:eastAsia="Arial" w:hAnsi="Arial" w:cs="Arial"/>
          <w:sz w:val="24"/>
          <w:szCs w:val="24"/>
        </w:rPr>
        <w:t xml:space="preserve"> </w:t>
      </w:r>
      <w:r w:rsidRPr="00962E03">
        <w:rPr>
          <w:rFonts w:ascii="Arial" w:eastAsia="Arial" w:hAnsi="Arial" w:cs="Arial"/>
          <w:b/>
          <w:sz w:val="24"/>
          <w:szCs w:val="24"/>
        </w:rPr>
        <w:t xml:space="preserve">Publíquese esta sentencia en el Catálogo de Sujetos Sancionados </w:t>
      </w:r>
      <w:r w:rsidRPr="00962E03">
        <w:rPr>
          <w:rFonts w:ascii="Arial" w:eastAsia="Arial" w:hAnsi="Arial" w:cs="Arial"/>
          <w:sz w:val="24"/>
          <w:szCs w:val="24"/>
        </w:rPr>
        <w:t>en los Procedimientos Especiales Sancionadores de la página de Internet de este Tribunal Electoral.</w:t>
      </w:r>
    </w:p>
    <w:p w14:paraId="2D8E4ED6" w14:textId="54174081" w:rsidR="00256634" w:rsidRDefault="000F0709" w:rsidP="00B46FE6">
      <w:pPr>
        <w:spacing w:line="360" w:lineRule="auto"/>
        <w:jc w:val="center"/>
        <w:rPr>
          <w:rFonts w:ascii="Arial" w:eastAsia="Arial" w:hAnsi="Arial" w:cs="Arial"/>
          <w:b/>
          <w:sz w:val="24"/>
          <w:szCs w:val="24"/>
        </w:rPr>
      </w:pPr>
      <w:r>
        <w:rPr>
          <w:rFonts w:ascii="Arial" w:eastAsia="Arial" w:hAnsi="Arial" w:cs="Arial"/>
          <w:b/>
          <w:sz w:val="24"/>
          <w:szCs w:val="24"/>
        </w:rPr>
        <w:lastRenderedPageBreak/>
        <w:t>VI. Resolutivos</w:t>
      </w:r>
      <w:r w:rsidR="00962E03">
        <w:rPr>
          <w:rFonts w:ascii="Arial" w:eastAsia="Arial" w:hAnsi="Arial" w:cs="Arial"/>
          <w:b/>
          <w:sz w:val="24"/>
          <w:szCs w:val="24"/>
        </w:rPr>
        <w:t>:</w:t>
      </w:r>
    </w:p>
    <w:p w14:paraId="1B1270BA" w14:textId="77777777" w:rsidR="00B46FE6" w:rsidRPr="00962E03" w:rsidRDefault="00B46FE6" w:rsidP="00B46FE6">
      <w:pPr>
        <w:pStyle w:val="Sinespaciado"/>
        <w:rPr>
          <w:rFonts w:eastAsia="Arial"/>
        </w:rPr>
      </w:pPr>
    </w:p>
    <w:p w14:paraId="4773263B" w14:textId="000AA834" w:rsidR="00256634" w:rsidRDefault="000F0709" w:rsidP="00B46FE6">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Nora Ruvalcaba Gámez.</w:t>
      </w:r>
    </w:p>
    <w:p w14:paraId="33E38E9C" w14:textId="77777777" w:rsidR="00B46FE6" w:rsidRDefault="00B46FE6" w:rsidP="00B46FE6">
      <w:pPr>
        <w:pStyle w:val="Sinespaciado"/>
        <w:rPr>
          <w:rFonts w:eastAsia="Arial"/>
        </w:rPr>
      </w:pPr>
    </w:p>
    <w:p w14:paraId="304D39A6" w14:textId="70210BE3" w:rsidR="00B46FE6" w:rsidRDefault="000F0709" w:rsidP="002147C0">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 xml:space="preserve">de </w:t>
      </w:r>
      <w:r w:rsidR="002147C0">
        <w:rPr>
          <w:rFonts w:ascii="Arial" w:eastAsia="Arial" w:hAnsi="Arial" w:cs="Arial"/>
          <w:sz w:val="24"/>
          <w:szCs w:val="24"/>
        </w:rPr>
        <w:t>40</w:t>
      </w:r>
      <w:r>
        <w:rPr>
          <w:rFonts w:ascii="Arial" w:eastAsia="Arial" w:hAnsi="Arial" w:cs="Arial"/>
          <w:sz w:val="24"/>
          <w:szCs w:val="24"/>
        </w:rPr>
        <w:t xml:space="preserve"> UMAS (</w:t>
      </w:r>
      <w:r w:rsidR="002147C0">
        <w:rPr>
          <w:rFonts w:ascii="Arial" w:eastAsia="Arial" w:hAnsi="Arial" w:cs="Arial"/>
          <w:sz w:val="24"/>
          <w:szCs w:val="24"/>
        </w:rPr>
        <w:t>Cuarenta</w:t>
      </w:r>
      <w:r>
        <w:rPr>
          <w:rFonts w:ascii="Arial" w:eastAsia="Arial" w:hAnsi="Arial" w:cs="Arial"/>
          <w:sz w:val="24"/>
          <w:szCs w:val="24"/>
        </w:rPr>
        <w:t xml:space="preserve"> Unidades de Medida y Actualización) </w:t>
      </w:r>
      <w:r w:rsidR="002147C0" w:rsidRPr="002147C0">
        <w:rPr>
          <w:rFonts w:ascii="Arial" w:eastAsia="Arial" w:hAnsi="Arial" w:cs="Arial"/>
          <w:sz w:val="24"/>
          <w:szCs w:val="24"/>
        </w:rPr>
        <w:t>equivalente a $3,848.80 (Tres mil ochocientos cuarenta y ocho pesos 80/100 M.N.)</w:t>
      </w:r>
    </w:p>
    <w:p w14:paraId="3ED20863" w14:textId="77777777" w:rsidR="002147C0" w:rsidRDefault="002147C0" w:rsidP="002147C0">
      <w:pPr>
        <w:spacing w:line="360" w:lineRule="auto"/>
        <w:jc w:val="both"/>
        <w:rPr>
          <w:rFonts w:eastAsia="Arial"/>
        </w:rPr>
      </w:pPr>
    </w:p>
    <w:p w14:paraId="238411C6" w14:textId="77777777" w:rsidR="00256634" w:rsidRDefault="000F0709" w:rsidP="00B87941">
      <w:pPr>
        <w:spacing w:line="36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1CAA9181" w14:textId="6FA4F9B3" w:rsidR="00256634" w:rsidRDefault="000F0709" w:rsidP="00B87941">
      <w:pPr>
        <w:spacing w:before="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 xml:space="preserve">Se </w:t>
      </w:r>
      <w:r>
        <w:rPr>
          <w:rFonts w:ascii="Arial" w:eastAsia="Arial" w:hAnsi="Arial" w:cs="Arial"/>
          <w:b/>
          <w:sz w:val="24"/>
          <w:szCs w:val="24"/>
        </w:rPr>
        <w:t>impone una amonestación pública</w:t>
      </w:r>
      <w:r>
        <w:rPr>
          <w:rFonts w:ascii="Arial" w:eastAsia="Arial" w:hAnsi="Arial" w:cs="Arial"/>
          <w:sz w:val="24"/>
          <w:szCs w:val="24"/>
        </w:rPr>
        <w:t xml:space="preserve"> al partido político Morena. </w:t>
      </w:r>
    </w:p>
    <w:p w14:paraId="270C4D40" w14:textId="77777777" w:rsidR="00B87941" w:rsidRDefault="00B87941" w:rsidP="00B87941">
      <w:pPr>
        <w:pStyle w:val="Sinespaciado"/>
        <w:rPr>
          <w:rFonts w:eastAsia="Arial"/>
        </w:rPr>
      </w:pPr>
    </w:p>
    <w:p w14:paraId="569CBAA8" w14:textId="011635DB" w:rsidR="00256634" w:rsidRDefault="00B87941" w:rsidP="00B87941">
      <w:pPr>
        <w:spacing w:line="360" w:lineRule="auto"/>
        <w:jc w:val="both"/>
        <w:rPr>
          <w:rFonts w:ascii="Arial" w:eastAsia="Arial" w:hAnsi="Arial" w:cs="Arial"/>
          <w:sz w:val="24"/>
          <w:szCs w:val="24"/>
        </w:rPr>
      </w:pPr>
      <w:r>
        <w:rPr>
          <w:rFonts w:ascii="Arial" w:eastAsia="Arial" w:hAnsi="Arial" w:cs="Arial"/>
          <w:b/>
          <w:sz w:val="24"/>
          <w:szCs w:val="24"/>
        </w:rPr>
        <w:t>Quinto</w:t>
      </w:r>
      <w:r w:rsidR="000F0709">
        <w:rPr>
          <w:rFonts w:ascii="Arial" w:eastAsia="Arial" w:hAnsi="Arial" w:cs="Arial"/>
          <w:b/>
          <w:sz w:val="24"/>
          <w:szCs w:val="24"/>
        </w:rPr>
        <w:t xml:space="preserve">. </w:t>
      </w:r>
      <w:r w:rsidR="000F0709">
        <w:rPr>
          <w:rFonts w:ascii="Arial" w:eastAsia="Arial" w:hAnsi="Arial" w:cs="Arial"/>
          <w:sz w:val="24"/>
          <w:szCs w:val="24"/>
        </w:rPr>
        <w:t>Publíquese en la página de internet de este Tribunal, en el catálogo de sujetos sancionados de los Procedimientos Especiales Sancionadores.</w:t>
      </w:r>
    </w:p>
    <w:p w14:paraId="4C1CB9BF" w14:textId="77777777" w:rsidR="00B87941" w:rsidRDefault="00B87941" w:rsidP="00B87941">
      <w:pPr>
        <w:pStyle w:val="Sinespaciado"/>
      </w:pPr>
    </w:p>
    <w:p w14:paraId="5FBBE78F" w14:textId="6EEA64D0" w:rsidR="00274769" w:rsidRPr="0007505E" w:rsidRDefault="000F0709" w:rsidP="0007505E">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4A955D0C" w14:textId="34CE1EF1" w:rsidR="00274769" w:rsidRDefault="00274769" w:rsidP="00B46FE6">
      <w:pPr>
        <w:pStyle w:val="Sinespaciado"/>
      </w:pPr>
    </w:p>
    <w:p w14:paraId="6285D1C6" w14:textId="42CD8B0C" w:rsidR="00B87941" w:rsidRDefault="00B87941" w:rsidP="00B46FE6">
      <w:pPr>
        <w:pStyle w:val="Sinespaciado"/>
      </w:pPr>
    </w:p>
    <w:p w14:paraId="625C1756" w14:textId="01F81F21" w:rsidR="00B87941" w:rsidRDefault="00B87941" w:rsidP="00B46FE6">
      <w:pPr>
        <w:pStyle w:val="Sinespaciado"/>
      </w:pPr>
    </w:p>
    <w:p w14:paraId="26CEE325" w14:textId="69ECD816" w:rsidR="00B87941" w:rsidRDefault="00B87941" w:rsidP="00B46FE6">
      <w:pPr>
        <w:pStyle w:val="Sinespaciado"/>
      </w:pPr>
    </w:p>
    <w:p w14:paraId="3E2AA613" w14:textId="0531F7D4" w:rsidR="00B87941" w:rsidRDefault="00B87941" w:rsidP="00B46FE6">
      <w:pPr>
        <w:pStyle w:val="Sinespaciado"/>
      </w:pPr>
    </w:p>
    <w:p w14:paraId="68FD3A15" w14:textId="55AA2F10" w:rsidR="00B87941" w:rsidRDefault="00B87941" w:rsidP="00B46FE6">
      <w:pPr>
        <w:pStyle w:val="Sinespaciado"/>
      </w:pPr>
    </w:p>
    <w:p w14:paraId="7CDC672E" w14:textId="2E6F3EE8" w:rsidR="00B87941" w:rsidRDefault="00B87941" w:rsidP="00B46FE6">
      <w:pPr>
        <w:pStyle w:val="Sinespaciado"/>
      </w:pPr>
    </w:p>
    <w:p w14:paraId="7CCD1309" w14:textId="6260286B" w:rsidR="00B87941" w:rsidRDefault="00B87941" w:rsidP="00B46FE6">
      <w:pPr>
        <w:pStyle w:val="Sinespaciado"/>
      </w:pPr>
    </w:p>
    <w:p w14:paraId="1DFB7D4B" w14:textId="540279B7" w:rsidR="00B87941" w:rsidRDefault="00B87941" w:rsidP="00B46FE6">
      <w:pPr>
        <w:pStyle w:val="Sinespaciado"/>
      </w:pPr>
    </w:p>
    <w:p w14:paraId="7E0448A7" w14:textId="05643372" w:rsidR="00B87941" w:rsidRDefault="00B87941" w:rsidP="00B46FE6">
      <w:pPr>
        <w:pStyle w:val="Sinespaciado"/>
      </w:pPr>
    </w:p>
    <w:p w14:paraId="70164ACB" w14:textId="77777777" w:rsidR="00B87941" w:rsidRDefault="00B87941" w:rsidP="00B46FE6">
      <w:pPr>
        <w:pStyle w:val="Sinespaciado"/>
      </w:pPr>
    </w:p>
    <w:p w14:paraId="383616ED" w14:textId="5F1F6216" w:rsidR="00256634" w:rsidRDefault="000F0709">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en funciones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5202BFD5" w14:textId="77777777" w:rsidR="00274769" w:rsidRDefault="00274769">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035BE1B3" w14:textId="77777777" w:rsidR="00B46FE6" w:rsidRDefault="00B46FE6" w:rsidP="00B46FE6">
      <w:pPr>
        <w:pStyle w:val="Sinespaciado"/>
        <w:rPr>
          <w:rFonts w:eastAsia="Arial"/>
        </w:rPr>
      </w:pPr>
    </w:p>
    <w:tbl>
      <w:tblPr>
        <w:tblStyle w:val="afb"/>
        <w:tblW w:w="9120" w:type="dxa"/>
        <w:jc w:val="center"/>
        <w:tblInd w:w="0" w:type="dxa"/>
        <w:tblLayout w:type="fixed"/>
        <w:tblLook w:val="0400" w:firstRow="0" w:lastRow="0" w:firstColumn="0" w:lastColumn="0" w:noHBand="0" w:noVBand="1"/>
      </w:tblPr>
      <w:tblGrid>
        <w:gridCol w:w="4559"/>
        <w:gridCol w:w="4561"/>
      </w:tblGrid>
      <w:tr w:rsidR="00256634" w14:paraId="759CF3C8" w14:textId="77777777" w:rsidTr="00B46FE6">
        <w:trPr>
          <w:trHeight w:val="1211"/>
          <w:jc w:val="center"/>
        </w:trPr>
        <w:tc>
          <w:tcPr>
            <w:tcW w:w="9120" w:type="dxa"/>
            <w:gridSpan w:val="2"/>
          </w:tcPr>
          <w:p w14:paraId="0E1A48E9" w14:textId="77777777" w:rsidR="00256634" w:rsidRDefault="000F0709">
            <w:pPr>
              <w:spacing w:line="360" w:lineRule="auto"/>
              <w:jc w:val="center"/>
              <w:rPr>
                <w:rFonts w:ascii="Arial" w:eastAsia="Arial" w:hAnsi="Arial" w:cs="Arial"/>
                <w:b/>
                <w:color w:val="000000"/>
                <w:sz w:val="24"/>
                <w:szCs w:val="24"/>
              </w:rPr>
            </w:pPr>
            <w:bookmarkStart w:id="4" w:name="_heading=h.3znysh7" w:colFirst="0" w:colLast="0"/>
            <w:bookmarkEnd w:id="4"/>
            <w:r>
              <w:rPr>
                <w:rFonts w:ascii="Arial" w:eastAsia="Arial" w:hAnsi="Arial" w:cs="Arial"/>
                <w:b/>
                <w:color w:val="000000"/>
                <w:sz w:val="24"/>
                <w:szCs w:val="24"/>
              </w:rPr>
              <w:t>MAGISTRADA PRESIDENTA</w:t>
            </w:r>
          </w:p>
          <w:p w14:paraId="216BB8B6" w14:textId="77777777" w:rsidR="00256634" w:rsidRPr="00B87941" w:rsidRDefault="00256634" w:rsidP="00B46FE6">
            <w:pPr>
              <w:pStyle w:val="Sinespaciado"/>
              <w:rPr>
                <w:rFonts w:eastAsia="Arial"/>
                <w:sz w:val="24"/>
                <w:szCs w:val="24"/>
              </w:rPr>
            </w:pPr>
          </w:p>
          <w:p w14:paraId="0A886C1E" w14:textId="77777777" w:rsidR="00256634" w:rsidRDefault="000F070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3C99DC15" w14:textId="4E86200D" w:rsidR="00274769" w:rsidRDefault="00274769">
            <w:pPr>
              <w:spacing w:line="360" w:lineRule="auto"/>
              <w:jc w:val="center"/>
              <w:rPr>
                <w:rFonts w:ascii="Arial" w:eastAsia="Arial" w:hAnsi="Arial" w:cs="Arial"/>
                <w:b/>
                <w:color w:val="000000"/>
                <w:sz w:val="24"/>
                <w:szCs w:val="24"/>
              </w:rPr>
            </w:pPr>
          </w:p>
        </w:tc>
      </w:tr>
      <w:tr w:rsidR="00256634" w14:paraId="36B86FBF" w14:textId="77777777">
        <w:trPr>
          <w:trHeight w:val="1549"/>
          <w:jc w:val="center"/>
        </w:trPr>
        <w:tc>
          <w:tcPr>
            <w:tcW w:w="4559" w:type="dxa"/>
          </w:tcPr>
          <w:p w14:paraId="21413DEA" w14:textId="77777777" w:rsidR="00256634" w:rsidRDefault="000F070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5EF0F008" w14:textId="77777777" w:rsidR="00256634" w:rsidRPr="00B87941" w:rsidRDefault="00256634" w:rsidP="00B46FE6">
            <w:pPr>
              <w:pStyle w:val="Sinespaciado"/>
              <w:rPr>
                <w:rFonts w:eastAsia="Arial"/>
                <w:sz w:val="24"/>
                <w:szCs w:val="24"/>
              </w:rPr>
            </w:pPr>
          </w:p>
          <w:p w14:paraId="5C353B52" w14:textId="77777777" w:rsidR="00256634" w:rsidRDefault="000F0709">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01319F85" w14:textId="77777777" w:rsidR="00256634" w:rsidRDefault="000F0709">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67C165EA" w14:textId="77777777" w:rsidR="00256634" w:rsidRDefault="000F070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43CDF279" w14:textId="77777777" w:rsidR="0007505E" w:rsidRPr="00B87941" w:rsidRDefault="0007505E" w:rsidP="0007505E">
            <w:pPr>
              <w:rPr>
                <w:rFonts w:eastAsia="Arial"/>
                <w:sz w:val="28"/>
                <w:szCs w:val="28"/>
              </w:rPr>
            </w:pPr>
          </w:p>
          <w:p w14:paraId="34ABCF16" w14:textId="77777777" w:rsidR="00256634" w:rsidRDefault="000F0709">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3E344AD2" w14:textId="2EA862C3" w:rsidR="00256634" w:rsidRDefault="000F0709">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0CE19E99" w14:textId="77777777" w:rsidR="00274769" w:rsidRDefault="00274769">
            <w:pPr>
              <w:jc w:val="center"/>
              <w:rPr>
                <w:rFonts w:ascii="Arial" w:eastAsia="Arial" w:hAnsi="Arial" w:cs="Arial"/>
                <w:b/>
                <w:color w:val="000000"/>
                <w:sz w:val="24"/>
                <w:szCs w:val="24"/>
              </w:rPr>
            </w:pPr>
          </w:p>
          <w:p w14:paraId="772738BC" w14:textId="77777777" w:rsidR="00256634" w:rsidRPr="00B87941" w:rsidRDefault="00256634">
            <w:pPr>
              <w:rPr>
                <w:sz w:val="24"/>
                <w:szCs w:val="24"/>
              </w:rPr>
            </w:pPr>
          </w:p>
        </w:tc>
      </w:tr>
      <w:tr w:rsidR="00256634" w14:paraId="34D79264" w14:textId="77777777">
        <w:trPr>
          <w:jc w:val="center"/>
        </w:trPr>
        <w:tc>
          <w:tcPr>
            <w:tcW w:w="9120" w:type="dxa"/>
            <w:gridSpan w:val="2"/>
          </w:tcPr>
          <w:p w14:paraId="5CA3B825" w14:textId="77777777" w:rsidR="00256634" w:rsidRDefault="000F070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0FDC4168" w14:textId="77777777" w:rsidR="00256634" w:rsidRPr="00B87941" w:rsidRDefault="00256634" w:rsidP="00B46FE6">
            <w:pPr>
              <w:pStyle w:val="Sinespaciado"/>
              <w:rPr>
                <w:rFonts w:eastAsia="Arial"/>
                <w:sz w:val="24"/>
                <w:szCs w:val="24"/>
              </w:rPr>
            </w:pPr>
          </w:p>
          <w:p w14:paraId="0FC5DDB8" w14:textId="77777777" w:rsidR="00256634" w:rsidRDefault="000F070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4D17E928" w14:textId="77777777" w:rsidR="00256634" w:rsidRDefault="00256634">
      <w:pPr>
        <w:spacing w:line="360" w:lineRule="auto"/>
        <w:rPr>
          <w:rFonts w:ascii="Arial" w:eastAsia="Arial" w:hAnsi="Arial" w:cs="Arial"/>
          <w:sz w:val="24"/>
          <w:szCs w:val="24"/>
        </w:rPr>
      </w:pPr>
    </w:p>
    <w:sectPr w:rsidR="00256634">
      <w:headerReference w:type="even" r:id="rId17"/>
      <w:headerReference w:type="default" r:id="rId18"/>
      <w:footerReference w:type="even" r:id="rId19"/>
      <w:footerReference w:type="default" r:id="rId20"/>
      <w:headerReference w:type="first" r:id="rId21"/>
      <w:footerReference w:type="first" r:id="rId22"/>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CFA3" w14:textId="77777777" w:rsidR="006B794F" w:rsidRDefault="006B794F">
      <w:r>
        <w:separator/>
      </w:r>
    </w:p>
  </w:endnote>
  <w:endnote w:type="continuationSeparator" w:id="0">
    <w:p w14:paraId="7B07E7A2" w14:textId="77777777" w:rsidR="006B794F" w:rsidRDefault="006B7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A622" w14:textId="77777777" w:rsidR="00256634" w:rsidRDefault="0025663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19E" w14:textId="77777777" w:rsidR="00256634" w:rsidRDefault="0025663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E742" w14:textId="77777777" w:rsidR="00256634" w:rsidRDefault="0025663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EF93" w14:textId="77777777" w:rsidR="006B794F" w:rsidRDefault="006B794F">
      <w:r>
        <w:separator/>
      </w:r>
    </w:p>
  </w:footnote>
  <w:footnote w:type="continuationSeparator" w:id="0">
    <w:p w14:paraId="73F81567" w14:textId="77777777" w:rsidR="006B794F" w:rsidRDefault="006B794F">
      <w:r>
        <w:continuationSeparator/>
      </w:r>
    </w:p>
  </w:footnote>
  <w:footnote w:id="1">
    <w:p w14:paraId="3773E361" w14:textId="77777777" w:rsidR="00256634" w:rsidRDefault="000F0709">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73E6D9A0" w14:textId="77777777" w:rsidR="00256634" w:rsidRDefault="000F0709">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7A37C3B6" w14:textId="77777777" w:rsidR="00256634" w:rsidRDefault="000F0709">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485C0F3C" w14:textId="77777777" w:rsidR="00256634" w:rsidRPr="00B37ECD" w:rsidRDefault="000F0709" w:rsidP="00B37ECD">
      <w:pPr>
        <w:jc w:val="both"/>
        <w:rPr>
          <w:rFonts w:ascii="Arial" w:eastAsia="Arial" w:hAnsi="Arial" w:cs="Arial"/>
        </w:rPr>
      </w:pPr>
      <w:r>
        <w:rPr>
          <w:vertAlign w:val="superscript"/>
        </w:rPr>
        <w:footnoteRef/>
      </w:r>
      <w:r>
        <w:rPr>
          <w:rFonts w:ascii="Arial" w:eastAsia="Arial" w:hAnsi="Arial" w:cs="Arial"/>
        </w:rPr>
        <w:t xml:space="preserve"> </w:t>
      </w:r>
      <w:r w:rsidRPr="00B37ECD">
        <w:rPr>
          <w:rFonts w:ascii="Arial" w:eastAsia="Arial" w:hAnsi="Arial" w:cs="Arial"/>
        </w:rPr>
        <w:t>Tal como se prevé en el artículo 274, fracción IV, del Código Electoral.</w:t>
      </w:r>
    </w:p>
  </w:footnote>
  <w:footnote w:id="5">
    <w:p w14:paraId="0EC13CDA" w14:textId="77777777" w:rsidR="00256634" w:rsidRPr="00B37ECD" w:rsidRDefault="000F0709" w:rsidP="00B37ECD">
      <w:pPr>
        <w:jc w:val="both"/>
        <w:rPr>
          <w:rFonts w:ascii="Arial" w:eastAsia="Arial" w:hAnsi="Arial" w:cs="Arial"/>
        </w:rPr>
      </w:pPr>
      <w:r w:rsidRPr="00B37ECD">
        <w:rPr>
          <w:rFonts w:ascii="Arial" w:hAnsi="Arial" w:cs="Arial"/>
          <w:vertAlign w:val="superscript"/>
        </w:rPr>
        <w:footnoteRef/>
      </w:r>
      <w:r w:rsidRPr="00B37ECD">
        <w:rPr>
          <w:rFonts w:ascii="Arial" w:hAnsi="Arial" w:cs="Arial"/>
        </w:rPr>
        <w:t xml:space="preserve"> </w:t>
      </w:r>
      <w:r w:rsidRPr="00B37ECD">
        <w:rPr>
          <w:rFonts w:ascii="Arial" w:eastAsia="Arial" w:hAnsi="Arial" w:cs="Arial"/>
        </w:rPr>
        <w:t xml:space="preserve">Véase la resolución SUP-AG-142/2021. </w:t>
      </w:r>
    </w:p>
  </w:footnote>
  <w:footnote w:id="6">
    <w:p w14:paraId="264838AF" w14:textId="77777777" w:rsidR="00256634" w:rsidRPr="00B37ECD" w:rsidRDefault="000F0709" w:rsidP="00B37ECD">
      <w:pPr>
        <w:jc w:val="both"/>
        <w:rPr>
          <w:rFonts w:ascii="Arial" w:eastAsia="Arial" w:hAnsi="Arial" w:cs="Arial"/>
        </w:rPr>
      </w:pPr>
      <w:r w:rsidRPr="00B37ECD">
        <w:rPr>
          <w:rFonts w:ascii="Arial" w:hAnsi="Arial" w:cs="Arial"/>
          <w:vertAlign w:val="superscript"/>
        </w:rPr>
        <w:footnoteRef/>
      </w:r>
      <w:r w:rsidRPr="00B37ECD">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3BB361F9" w14:textId="77777777" w:rsidR="00256634" w:rsidRPr="00B37ECD" w:rsidRDefault="000F0709" w:rsidP="00B37ECD">
      <w:pPr>
        <w:jc w:val="both"/>
        <w:rPr>
          <w:rFonts w:ascii="Arial" w:eastAsia="Arial" w:hAnsi="Arial" w:cs="Arial"/>
        </w:rPr>
      </w:pPr>
      <w:r w:rsidRPr="00B37ECD">
        <w:rPr>
          <w:rFonts w:ascii="Arial" w:eastAsia="Arial" w:hAnsi="Arial" w:cs="Arial"/>
        </w:rPr>
        <w:t>II. Los hechos denunciados no constituyan una violación en materia de propaganda político-electivo;</w:t>
      </w:r>
    </w:p>
    <w:p w14:paraId="6BC26379" w14:textId="77777777" w:rsidR="00256634" w:rsidRPr="00B37ECD" w:rsidRDefault="000F0709" w:rsidP="00B37ECD">
      <w:pPr>
        <w:jc w:val="both"/>
        <w:rPr>
          <w:rFonts w:ascii="Arial" w:eastAsia="Arial" w:hAnsi="Arial" w:cs="Arial"/>
        </w:rPr>
      </w:pPr>
      <w:r w:rsidRPr="00B37ECD">
        <w:rPr>
          <w:rFonts w:ascii="Arial" w:eastAsia="Arial" w:hAnsi="Arial" w:cs="Arial"/>
        </w:rPr>
        <w:t>III. El denunciante no aporte ni ofrezca prueba alguna de sus dichos; […]</w:t>
      </w:r>
    </w:p>
    <w:p w14:paraId="1B6F06E1" w14:textId="77777777" w:rsidR="00256634" w:rsidRPr="00B37ECD" w:rsidRDefault="000F0709" w:rsidP="00B37ECD">
      <w:pPr>
        <w:jc w:val="both"/>
        <w:rPr>
          <w:rFonts w:ascii="Arial" w:eastAsia="Arial" w:hAnsi="Arial" w:cs="Arial"/>
        </w:rPr>
      </w:pPr>
      <w:r w:rsidRPr="00B37ECD">
        <w:rPr>
          <w:rFonts w:ascii="Arial" w:eastAsia="Arial" w:hAnsi="Arial" w:cs="Arial"/>
        </w:rPr>
        <w:t>V. La denuncia sea evidentemente frívola. […]</w:t>
      </w:r>
    </w:p>
    <w:p w14:paraId="0D67AB33" w14:textId="77777777" w:rsidR="00256634" w:rsidRDefault="00256634">
      <w:pPr>
        <w:rPr>
          <w:rFonts w:ascii="Arial" w:eastAsia="Arial" w:hAnsi="Arial" w:cs="Arial"/>
        </w:rPr>
      </w:pPr>
    </w:p>
  </w:footnote>
  <w:footnote w:id="7">
    <w:p w14:paraId="7A3D69CB" w14:textId="49004549" w:rsidR="00091183" w:rsidRPr="00091183" w:rsidRDefault="000F0709">
      <w:pPr>
        <w:pBdr>
          <w:top w:val="nil"/>
          <w:left w:val="nil"/>
          <w:bottom w:val="nil"/>
          <w:right w:val="nil"/>
          <w:between w:val="nil"/>
        </w:pBdr>
        <w:jc w:val="both"/>
        <w:rPr>
          <w:rFonts w:ascii="Arial" w:eastAsia="Arial" w:hAnsi="Arial" w:cs="Arial"/>
          <w:i/>
          <w:iCs/>
          <w:color w:val="000000"/>
        </w:rPr>
      </w:pPr>
      <w:r>
        <w:rPr>
          <w:vertAlign w:val="superscript"/>
        </w:rPr>
        <w:footnoteRef/>
      </w:r>
      <w:r>
        <w:rPr>
          <w:rFonts w:ascii="Arial" w:eastAsia="Arial" w:hAnsi="Arial" w:cs="Arial"/>
          <w:color w:val="000000"/>
        </w:rPr>
        <w:t xml:space="preserve"> </w:t>
      </w:r>
      <w:r w:rsidR="00091183">
        <w:rPr>
          <w:rFonts w:ascii="Arial" w:eastAsia="Arial" w:hAnsi="Arial" w:cs="Arial"/>
          <w:color w:val="000000"/>
        </w:rPr>
        <w:t xml:space="preserve">- </w:t>
      </w:r>
      <w:r w:rsidR="00091183">
        <w:rPr>
          <w:rFonts w:ascii="Arial" w:eastAsia="Arial" w:hAnsi="Arial" w:cs="Arial"/>
          <w:i/>
          <w:iCs/>
          <w:color w:val="000000"/>
        </w:rPr>
        <w:t xml:space="preserve">Prueba técnica: </w:t>
      </w:r>
      <w:r w:rsidR="00091183">
        <w:rPr>
          <w:rFonts w:ascii="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5D1F859D" w14:textId="1CB581B3" w:rsidR="00256634" w:rsidRDefault="000F0709">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1D55B9D2" w14:textId="77777777" w:rsidR="00256634" w:rsidRDefault="000F0709">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7CC66256" w14:textId="77777777" w:rsidR="00256634" w:rsidRDefault="00256634">
      <w:pPr>
        <w:pBdr>
          <w:top w:val="nil"/>
          <w:left w:val="nil"/>
          <w:bottom w:val="nil"/>
          <w:right w:val="nil"/>
          <w:between w:val="nil"/>
        </w:pBdr>
        <w:rPr>
          <w:rFonts w:ascii="Arial" w:eastAsia="Arial" w:hAnsi="Arial" w:cs="Arial"/>
          <w:color w:val="000000"/>
        </w:rPr>
      </w:pPr>
    </w:p>
  </w:footnote>
  <w:footnote w:id="8">
    <w:p w14:paraId="61B76E28" w14:textId="77777777" w:rsidR="00256634" w:rsidRPr="00091183" w:rsidRDefault="000F0709" w:rsidP="00091183">
      <w:pPr>
        <w:jc w:val="both"/>
        <w:rPr>
          <w:rFonts w:ascii="Arial" w:hAnsi="Arial" w:cs="Arial"/>
        </w:rPr>
      </w:pPr>
      <w:r w:rsidRPr="00091183">
        <w:rPr>
          <w:rFonts w:ascii="Arial" w:hAnsi="Arial" w:cs="Arial"/>
          <w:vertAlign w:val="superscript"/>
        </w:rPr>
        <w:footnoteRef/>
      </w:r>
      <w:r w:rsidRPr="00091183">
        <w:rPr>
          <w:rFonts w:ascii="Arial" w:hAnsi="Arial" w:cs="Arial"/>
        </w:rPr>
        <w:t xml:space="preserve"> </w:t>
      </w:r>
      <w:r w:rsidRPr="00091183">
        <w:rPr>
          <w:rFonts w:ascii="Arial" w:eastAsia="Arial" w:hAnsi="Arial" w:cs="Arial"/>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5509EA8B" w14:textId="77777777" w:rsidR="00256634" w:rsidRPr="00091183" w:rsidRDefault="000F0709" w:rsidP="00091183">
      <w:pPr>
        <w:jc w:val="both"/>
        <w:rPr>
          <w:rFonts w:ascii="Arial" w:hAnsi="Arial" w:cs="Arial"/>
        </w:rPr>
      </w:pPr>
      <w:r w:rsidRPr="00091183">
        <w:rPr>
          <w:rFonts w:ascii="Arial" w:hAnsi="Arial" w:cs="Arial"/>
          <w:vertAlign w:val="superscript"/>
        </w:rPr>
        <w:footnoteRef/>
      </w:r>
      <w:r w:rsidRPr="00091183">
        <w:rPr>
          <w:rFonts w:ascii="Arial" w:hAnsi="Arial" w:cs="Arial"/>
        </w:rPr>
        <w:t xml:space="preserve"> </w:t>
      </w:r>
      <w:r w:rsidRPr="00091183">
        <w:rPr>
          <w:rFonts w:ascii="Arial" w:eastAsia="Arial" w:hAnsi="Arial" w:cs="Arial"/>
        </w:rPr>
        <w:t>Apartado C. En la propaganda política o electoral que difundan los partidos y candidatos deberán abstenerse de expresiones que calumnien a las personas</w:t>
      </w:r>
    </w:p>
  </w:footnote>
  <w:footnote w:id="10">
    <w:p w14:paraId="7877B38E" w14:textId="77777777" w:rsidR="00256634" w:rsidRPr="00091183" w:rsidRDefault="000F0709" w:rsidP="00091183">
      <w:pPr>
        <w:jc w:val="both"/>
        <w:rPr>
          <w:rFonts w:ascii="Arial" w:hAnsi="Arial" w:cs="Arial"/>
        </w:rPr>
      </w:pPr>
      <w:r w:rsidRPr="00091183">
        <w:rPr>
          <w:rFonts w:ascii="Arial" w:hAnsi="Arial" w:cs="Arial"/>
          <w:vertAlign w:val="superscript"/>
        </w:rPr>
        <w:footnoteRef/>
      </w:r>
      <w:r w:rsidRPr="00091183">
        <w:rPr>
          <w:rFonts w:ascii="Arial" w:hAnsi="Arial" w:cs="Arial"/>
        </w:rPr>
        <w:t xml:space="preserve"> </w:t>
      </w:r>
      <w:r w:rsidRPr="00091183">
        <w:rPr>
          <w:rFonts w:ascii="Arial" w:eastAsia="Arial" w:hAnsi="Arial" w:cs="Arial"/>
        </w:rPr>
        <w:t>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1">
    <w:p w14:paraId="23303F5B" w14:textId="6195660C" w:rsidR="00256634" w:rsidRDefault="000F0709" w:rsidP="00091183">
      <w:pPr>
        <w:jc w:val="both"/>
      </w:pPr>
      <w:r w:rsidRPr="00091183">
        <w:rPr>
          <w:rFonts w:ascii="Arial" w:hAnsi="Arial" w:cs="Arial"/>
          <w:vertAlign w:val="superscript"/>
        </w:rPr>
        <w:footnoteRef/>
      </w:r>
      <w:r w:rsidRPr="00091183">
        <w:rPr>
          <w:rFonts w:ascii="Arial" w:hAnsi="Arial" w:cs="Arial"/>
        </w:rPr>
        <w:t xml:space="preserve"> </w:t>
      </w:r>
      <w:r w:rsidRPr="00091183">
        <w:rPr>
          <w:rFonts w:ascii="Arial" w:eastAsia="Arial" w:hAnsi="Arial" w:cs="Arial"/>
        </w:rPr>
        <w:t>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sidR="00B46FE6">
        <w:rPr>
          <w:rFonts w:ascii="Arial" w:eastAsia="Arial" w:hAnsi="Arial" w:cs="Arial"/>
        </w:rPr>
        <w:t>)</w:t>
      </w:r>
    </w:p>
  </w:footnote>
  <w:footnote w:id="12">
    <w:p w14:paraId="0CFB47C6" w14:textId="77777777" w:rsidR="00256634" w:rsidRDefault="000F0709">
      <w:r>
        <w:rPr>
          <w:vertAlign w:val="superscript"/>
        </w:rPr>
        <w:footnoteRef/>
      </w:r>
      <w:r>
        <w:t xml:space="preserve"> </w:t>
      </w:r>
      <w:r>
        <w:rPr>
          <w:rFonts w:ascii="Arial" w:eastAsia="Arial" w:hAnsi="Arial" w:cs="Arial"/>
        </w:rPr>
        <w:t>Véase la sentencia SUP-REP-042/2018.</w:t>
      </w:r>
    </w:p>
  </w:footnote>
  <w:footnote w:id="13">
    <w:p w14:paraId="1EFD35DF" w14:textId="77777777" w:rsidR="00256634" w:rsidRDefault="000F0709" w:rsidP="00B46FE6">
      <w:pPr>
        <w:jc w:val="both"/>
        <w:rPr>
          <w:rFonts w:ascii="Arial" w:eastAsia="Arial" w:hAnsi="Arial" w:cs="Arial"/>
        </w:rPr>
      </w:pPr>
      <w:r>
        <w:rPr>
          <w:vertAlign w:val="superscript"/>
        </w:rPr>
        <w:footnoteRef/>
      </w:r>
      <w:r>
        <w:rPr>
          <w:rFonts w:ascii="Arial" w:eastAsia="Arial" w:hAnsi="Arial" w:cs="Arial"/>
        </w:rPr>
        <w:t xml:space="preserve"> ARTÍCULO 140.- Robo. El Robo consiste en: </w:t>
      </w:r>
    </w:p>
    <w:p w14:paraId="730875AA" w14:textId="77777777" w:rsidR="00256634" w:rsidRDefault="000F0709" w:rsidP="00B46FE6">
      <w:pPr>
        <w:jc w:val="both"/>
        <w:rPr>
          <w:rFonts w:ascii="Arial" w:eastAsia="Arial" w:hAnsi="Arial" w:cs="Arial"/>
        </w:rPr>
      </w:pPr>
      <w:r>
        <w:rPr>
          <w:rFonts w:ascii="Arial" w:eastAsia="Arial" w:hAnsi="Arial" w:cs="Arial"/>
        </w:rPr>
        <w:t xml:space="preserve">I. El apoderamiento de una cosa ajena mueble, dinero o valores, sin derecho y sin consentimiento de la persona que puede disponer de ella con arreglo a la ley; </w:t>
      </w:r>
    </w:p>
    <w:p w14:paraId="2696E9CE" w14:textId="77777777" w:rsidR="00256634" w:rsidRDefault="000F0709" w:rsidP="00B46FE6">
      <w:pPr>
        <w:jc w:val="both"/>
        <w:rPr>
          <w:rFonts w:ascii="Arial" w:eastAsia="Arial" w:hAnsi="Arial" w:cs="Arial"/>
        </w:rPr>
      </w:pPr>
      <w:r>
        <w:rPr>
          <w:rFonts w:ascii="Arial" w:eastAsia="Arial" w:hAnsi="Arial" w:cs="Arial"/>
        </w:rPr>
        <w:t>II. El apoderamiento de cosa propia, dinero o valores, cuando éstos se hallen en poder de otra persona por cualquier título legítimo, en la medida que ello afecte el patrimonio de quien los detente; o</w:t>
      </w:r>
    </w:p>
    <w:p w14:paraId="06943ECF" w14:textId="77777777" w:rsidR="00256634" w:rsidRDefault="000F0709" w:rsidP="00B46FE6">
      <w:pPr>
        <w:jc w:val="both"/>
        <w:rPr>
          <w:rFonts w:ascii="Arial" w:eastAsia="Arial" w:hAnsi="Arial" w:cs="Arial"/>
        </w:rPr>
      </w:pPr>
      <w:r>
        <w:rPr>
          <w:rFonts w:ascii="Arial" w:eastAsia="Arial" w:hAnsi="Arial" w:cs="Arial"/>
        </w:rPr>
        <w:t>III. El aprovechamiento de energía eléctrica, agua, gas, servicio telefónico, servicio de Internet o de imagen televisiva, sin consentimiento de la persona que legalmente pueda disponer de ellos. [...]</w:t>
      </w:r>
    </w:p>
  </w:footnote>
  <w:footnote w:id="14">
    <w:p w14:paraId="003A3CCE" w14:textId="77777777" w:rsidR="00256634" w:rsidRDefault="000F0709">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 xml:space="preserve"> Similar criterio sostuvo la Sala Superior al resolver el asunto SUP-REP-159/2016.</w:t>
      </w:r>
    </w:p>
  </w:footnote>
  <w:footnote w:id="15">
    <w:p w14:paraId="3F93594E" w14:textId="2417A0A9" w:rsidR="009C729B" w:rsidRDefault="009C729B">
      <w:pPr>
        <w:pStyle w:val="Textonotapie"/>
      </w:pPr>
      <w:r>
        <w:rPr>
          <w:rStyle w:val="Refdenotaalpie"/>
        </w:rPr>
        <w:footnoteRef/>
      </w:r>
      <w:r>
        <w:t xml:space="preserve"> </w:t>
      </w:r>
      <w:r w:rsidRPr="009C729B">
        <w:rPr>
          <w:rFonts w:ascii="Arial" w:hAnsi="Arial" w:cs="Arial"/>
        </w:rPr>
        <w:t>Véase la resolución SUP-REP-232/2022.</w:t>
      </w:r>
      <w:r>
        <w:t xml:space="preserve"> </w:t>
      </w:r>
    </w:p>
  </w:footnote>
  <w:footnote w:id="16">
    <w:p w14:paraId="553B67C0" w14:textId="77777777" w:rsidR="00256634" w:rsidRDefault="000F0709">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7">
    <w:p w14:paraId="63082470" w14:textId="77777777" w:rsidR="00256634" w:rsidRDefault="000F0709">
      <w:r>
        <w:rPr>
          <w:vertAlign w:val="superscript"/>
        </w:rPr>
        <w:footnoteRef/>
      </w:r>
      <w:r>
        <w:t xml:space="preserve"> </w:t>
      </w:r>
      <w:r w:rsidRPr="000660DA">
        <w:rPr>
          <w:rFonts w:ascii="Arial" w:eastAsia="Arial" w:hAnsi="Arial" w:cs="Arial"/>
        </w:rPr>
        <w:t>Véase, por ejemplo, los asuntos SUP-REP-700/2018 y SUP-REP-719/2018.</w:t>
      </w:r>
    </w:p>
  </w:footnote>
  <w:footnote w:id="18">
    <w:p w14:paraId="4A6AD64C" w14:textId="77777777" w:rsidR="00256634" w:rsidRDefault="000F0709">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w:t>
      </w:r>
      <w:r>
        <w:rPr>
          <w:rFonts w:ascii="Arial" w:eastAsia="Arial" w:hAnsi="Arial" w:cs="Arial"/>
        </w:rPr>
        <w:br/>
        <w:t>[...]</w:t>
      </w:r>
    </w:p>
    <w:p w14:paraId="7FABF3E1" w14:textId="77777777" w:rsidR="00256634" w:rsidRDefault="000F0709">
      <w:pPr>
        <w:jc w:val="both"/>
        <w:rPr>
          <w:rFonts w:ascii="Arial" w:eastAsia="Arial" w:hAnsi="Arial" w:cs="Arial"/>
        </w:rPr>
      </w:pPr>
      <w:r>
        <w:rPr>
          <w:rFonts w:ascii="Arial" w:eastAsia="Arial" w:hAnsi="Arial" w:cs="Arial"/>
        </w:rPr>
        <w:t xml:space="preserve">IV.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 </w:t>
      </w:r>
    </w:p>
  </w:footnote>
  <w:footnote w:id="19">
    <w:p w14:paraId="02B7E984" w14:textId="77777777" w:rsidR="00256634" w:rsidRDefault="000F0709">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w:t>
      </w:r>
      <w:r>
        <w:rPr>
          <w:rFonts w:ascii="Arial" w:eastAsia="Arial" w:hAnsi="Arial" w:cs="Arial"/>
        </w:rPr>
        <w:br/>
        <w:t>[...]</w:t>
      </w:r>
    </w:p>
    <w:p w14:paraId="64861A48" w14:textId="77777777" w:rsidR="00256634" w:rsidRDefault="000F0709">
      <w:pPr>
        <w:jc w:val="both"/>
        <w:rPr>
          <w:rFonts w:ascii="Arial" w:eastAsia="Arial" w:hAnsi="Arial" w:cs="Arial"/>
        </w:rPr>
      </w:pPr>
      <w:r>
        <w:rPr>
          <w:rFonts w:ascii="Arial" w:eastAsia="Arial" w:hAnsi="Arial" w:cs="Arial"/>
        </w:rPr>
        <w:t xml:space="preserve">Las infracciones referidas en el párrafo anterior se sancionarán, según la gravedad, de la siguiente manera: </w:t>
      </w:r>
    </w:p>
    <w:p w14:paraId="07AB383E" w14:textId="77777777" w:rsidR="00256634" w:rsidRDefault="000F0709">
      <w:pPr>
        <w:jc w:val="both"/>
        <w:rPr>
          <w:rFonts w:ascii="Arial" w:eastAsia="Arial" w:hAnsi="Arial" w:cs="Arial"/>
        </w:rPr>
      </w:pPr>
      <w:r>
        <w:rPr>
          <w:rFonts w:ascii="Arial" w:eastAsia="Arial" w:hAnsi="Arial" w:cs="Arial"/>
        </w:rPr>
        <w:t>[...]</w:t>
      </w:r>
    </w:p>
    <w:p w14:paraId="4E996536" w14:textId="77777777" w:rsidR="00256634" w:rsidRDefault="000F0709">
      <w:pPr>
        <w:jc w:val="both"/>
        <w:rPr>
          <w:rFonts w:ascii="Arial" w:eastAsia="Arial" w:hAnsi="Arial" w:cs="Arial"/>
        </w:rPr>
      </w:pPr>
      <w:r>
        <w:rPr>
          <w:rFonts w:ascii="Arial" w:eastAsia="Arial" w:hAnsi="Arial" w:cs="Arial"/>
        </w:rPr>
        <w:t xml:space="preserve">III. Las señaladas en las fracciones IV, V y X del párrafo anterior, con multa de veinte hasta cinco mil veces el valor diario de la Unidad de Medida y Actualización; </w:t>
      </w:r>
    </w:p>
    <w:p w14:paraId="6DCC956B" w14:textId="77777777" w:rsidR="00256634" w:rsidRDefault="000F0709">
      <w:pPr>
        <w:jc w:val="both"/>
        <w:rPr>
          <w:rFonts w:ascii="Arial" w:eastAsia="Arial" w:hAnsi="Arial" w:cs="Arial"/>
        </w:rPr>
      </w:pPr>
      <w:r>
        <w:rPr>
          <w:rFonts w:ascii="Arial" w:eastAsia="Arial" w:hAnsi="Arial" w:cs="Arial"/>
        </w:rPr>
        <w:t>[...]</w:t>
      </w:r>
    </w:p>
  </w:footnote>
  <w:footnote w:id="20">
    <w:p w14:paraId="555BBCDE" w14:textId="68A73458" w:rsidR="00274769" w:rsidRDefault="00274769" w:rsidP="0007505E">
      <w:pPr>
        <w:pStyle w:val="Textonotapie"/>
        <w:jc w:val="both"/>
      </w:pPr>
      <w:r>
        <w:rPr>
          <w:rStyle w:val="Refdenotaalpie"/>
        </w:rPr>
        <w:footnoteRef/>
      </w:r>
      <w:r>
        <w:t xml:space="preserve"> </w:t>
      </w:r>
      <w:r w:rsidRPr="00516907">
        <w:rPr>
          <w:rFonts w:ascii="Arial" w:hAnsi="Arial" w:cs="Arial"/>
        </w:rPr>
        <w:t>E</w:t>
      </w:r>
      <w:r w:rsidRPr="00516907">
        <w:rPr>
          <w:rFonts w:ascii="Arial" w:hAnsi="Arial" w:cs="Arial"/>
          <w:shd w:val="clear" w:color="auto" w:fill="FFFFFF"/>
        </w:rPr>
        <w:t>l valor diario de la Unidad de Medida y Actualización UMA es de 96.22 pesos mexicanos conforme a la consulta realizada</w:t>
      </w:r>
      <w:r>
        <w:rPr>
          <w:rFonts w:ascii="Arial" w:hAnsi="Arial" w:cs="Arial"/>
          <w:shd w:val="clear" w:color="auto" w:fill="FFFFFF"/>
        </w:rPr>
        <w:t>.</w:t>
      </w:r>
    </w:p>
  </w:footnote>
  <w:footnote w:id="21">
    <w:p w14:paraId="5C8D0AAD" w14:textId="77777777" w:rsidR="00256634" w:rsidRDefault="000F0709">
      <w:pPr>
        <w:jc w:val="both"/>
        <w:rPr>
          <w:rFonts w:ascii="Arial" w:eastAsia="Arial" w:hAnsi="Arial" w:cs="Arial"/>
        </w:rPr>
      </w:pPr>
      <w:r>
        <w:rPr>
          <w:vertAlign w:val="superscript"/>
        </w:rPr>
        <w:footnoteRef/>
      </w:r>
      <w:r>
        <w:t xml:space="preserve"> </w:t>
      </w:r>
      <w:r>
        <w:rPr>
          <w:rFonts w:ascii="Arial" w:eastAsia="Arial" w:hAnsi="Arial" w:cs="Arial"/>
        </w:rPr>
        <w:t xml:space="preserve">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r>
        <w:rPr>
          <w:rFonts w:ascii="Arial" w:eastAsia="Arial" w:hAnsi="Arial" w:cs="Arial"/>
        </w:rPr>
        <w:br/>
        <w:t>[...]</w:t>
      </w:r>
    </w:p>
    <w:p w14:paraId="29DF82C3" w14:textId="77777777" w:rsidR="00256634" w:rsidRDefault="000F0709">
      <w:pPr>
        <w:jc w:val="both"/>
        <w:rPr>
          <w:rFonts w:ascii="Arial" w:eastAsia="Arial" w:hAnsi="Arial" w:cs="Arial"/>
        </w:rPr>
      </w:pPr>
      <w:r>
        <w:rPr>
          <w:rFonts w:ascii="Arial" w:eastAsia="Arial" w:hAnsi="Arial" w:cs="Arial"/>
        </w:rPr>
        <w:t xml:space="preserve">Las multas impuestas por el </w:t>
      </w:r>
      <w:proofErr w:type="spellStart"/>
      <w:r>
        <w:rPr>
          <w:rFonts w:ascii="Arial" w:eastAsia="Arial" w:hAnsi="Arial" w:cs="Arial"/>
        </w:rPr>
        <w:t>Tribunalque</w:t>
      </w:r>
      <w:proofErr w:type="spellEnd"/>
      <w:r>
        <w:rPr>
          <w:rFonts w:ascii="Arial" w:eastAsia="Arial" w:hAnsi="Arial" w:cs="Arial"/>
        </w:rPr>
        <w:t xml:space="preserve"> hayan quedado firmes deberán ser pagadas en la Dirección Administrativa del Instituto; si el infractor no cumple con su obligación, el Instituto dará vista a las autoridades hacendarias a efecto de que procedan a su cobro conforme a la legislación aplicable.</w:t>
      </w:r>
    </w:p>
    <w:p w14:paraId="7EA84C9A" w14:textId="77777777" w:rsidR="00256634" w:rsidRDefault="000F0709">
      <w:pPr>
        <w:jc w:val="both"/>
        <w:rPr>
          <w:rFonts w:ascii="Arial" w:eastAsia="Arial" w:hAnsi="Arial" w:cs="Arial"/>
        </w:rPr>
      </w:pPr>
      <w:r>
        <w:rPr>
          <w:rFonts w:ascii="Arial" w:eastAsia="Arial" w:hAnsi="Arial" w:cs="Arial"/>
        </w:rPr>
        <w:t>[...]</w:t>
      </w:r>
    </w:p>
  </w:footnote>
  <w:footnote w:id="22">
    <w:p w14:paraId="198FA104" w14:textId="77777777" w:rsidR="00256634" w:rsidRDefault="000F0709">
      <w:pPr>
        <w:jc w:val="both"/>
        <w:rPr>
          <w:sz w:val="16"/>
          <w:szCs w:val="16"/>
        </w:rPr>
      </w:pPr>
      <w:r>
        <w:rPr>
          <w:vertAlign w:val="superscript"/>
        </w:rPr>
        <w:footnoteRef/>
      </w:r>
      <w:r>
        <w:t xml:space="preserve"> </w:t>
      </w:r>
      <w:r>
        <w:rPr>
          <w:rFonts w:ascii="Arial" w:eastAsia="Arial" w:hAnsi="Arial" w:cs="Arial"/>
        </w:rPr>
        <w:t>Tesis: XXXIV/2004 de la Sala Superior: PARTIDOS POLÍTICOS. SON IMPUTABLES POR LA CONDUCTA DE SUS MIEMBROS Y PERSONAS RELACIONADAS CON SUS ACTIVIDADES. Disponible para su consulta:</w:t>
      </w:r>
      <w:hyperlink r:id="rId1">
        <w:r>
          <w:rPr>
            <w:rFonts w:ascii="Arial" w:eastAsia="Arial" w:hAnsi="Arial" w:cs="Arial"/>
          </w:rPr>
          <w:t xml:space="preserve"> </w:t>
        </w:r>
      </w:hyperlink>
      <w:hyperlink r:id="rId2">
        <w:r>
          <w:rPr>
            <w:rFonts w:ascii="Arial" w:eastAsia="Arial" w:hAnsi="Arial" w:cs="Arial"/>
            <w:color w:val="1155CC"/>
            <w:u w:val="single"/>
          </w:rPr>
          <w:t>https://www.te.gob.mx/IUSEapp/tesisjur.aspx?idtesis=XXXIV/2004&amp;tpoBusqueda=S&amp;sWord=XXXIV/2004</w:t>
        </w:r>
      </w:hyperlink>
    </w:p>
  </w:footnote>
  <w:footnote w:id="23">
    <w:p w14:paraId="3620CDAD" w14:textId="77777777" w:rsidR="00256634" w:rsidRDefault="000F0709">
      <w:pPr>
        <w:jc w:val="both"/>
        <w:rPr>
          <w:rFonts w:ascii="Arial" w:eastAsia="Arial" w:hAnsi="Arial" w:cs="Arial"/>
        </w:rPr>
      </w:pPr>
      <w:r>
        <w:rPr>
          <w:vertAlign w:val="superscript"/>
        </w:rPr>
        <w:footnoteRef/>
      </w:r>
      <w:r>
        <w:t xml:space="preserve"> </w:t>
      </w:r>
      <w:r>
        <w:rPr>
          <w:rFonts w:ascii="Arial" w:eastAsia="Arial" w:hAnsi="Arial" w:cs="Arial"/>
        </w:rPr>
        <w:t>ARTÍCULO 242.- Constituyen infracciones de los partidos políticos al presente Código:</w:t>
      </w:r>
    </w:p>
    <w:p w14:paraId="24EB77D4" w14:textId="77777777" w:rsidR="00962E03" w:rsidRDefault="000F0709">
      <w:pPr>
        <w:jc w:val="both"/>
        <w:rPr>
          <w:rFonts w:ascii="Arial" w:eastAsia="Arial" w:hAnsi="Arial" w:cs="Arial"/>
        </w:rPr>
      </w:pPr>
      <w:r>
        <w:rPr>
          <w:rFonts w:ascii="Arial" w:eastAsia="Arial" w:hAnsi="Arial" w:cs="Arial"/>
        </w:rPr>
        <w:t>[...]</w:t>
      </w:r>
      <w:r>
        <w:rPr>
          <w:rFonts w:ascii="Arial" w:eastAsia="Arial" w:hAnsi="Arial" w:cs="Arial"/>
        </w:rPr>
        <w:br/>
        <w:t xml:space="preserve">Las infracciones cometidas por los partidos políticos se sancionarán, según la gravedad, de la siguiente manera: </w:t>
      </w:r>
      <w:r>
        <w:rPr>
          <w:rFonts w:ascii="Arial" w:eastAsia="Arial" w:hAnsi="Arial" w:cs="Arial"/>
        </w:rPr>
        <w:br/>
        <w:t>I. Con amonestación pública;</w:t>
      </w:r>
    </w:p>
    <w:p w14:paraId="237F3AAB" w14:textId="7860B942" w:rsidR="00256634" w:rsidRDefault="000F0709">
      <w:pPr>
        <w:jc w:val="both"/>
        <w:rPr>
          <w:rFonts w:ascii="Arial" w:eastAsia="Arial" w:hAnsi="Arial" w:cs="Arial"/>
        </w:rPr>
      </w:pPr>
      <w:r>
        <w:rPr>
          <w:rFonts w:ascii="Arial" w:eastAsia="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39C4" w14:textId="7BF91153" w:rsidR="00256634" w:rsidRDefault="006B794F">
    <w:pPr>
      <w:pBdr>
        <w:top w:val="nil"/>
        <w:left w:val="nil"/>
        <w:bottom w:val="nil"/>
        <w:right w:val="nil"/>
        <w:between w:val="nil"/>
      </w:pBdr>
      <w:tabs>
        <w:tab w:val="center" w:pos="4419"/>
        <w:tab w:val="right" w:pos="8838"/>
      </w:tabs>
      <w:rPr>
        <w:color w:val="000000"/>
      </w:rPr>
    </w:pPr>
    <w:r>
      <w:rPr>
        <w:noProof/>
      </w:rPr>
      <w:pict w14:anchorId="0AD3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49547"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0F0709">
      <w:rPr>
        <w:noProof/>
        <w:color w:val="000000"/>
      </w:rPr>
      <mc:AlternateContent>
        <mc:Choice Requires="wps">
          <w:drawing>
            <wp:anchor distT="0" distB="0" distL="0" distR="0" simplePos="0" relativeHeight="251658240" behindDoc="1" locked="0" layoutInCell="1" hidden="0" allowOverlap="1" wp14:anchorId="796DADCA" wp14:editId="7FB12660">
              <wp:simplePos x="0" y="0"/>
              <wp:positionH relativeFrom="margin">
                <wp:align>center</wp:align>
              </wp:positionH>
              <wp:positionV relativeFrom="margin">
                <wp:align>center</wp:align>
              </wp:positionV>
              <wp:extent cx="22530235" cy="22530235"/>
              <wp:effectExtent l="0" t="0" r="0" b="0"/>
              <wp:wrapNone/>
              <wp:docPr id="59" name="Rectángulo 59"/>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3EA4C763" w14:textId="77777777" w:rsidR="00256634" w:rsidRDefault="000F0709">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796DADCA" id="Rectángulo 59" o:spid="_x0000_s1026" style="position:absolute;margin-left:0;margin-top:0;width:1774.05pt;height:1774.0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" filled="f" stroked="f">
              <v:textbox inset="2.53958mm,2.53958mm,2.53958mm,2.53958mm">
                <w:txbxContent>
                  <w:p w14:paraId="3EA4C763" w14:textId="77777777" w:rsidR="00256634" w:rsidRDefault="000F0709">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2C4" w14:textId="3190AF7C" w:rsidR="00256634" w:rsidRDefault="006B794F">
    <w:pPr>
      <w:pBdr>
        <w:top w:val="nil"/>
        <w:left w:val="nil"/>
        <w:bottom w:val="nil"/>
        <w:right w:val="nil"/>
        <w:between w:val="nil"/>
      </w:pBdr>
      <w:tabs>
        <w:tab w:val="center" w:pos="4419"/>
        <w:tab w:val="right" w:pos="8838"/>
      </w:tabs>
    </w:pPr>
    <w:r>
      <w:rPr>
        <w:noProof/>
      </w:rPr>
      <w:pict w14:anchorId="4B1CF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49548"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697516198"/>
      <w:docPartObj>
        <w:docPartGallery w:val="Page Numbers (Margins)"/>
        <w:docPartUnique/>
      </w:docPartObj>
    </w:sdtPr>
    <w:sdtEndPr/>
    <w:sdtContent>
      <w:p w14:paraId="38F8C72C" w14:textId="77777777" w:rsidR="00256634" w:rsidRDefault="002667C7">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5F9FC6EB" wp14:editId="24985343">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F1804" w14:textId="77777777" w:rsidR="002667C7" w:rsidRDefault="002667C7">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F9FC6EB" id="Rectángulo 1" o:spid="_x0000_s1027" style="position:absolute;margin-left:6.1pt;margin-top:0;width:57.3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0F9F1804" w14:textId="77777777" w:rsidR="002667C7" w:rsidRDefault="002667C7">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p>
    </w:sdtContent>
  </w:sdt>
  <w:p w14:paraId="65A77D73" w14:textId="77777777" w:rsidR="00256634" w:rsidRDefault="00256634">
    <w:pPr>
      <w:pBdr>
        <w:top w:val="nil"/>
        <w:left w:val="nil"/>
        <w:bottom w:val="nil"/>
        <w:right w:val="nil"/>
        <w:between w:val="nil"/>
      </w:pBdr>
      <w:tabs>
        <w:tab w:val="center" w:pos="4419"/>
        <w:tab w:val="right" w:pos="8838"/>
      </w:tabs>
    </w:pPr>
  </w:p>
  <w:p w14:paraId="65849EAF" w14:textId="77777777" w:rsidR="00256634" w:rsidRDefault="000F0709">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A1A24CA" wp14:editId="68023338">
          <wp:extent cx="995527" cy="1154534"/>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07C9" w14:textId="0DAFCFBF" w:rsidR="00256634" w:rsidRDefault="006B794F">
    <w:pPr>
      <w:pBdr>
        <w:top w:val="nil"/>
        <w:left w:val="nil"/>
        <w:bottom w:val="nil"/>
        <w:right w:val="nil"/>
        <w:between w:val="nil"/>
      </w:pBdr>
      <w:tabs>
        <w:tab w:val="center" w:pos="4419"/>
        <w:tab w:val="right" w:pos="8838"/>
      </w:tabs>
      <w:rPr>
        <w:color w:val="000000"/>
      </w:rPr>
    </w:pPr>
    <w:r>
      <w:rPr>
        <w:noProof/>
      </w:rPr>
      <w:pict w14:anchorId="49FD1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349546"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C02B7"/>
    <w:multiLevelType w:val="hybridMultilevel"/>
    <w:tmpl w:val="BE0A28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D34553"/>
    <w:multiLevelType w:val="multilevel"/>
    <w:tmpl w:val="A7120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EB6791"/>
    <w:multiLevelType w:val="hybridMultilevel"/>
    <w:tmpl w:val="A68A7B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190F4E"/>
    <w:multiLevelType w:val="hybridMultilevel"/>
    <w:tmpl w:val="9CA2960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48114A3"/>
    <w:multiLevelType w:val="multilevel"/>
    <w:tmpl w:val="E38AC5B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D6B268B"/>
    <w:multiLevelType w:val="hybridMultilevel"/>
    <w:tmpl w:val="FFF894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C152F"/>
    <w:multiLevelType w:val="multilevel"/>
    <w:tmpl w:val="C3F2BB6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DC40B9"/>
    <w:multiLevelType w:val="multilevel"/>
    <w:tmpl w:val="84FC55CC"/>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 w15:restartNumberingAfterBreak="0">
    <w:nsid w:val="71EC413F"/>
    <w:multiLevelType w:val="multilevel"/>
    <w:tmpl w:val="C2780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5436923">
    <w:abstractNumId w:val="1"/>
  </w:num>
  <w:num w:numId="2" w16cid:durableId="1663049106">
    <w:abstractNumId w:val="7"/>
  </w:num>
  <w:num w:numId="3" w16cid:durableId="1059668163">
    <w:abstractNumId w:val="8"/>
  </w:num>
  <w:num w:numId="4" w16cid:durableId="1776512184">
    <w:abstractNumId w:val="6"/>
  </w:num>
  <w:num w:numId="5" w16cid:durableId="487598466">
    <w:abstractNumId w:val="4"/>
  </w:num>
  <w:num w:numId="6" w16cid:durableId="747069725">
    <w:abstractNumId w:val="2"/>
  </w:num>
  <w:num w:numId="7" w16cid:durableId="933052875">
    <w:abstractNumId w:val="3"/>
  </w:num>
  <w:num w:numId="8" w16cid:durableId="1444037594">
    <w:abstractNumId w:val="5"/>
  </w:num>
  <w:num w:numId="9" w16cid:durableId="1131827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634"/>
    <w:rsid w:val="000414CE"/>
    <w:rsid w:val="000660DA"/>
    <w:rsid w:val="0007505E"/>
    <w:rsid w:val="00091183"/>
    <w:rsid w:val="000A5483"/>
    <w:rsid w:val="000D5635"/>
    <w:rsid w:val="000E5E31"/>
    <w:rsid w:val="000F0709"/>
    <w:rsid w:val="00133BDC"/>
    <w:rsid w:val="00185E71"/>
    <w:rsid w:val="002147C0"/>
    <w:rsid w:val="002234D5"/>
    <w:rsid w:val="00256634"/>
    <w:rsid w:val="002667C7"/>
    <w:rsid w:val="00274769"/>
    <w:rsid w:val="002838D9"/>
    <w:rsid w:val="00361E65"/>
    <w:rsid w:val="003E33F4"/>
    <w:rsid w:val="003E3F27"/>
    <w:rsid w:val="004323D1"/>
    <w:rsid w:val="005D3192"/>
    <w:rsid w:val="00647460"/>
    <w:rsid w:val="00661E36"/>
    <w:rsid w:val="006B794F"/>
    <w:rsid w:val="00717B8D"/>
    <w:rsid w:val="007728E6"/>
    <w:rsid w:val="008A1281"/>
    <w:rsid w:val="008E064A"/>
    <w:rsid w:val="009149A7"/>
    <w:rsid w:val="00934640"/>
    <w:rsid w:val="00952C84"/>
    <w:rsid w:val="00962E03"/>
    <w:rsid w:val="009C0B6C"/>
    <w:rsid w:val="009C729B"/>
    <w:rsid w:val="00B37ECD"/>
    <w:rsid w:val="00B43CB7"/>
    <w:rsid w:val="00B46FE6"/>
    <w:rsid w:val="00B850CD"/>
    <w:rsid w:val="00B87941"/>
    <w:rsid w:val="00BD45A3"/>
    <w:rsid w:val="00D33B3B"/>
    <w:rsid w:val="00DC7BDC"/>
    <w:rsid w:val="00DF538B"/>
    <w:rsid w:val="00E10E7E"/>
    <w:rsid w:val="00E83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0F616"/>
  <w15:docId w15:val="{558079B3-899F-4278-8263-BCC6F10A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4"/>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4"/>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4"/>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4"/>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4"/>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3"/>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2"/>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6">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0"/>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left w:w="115" w:type="dxa"/>
        <w:right w:w="115" w:type="dxa"/>
      </w:tblCellMar>
    </w:tblPr>
  </w:style>
  <w:style w:type="table" w:styleId="Tabladecuadrcula3">
    <w:name w:val="Grid Table 3"/>
    <w:basedOn w:val="Tablanormal"/>
    <w:uiPriority w:val="48"/>
    <w:rsid w:val="009149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06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kVBL6pzeB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nstagram.com/p/CcUE3ktDOnj/"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noraruvalcabamx/videos/657593881997892"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BK8L9Cdr3ZSmwNl6j3IyTwI/WmA==">AMUW2mW3Xz9XIao83Owk1kTspmqSHn7kIwDLnsn1ve53Rz6XSZxK5oNekFLTur4oNwR/+sZLehKaay9nYuuVoPnOFazWU3tm43ivv7RfpYcoks4u763RD0u2FCXIGDNI7Bg3+npqBRrga2uH4ylGKy2zpdz6iextIHFAhIad7EzQK9iKusoQA3cEvh7XQYmvIt4KpyYNNV2m</go:docsCustomData>
</go:gDocsCustomXmlDataStorage>
</file>

<file path=customXml/itemProps1.xml><?xml version="1.0" encoding="utf-8"?>
<ds:datastoreItem xmlns:ds="http://schemas.openxmlformats.org/officeDocument/2006/customXml" ds:itemID="{DFA06F99-6321-48A5-B5A2-B93B3029F9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5456</Words>
  <Characters>30009</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2022-05-12T18:15:00Z</cp:lastPrinted>
  <dcterms:created xsi:type="dcterms:W3CDTF">2022-05-13T18:11:00Z</dcterms:created>
  <dcterms:modified xsi:type="dcterms:W3CDTF">2022-05-13T18:11:00Z</dcterms:modified>
</cp:coreProperties>
</file>