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D1805C" w14:textId="77777777" w:rsidR="005B0C78" w:rsidRDefault="00F66729">
      <w:pPr>
        <w:ind w:left="3826" w:right="36"/>
        <w:jc w:val="both"/>
        <w:rPr>
          <w:rFonts w:ascii="Arial" w:eastAsia="Arial" w:hAnsi="Arial" w:cs="Arial"/>
          <w:b/>
          <w:sz w:val="24"/>
          <w:szCs w:val="24"/>
        </w:rPr>
      </w:pPr>
      <w:bookmarkStart w:id="0" w:name="_heading=h.gjdgxs" w:colFirst="0" w:colLast="0"/>
      <w:bookmarkEnd w:id="0"/>
      <w:r>
        <w:rPr>
          <w:rFonts w:ascii="Arial" w:eastAsia="Arial" w:hAnsi="Arial" w:cs="Arial"/>
          <w:b/>
          <w:sz w:val="24"/>
          <w:szCs w:val="24"/>
        </w:rPr>
        <w:t>PROCEDIMIENTO ESPECIAL SANCIONADOR.</w:t>
      </w:r>
    </w:p>
    <w:p w14:paraId="56361A6B" w14:textId="77777777" w:rsidR="005B0C78" w:rsidRDefault="005B0C78">
      <w:pPr>
        <w:pBdr>
          <w:top w:val="nil"/>
          <w:left w:val="nil"/>
          <w:bottom w:val="nil"/>
          <w:right w:val="nil"/>
          <w:between w:val="nil"/>
        </w:pBdr>
        <w:ind w:left="3826"/>
        <w:rPr>
          <w:rFonts w:ascii="Arial" w:eastAsia="Arial" w:hAnsi="Arial" w:cs="Arial"/>
          <w:color w:val="000000"/>
          <w:sz w:val="14"/>
          <w:szCs w:val="14"/>
        </w:rPr>
      </w:pPr>
    </w:p>
    <w:p w14:paraId="74A06245" w14:textId="77777777" w:rsidR="005B0C78" w:rsidRDefault="00F66729">
      <w:pPr>
        <w:ind w:left="3826" w:right="36"/>
        <w:jc w:val="both"/>
        <w:rPr>
          <w:rFonts w:ascii="Arial" w:eastAsia="Arial" w:hAnsi="Arial" w:cs="Arial"/>
          <w:b/>
          <w:sz w:val="24"/>
          <w:szCs w:val="24"/>
        </w:rPr>
      </w:pPr>
      <w:r>
        <w:rPr>
          <w:rFonts w:ascii="Arial" w:eastAsia="Arial" w:hAnsi="Arial" w:cs="Arial"/>
          <w:b/>
          <w:sz w:val="24"/>
          <w:szCs w:val="24"/>
        </w:rPr>
        <w:t xml:space="preserve">EXPEDIENTE: </w:t>
      </w:r>
      <w:r>
        <w:rPr>
          <w:rFonts w:ascii="Arial" w:eastAsia="Arial" w:hAnsi="Arial" w:cs="Arial"/>
          <w:sz w:val="24"/>
          <w:szCs w:val="24"/>
        </w:rPr>
        <w:t>TEEA-PES-032/2022.</w:t>
      </w:r>
      <w:r>
        <w:rPr>
          <w:rFonts w:ascii="Arial" w:eastAsia="Arial" w:hAnsi="Arial" w:cs="Arial"/>
          <w:b/>
          <w:sz w:val="24"/>
          <w:szCs w:val="24"/>
        </w:rPr>
        <w:t xml:space="preserve"> </w:t>
      </w:r>
    </w:p>
    <w:p w14:paraId="47E6E462" w14:textId="77777777" w:rsidR="005B0C78" w:rsidRDefault="005B0C78">
      <w:pPr>
        <w:ind w:left="3826" w:right="36"/>
        <w:jc w:val="both"/>
        <w:rPr>
          <w:rFonts w:ascii="Arial" w:eastAsia="Arial" w:hAnsi="Arial" w:cs="Arial"/>
          <w:b/>
          <w:sz w:val="14"/>
          <w:szCs w:val="14"/>
        </w:rPr>
      </w:pPr>
    </w:p>
    <w:p w14:paraId="7FD44C0E" w14:textId="77777777" w:rsidR="005B0C78" w:rsidRDefault="00F66729">
      <w:pPr>
        <w:ind w:left="3826" w:right="36"/>
        <w:jc w:val="both"/>
        <w:rPr>
          <w:rFonts w:ascii="Arial" w:eastAsia="Arial" w:hAnsi="Arial" w:cs="Arial"/>
          <w:sz w:val="24"/>
          <w:szCs w:val="24"/>
        </w:rPr>
      </w:pPr>
      <w:r>
        <w:rPr>
          <w:rFonts w:ascii="Arial" w:eastAsia="Arial" w:hAnsi="Arial" w:cs="Arial"/>
          <w:b/>
          <w:sz w:val="24"/>
          <w:szCs w:val="24"/>
        </w:rPr>
        <w:t>DENUNCIANTE:</w:t>
      </w:r>
      <w:r>
        <w:rPr>
          <w:rFonts w:ascii="Arial" w:eastAsia="Arial" w:hAnsi="Arial" w:cs="Arial"/>
          <w:sz w:val="24"/>
          <w:szCs w:val="24"/>
        </w:rPr>
        <w:t xml:space="preserve">  ISRAEL ÁNGEL RAMÍREZ, REPRESENTANTE SUPLENTE DEL PARTIDO ACCIÓN NACIONAL Y DE LA COALICIÓN “VA POR AGUASCALIENTES”.</w:t>
      </w:r>
    </w:p>
    <w:p w14:paraId="0E76A7BB" w14:textId="77777777" w:rsidR="005B0C78" w:rsidRDefault="005B0C78">
      <w:pPr>
        <w:pBdr>
          <w:top w:val="nil"/>
          <w:left w:val="nil"/>
          <w:bottom w:val="nil"/>
          <w:right w:val="nil"/>
          <w:between w:val="nil"/>
        </w:pBdr>
        <w:ind w:left="3826"/>
        <w:rPr>
          <w:rFonts w:ascii="Arial" w:eastAsia="Arial" w:hAnsi="Arial" w:cs="Arial"/>
          <w:color w:val="000000"/>
          <w:sz w:val="14"/>
          <w:szCs w:val="14"/>
        </w:rPr>
      </w:pPr>
    </w:p>
    <w:p w14:paraId="790D611C" w14:textId="77777777" w:rsidR="005B0C78" w:rsidRDefault="00F66729">
      <w:pPr>
        <w:ind w:left="3826" w:right="36"/>
        <w:jc w:val="both"/>
        <w:rPr>
          <w:rFonts w:ascii="Arial" w:eastAsia="Arial" w:hAnsi="Arial" w:cs="Arial"/>
          <w:sz w:val="24"/>
          <w:szCs w:val="24"/>
        </w:rPr>
      </w:pPr>
      <w:r>
        <w:rPr>
          <w:rFonts w:ascii="Arial" w:eastAsia="Arial" w:hAnsi="Arial" w:cs="Arial"/>
          <w:b/>
          <w:sz w:val="24"/>
          <w:szCs w:val="24"/>
        </w:rPr>
        <w:t>DENUNCIADA:</w:t>
      </w:r>
      <w:r>
        <w:rPr>
          <w:rFonts w:ascii="Arial" w:eastAsia="Arial" w:hAnsi="Arial" w:cs="Arial"/>
          <w:sz w:val="24"/>
          <w:szCs w:val="24"/>
        </w:rPr>
        <w:t xml:space="preserve"> NORA RUVALCABA GÁMEZ, CANDIDATA DE MORENA A LA GUBERNATURA DEL ESTADO Y OTRO. </w:t>
      </w:r>
    </w:p>
    <w:p w14:paraId="11536783" w14:textId="77777777" w:rsidR="005B0C78" w:rsidRDefault="005B0C78">
      <w:pPr>
        <w:pBdr>
          <w:top w:val="nil"/>
          <w:left w:val="nil"/>
          <w:bottom w:val="nil"/>
          <w:right w:val="nil"/>
          <w:between w:val="nil"/>
        </w:pBdr>
        <w:ind w:left="3826"/>
        <w:rPr>
          <w:rFonts w:ascii="Arial" w:eastAsia="Arial" w:hAnsi="Arial" w:cs="Arial"/>
          <w:color w:val="000000"/>
          <w:sz w:val="14"/>
          <w:szCs w:val="14"/>
        </w:rPr>
      </w:pPr>
    </w:p>
    <w:p w14:paraId="47B6B547" w14:textId="77777777" w:rsidR="005B0C78" w:rsidRDefault="00F66729">
      <w:pPr>
        <w:ind w:left="3826" w:right="36"/>
        <w:jc w:val="both"/>
        <w:rPr>
          <w:rFonts w:ascii="Arial" w:eastAsia="Arial" w:hAnsi="Arial" w:cs="Arial"/>
          <w:sz w:val="24"/>
          <w:szCs w:val="24"/>
        </w:rPr>
      </w:pPr>
      <w:r>
        <w:rPr>
          <w:rFonts w:ascii="Arial" w:eastAsia="Arial" w:hAnsi="Arial" w:cs="Arial"/>
          <w:b/>
          <w:sz w:val="24"/>
          <w:szCs w:val="24"/>
        </w:rPr>
        <w:t>MAGISTRADA PONENTE:</w:t>
      </w:r>
      <w:r>
        <w:rPr>
          <w:rFonts w:ascii="Arial" w:eastAsia="Arial" w:hAnsi="Arial" w:cs="Arial"/>
          <w:sz w:val="24"/>
          <w:szCs w:val="24"/>
        </w:rPr>
        <w:t xml:space="preserve"> LAURA HORTENSIA LLAMAS HERNÁNDEZ.</w:t>
      </w:r>
    </w:p>
    <w:p w14:paraId="47553078" w14:textId="77777777" w:rsidR="005B0C78" w:rsidRDefault="005B0C78">
      <w:pPr>
        <w:pBdr>
          <w:top w:val="nil"/>
          <w:left w:val="nil"/>
          <w:bottom w:val="nil"/>
          <w:right w:val="nil"/>
          <w:between w:val="nil"/>
        </w:pBdr>
        <w:ind w:left="3826"/>
        <w:rPr>
          <w:rFonts w:ascii="Arial" w:eastAsia="Arial" w:hAnsi="Arial" w:cs="Arial"/>
          <w:color w:val="000000"/>
          <w:sz w:val="14"/>
          <w:szCs w:val="14"/>
        </w:rPr>
      </w:pPr>
    </w:p>
    <w:p w14:paraId="2A3156F8" w14:textId="77777777" w:rsidR="005B0C78" w:rsidRDefault="00F66729">
      <w:pPr>
        <w:ind w:left="3826" w:right="36"/>
        <w:jc w:val="both"/>
        <w:rPr>
          <w:rFonts w:ascii="Arial" w:eastAsia="Arial" w:hAnsi="Arial" w:cs="Arial"/>
          <w:sz w:val="24"/>
          <w:szCs w:val="24"/>
        </w:rPr>
      </w:pPr>
      <w:r>
        <w:rPr>
          <w:rFonts w:ascii="Arial" w:eastAsia="Arial" w:hAnsi="Arial" w:cs="Arial"/>
          <w:b/>
          <w:sz w:val="24"/>
          <w:szCs w:val="24"/>
        </w:rPr>
        <w:t>SECRETARIO DE ESTUDIO</w:t>
      </w:r>
      <w:r>
        <w:rPr>
          <w:rFonts w:ascii="Arial" w:eastAsia="Arial" w:hAnsi="Arial" w:cs="Arial"/>
          <w:b/>
          <w:sz w:val="24"/>
          <w:szCs w:val="24"/>
          <w:vertAlign w:val="superscript"/>
        </w:rPr>
        <w:footnoteReference w:id="1"/>
      </w:r>
      <w:r>
        <w:rPr>
          <w:rFonts w:ascii="Arial" w:eastAsia="Arial" w:hAnsi="Arial" w:cs="Arial"/>
          <w:b/>
          <w:sz w:val="24"/>
          <w:szCs w:val="24"/>
        </w:rPr>
        <w:t xml:space="preserve">: </w:t>
      </w:r>
      <w:r>
        <w:rPr>
          <w:rFonts w:ascii="Arial" w:eastAsia="Arial" w:hAnsi="Arial" w:cs="Arial"/>
          <w:sz w:val="24"/>
          <w:szCs w:val="24"/>
        </w:rPr>
        <w:t>EDGAR ALEJANDRO LÓPEZ DÁVILA.</w:t>
      </w:r>
    </w:p>
    <w:p w14:paraId="41E226BC" w14:textId="77777777" w:rsidR="005B0C78" w:rsidRDefault="005B0C78">
      <w:pPr>
        <w:ind w:left="3826" w:right="36"/>
        <w:jc w:val="both"/>
        <w:rPr>
          <w:rFonts w:ascii="Arial" w:eastAsia="Arial" w:hAnsi="Arial" w:cs="Arial"/>
          <w:sz w:val="14"/>
          <w:szCs w:val="14"/>
        </w:rPr>
      </w:pPr>
    </w:p>
    <w:p w14:paraId="1BF4CE72" w14:textId="77777777" w:rsidR="005B0C78" w:rsidRDefault="00F66729">
      <w:pPr>
        <w:ind w:left="3826" w:right="36"/>
        <w:jc w:val="both"/>
        <w:rPr>
          <w:rFonts w:ascii="Arial" w:eastAsia="Arial" w:hAnsi="Arial" w:cs="Arial"/>
          <w:sz w:val="24"/>
          <w:szCs w:val="24"/>
        </w:rPr>
      </w:pPr>
      <w:r>
        <w:rPr>
          <w:rFonts w:ascii="Arial" w:eastAsia="Arial" w:hAnsi="Arial" w:cs="Arial"/>
          <w:b/>
          <w:sz w:val="24"/>
          <w:szCs w:val="24"/>
        </w:rPr>
        <w:t xml:space="preserve">COLABORÓ: </w:t>
      </w:r>
      <w:r>
        <w:rPr>
          <w:rFonts w:ascii="Arial" w:eastAsia="Arial" w:hAnsi="Arial" w:cs="Arial"/>
          <w:sz w:val="24"/>
          <w:szCs w:val="24"/>
        </w:rPr>
        <w:t>GUADALUPE JOCELYN MARTÍNEZ TAVAREZ E IVONNE AZUCENA ZAVALA SOTO.</w:t>
      </w:r>
    </w:p>
    <w:p w14:paraId="19A09E38" w14:textId="77777777" w:rsidR="005B0C78" w:rsidRDefault="005B0C78">
      <w:pPr>
        <w:ind w:left="3826" w:right="36"/>
        <w:jc w:val="both"/>
        <w:rPr>
          <w:rFonts w:ascii="Arial" w:eastAsia="Arial" w:hAnsi="Arial" w:cs="Arial"/>
          <w:sz w:val="24"/>
          <w:szCs w:val="24"/>
        </w:rPr>
      </w:pPr>
    </w:p>
    <w:p w14:paraId="41E283AA" w14:textId="77777777" w:rsidR="005B0C78" w:rsidRDefault="005B0C78">
      <w:pPr>
        <w:pBdr>
          <w:top w:val="nil"/>
          <w:left w:val="nil"/>
          <w:bottom w:val="nil"/>
          <w:right w:val="nil"/>
          <w:between w:val="nil"/>
        </w:pBdr>
        <w:rPr>
          <w:color w:val="000000"/>
        </w:rPr>
      </w:pPr>
    </w:p>
    <w:p w14:paraId="29E1E8E0" w14:textId="77777777" w:rsidR="005B0C78" w:rsidRDefault="00F66729">
      <w:pPr>
        <w:pBdr>
          <w:top w:val="nil"/>
          <w:left w:val="nil"/>
          <w:bottom w:val="nil"/>
          <w:right w:val="nil"/>
          <w:between w:val="nil"/>
        </w:pBdr>
        <w:spacing w:line="360" w:lineRule="auto"/>
        <w:ind w:right="36"/>
        <w:jc w:val="right"/>
        <w:rPr>
          <w:rFonts w:ascii="Arial" w:eastAsia="Arial" w:hAnsi="Arial" w:cs="Arial"/>
          <w:sz w:val="24"/>
          <w:szCs w:val="24"/>
        </w:rPr>
      </w:pPr>
      <w:r>
        <w:rPr>
          <w:rFonts w:ascii="Arial" w:eastAsia="Arial" w:hAnsi="Arial" w:cs="Arial"/>
          <w:sz w:val="24"/>
          <w:szCs w:val="24"/>
        </w:rPr>
        <w:t xml:space="preserve">Aguascalientes, Aguascalientes, </w:t>
      </w:r>
      <w:r>
        <w:rPr>
          <w:rFonts w:ascii="Arial" w:eastAsia="Arial" w:hAnsi="Arial" w:cs="Arial"/>
          <w:color w:val="000000"/>
          <w:sz w:val="24"/>
          <w:szCs w:val="24"/>
        </w:rPr>
        <w:t xml:space="preserve">a </w:t>
      </w:r>
      <w:r>
        <w:rPr>
          <w:rFonts w:ascii="Arial" w:eastAsia="Arial" w:hAnsi="Arial" w:cs="Arial"/>
          <w:sz w:val="24"/>
          <w:szCs w:val="24"/>
        </w:rPr>
        <w:t>20</w:t>
      </w:r>
      <w:r>
        <w:rPr>
          <w:rFonts w:ascii="Arial" w:eastAsia="Arial" w:hAnsi="Arial" w:cs="Arial"/>
          <w:color w:val="000000"/>
          <w:sz w:val="24"/>
          <w:szCs w:val="24"/>
        </w:rPr>
        <w:t xml:space="preserve"> de mayo de 2022</w:t>
      </w:r>
      <w:r>
        <w:rPr>
          <w:rFonts w:ascii="Arial" w:eastAsia="Arial" w:hAnsi="Arial" w:cs="Arial"/>
          <w:sz w:val="24"/>
          <w:szCs w:val="24"/>
        </w:rPr>
        <w:t>.</w:t>
      </w:r>
    </w:p>
    <w:p w14:paraId="5AAFA43A" w14:textId="77777777" w:rsidR="005B0C78" w:rsidRDefault="005B0C78">
      <w:pPr>
        <w:pBdr>
          <w:top w:val="nil"/>
          <w:left w:val="nil"/>
          <w:bottom w:val="nil"/>
          <w:right w:val="nil"/>
          <w:between w:val="nil"/>
        </w:pBdr>
        <w:rPr>
          <w:b/>
          <w:color w:val="000000"/>
          <w:sz w:val="18"/>
          <w:szCs w:val="18"/>
        </w:rPr>
      </w:pPr>
    </w:p>
    <w:p w14:paraId="1F3C3085" w14:textId="77777777" w:rsidR="005B0C78" w:rsidRDefault="00F66729">
      <w:pPr>
        <w:spacing w:after="240" w:line="360" w:lineRule="auto"/>
        <w:jc w:val="both"/>
        <w:rPr>
          <w:rFonts w:ascii="Arial" w:eastAsia="Arial" w:hAnsi="Arial" w:cs="Arial"/>
          <w:sz w:val="24"/>
          <w:szCs w:val="24"/>
        </w:rPr>
      </w:pPr>
      <w:bookmarkStart w:id="1" w:name="_heading=h.30j0zll" w:colFirst="0" w:colLast="0"/>
      <w:bookmarkEnd w:id="1"/>
      <w:r>
        <w:rPr>
          <w:rFonts w:ascii="Arial" w:eastAsia="Arial" w:hAnsi="Arial" w:cs="Arial"/>
          <w:b/>
          <w:sz w:val="24"/>
          <w:szCs w:val="24"/>
        </w:rPr>
        <w:t xml:space="preserve">Sentencia </w:t>
      </w:r>
      <w:r>
        <w:rPr>
          <w:rFonts w:ascii="Arial" w:eastAsia="Arial" w:hAnsi="Arial" w:cs="Arial"/>
          <w:sz w:val="24"/>
          <w:szCs w:val="24"/>
        </w:rPr>
        <w:t>del Tribunal Electoral</w:t>
      </w:r>
      <w:r>
        <w:rPr>
          <w:rFonts w:ascii="Arial" w:eastAsia="Arial" w:hAnsi="Arial" w:cs="Arial"/>
          <w:b/>
          <w:sz w:val="24"/>
          <w:szCs w:val="24"/>
        </w:rPr>
        <w:t xml:space="preserve"> </w:t>
      </w:r>
      <w:r>
        <w:rPr>
          <w:rFonts w:ascii="Arial" w:eastAsia="Arial" w:hAnsi="Arial" w:cs="Arial"/>
          <w:sz w:val="24"/>
          <w:szCs w:val="24"/>
        </w:rPr>
        <w:t xml:space="preserve">que declara: </w:t>
      </w:r>
      <w:r>
        <w:rPr>
          <w:rFonts w:ascii="Arial" w:eastAsia="Arial" w:hAnsi="Arial" w:cs="Arial"/>
          <w:b/>
          <w:i/>
          <w:sz w:val="24"/>
          <w:szCs w:val="24"/>
        </w:rPr>
        <w:t>a)</w:t>
      </w:r>
      <w:r>
        <w:rPr>
          <w:rFonts w:ascii="Arial" w:eastAsia="Arial" w:hAnsi="Arial" w:cs="Arial"/>
          <w:b/>
          <w:sz w:val="24"/>
          <w:szCs w:val="24"/>
        </w:rPr>
        <w:t xml:space="preserve"> </w:t>
      </w:r>
      <w:r>
        <w:rPr>
          <w:rFonts w:ascii="Arial" w:eastAsia="Arial" w:hAnsi="Arial" w:cs="Arial"/>
          <w:sz w:val="24"/>
          <w:szCs w:val="24"/>
        </w:rPr>
        <w:t xml:space="preserve">la </w:t>
      </w:r>
      <w:r>
        <w:rPr>
          <w:rFonts w:ascii="Arial" w:eastAsia="Arial" w:hAnsi="Arial" w:cs="Arial"/>
          <w:b/>
          <w:sz w:val="24"/>
          <w:szCs w:val="24"/>
        </w:rPr>
        <w:t xml:space="preserve">inexistencia </w:t>
      </w:r>
      <w:r>
        <w:rPr>
          <w:rFonts w:ascii="Arial" w:eastAsia="Arial" w:hAnsi="Arial" w:cs="Arial"/>
          <w:sz w:val="24"/>
          <w:szCs w:val="24"/>
        </w:rPr>
        <w:t xml:space="preserve">de la infracción de calumnia en perjuicio del Partido Acción Nacional y de su candidata, María Teresa Jiménez Esquivel, atribuida a la ciudadana Nora Ruvalcaba Gámez, candidata a la gubernatura del estado por el partido Morena, y, </w:t>
      </w:r>
      <w:r>
        <w:rPr>
          <w:rFonts w:ascii="Arial" w:eastAsia="Arial" w:hAnsi="Arial" w:cs="Arial"/>
          <w:b/>
          <w:i/>
          <w:sz w:val="24"/>
          <w:szCs w:val="24"/>
        </w:rPr>
        <w:t xml:space="preserve">b) </w:t>
      </w:r>
      <w:r>
        <w:rPr>
          <w:rFonts w:ascii="Arial" w:eastAsia="Arial" w:hAnsi="Arial" w:cs="Arial"/>
          <w:sz w:val="24"/>
          <w:szCs w:val="24"/>
        </w:rPr>
        <w:t xml:space="preserve">la inexistencia de la infracción de </w:t>
      </w:r>
      <w:r>
        <w:rPr>
          <w:rFonts w:ascii="Arial" w:eastAsia="Arial" w:hAnsi="Arial" w:cs="Arial"/>
          <w:i/>
          <w:sz w:val="24"/>
          <w:szCs w:val="24"/>
        </w:rPr>
        <w:t>culpa in vigilando</w:t>
      </w:r>
      <w:r>
        <w:rPr>
          <w:rFonts w:ascii="Arial" w:eastAsia="Arial" w:hAnsi="Arial" w:cs="Arial"/>
          <w:sz w:val="24"/>
          <w:szCs w:val="24"/>
        </w:rPr>
        <w:t xml:space="preserve"> atribuida al partido político Morena.</w:t>
      </w:r>
    </w:p>
    <w:p w14:paraId="631E23EC" w14:textId="77777777" w:rsidR="005B0C78" w:rsidRDefault="00F66729">
      <w:pPr>
        <w:spacing w:before="240" w:after="240" w:line="360" w:lineRule="auto"/>
        <w:jc w:val="both"/>
        <w:rPr>
          <w:rFonts w:ascii="Arial" w:eastAsia="Arial" w:hAnsi="Arial" w:cs="Arial"/>
          <w:sz w:val="24"/>
          <w:szCs w:val="24"/>
        </w:rPr>
      </w:pPr>
      <w:r>
        <w:rPr>
          <w:rFonts w:ascii="Arial" w:eastAsia="Arial" w:hAnsi="Arial" w:cs="Arial"/>
          <w:sz w:val="24"/>
          <w:szCs w:val="24"/>
        </w:rPr>
        <w:t xml:space="preserve">Ello, porque </w:t>
      </w:r>
      <w:r>
        <w:rPr>
          <w:rFonts w:ascii="Arial" w:eastAsia="Arial" w:hAnsi="Arial" w:cs="Arial"/>
          <w:b/>
          <w:sz w:val="24"/>
          <w:szCs w:val="24"/>
        </w:rPr>
        <w:t>este órgano jurisdiccional considera</w:t>
      </w:r>
      <w:r>
        <w:rPr>
          <w:rFonts w:ascii="Arial" w:eastAsia="Arial" w:hAnsi="Arial" w:cs="Arial"/>
          <w:sz w:val="24"/>
          <w:szCs w:val="24"/>
        </w:rPr>
        <w:t xml:space="preserve"> que del análisis de las expresiones cuestionadas, se advierte que estas </w:t>
      </w:r>
      <w:r>
        <w:rPr>
          <w:rFonts w:ascii="Arial" w:eastAsia="Arial" w:hAnsi="Arial" w:cs="Arial"/>
          <w:b/>
          <w:sz w:val="24"/>
          <w:szCs w:val="24"/>
        </w:rPr>
        <w:t>se trataron de críticas dirigidas a temas que forman parte de la gestión pública</w:t>
      </w:r>
      <w:r>
        <w:rPr>
          <w:rFonts w:ascii="Arial" w:eastAsia="Arial" w:hAnsi="Arial" w:cs="Arial"/>
          <w:sz w:val="24"/>
          <w:szCs w:val="24"/>
        </w:rPr>
        <w:t xml:space="preserve"> de la candidata quejosa cuando fungió como presidenta municipal de Aguascalientes que, a su vez, se encuentran permitidas en el contexto del debate político, al estar amparadas por el derecho de la libertad de expresión y, a su vez, el derecho de la ciudadanía a emitir un voto libre e informado, por lo cual no fue posible acreditar el elemento objetivo que exige la infracción de calumnia.</w:t>
      </w:r>
    </w:p>
    <w:p w14:paraId="16550B20" w14:textId="77777777" w:rsidR="005B0C78" w:rsidRDefault="00F66729">
      <w:pPr>
        <w:spacing w:before="240" w:line="360" w:lineRule="auto"/>
        <w:jc w:val="both"/>
        <w:rPr>
          <w:rFonts w:ascii="Arial" w:eastAsia="Arial" w:hAnsi="Arial" w:cs="Arial"/>
          <w:b/>
          <w:color w:val="000000"/>
          <w:sz w:val="16"/>
          <w:szCs w:val="16"/>
        </w:rPr>
      </w:pPr>
      <w:bookmarkStart w:id="2" w:name="_heading=h.g687188sr8bc" w:colFirst="0" w:colLast="0"/>
      <w:bookmarkEnd w:id="2"/>
      <w:r>
        <w:rPr>
          <w:rFonts w:ascii="Arial" w:eastAsia="Arial" w:hAnsi="Arial" w:cs="Arial"/>
          <w:b/>
          <w:color w:val="000000"/>
          <w:sz w:val="16"/>
          <w:szCs w:val="16"/>
        </w:rPr>
        <w:t xml:space="preserve">                                                                                       Índice</w:t>
      </w:r>
    </w:p>
    <w:p w14:paraId="57987DCD" w14:textId="77777777" w:rsidR="005B0C78" w:rsidRDefault="00F66729">
      <w:pPr>
        <w:ind w:left="993" w:right="616"/>
        <w:rPr>
          <w:rFonts w:ascii="Arial" w:eastAsia="Arial" w:hAnsi="Arial" w:cs="Arial"/>
          <w:b/>
          <w:sz w:val="16"/>
          <w:szCs w:val="16"/>
        </w:rPr>
      </w:pPr>
      <w:r>
        <w:rPr>
          <w:rFonts w:ascii="Arial" w:eastAsia="Arial" w:hAnsi="Arial" w:cs="Arial"/>
          <w:b/>
          <w:sz w:val="16"/>
          <w:szCs w:val="16"/>
        </w:rPr>
        <w:t>Contexto del caso ……………………………………………………………………………………………...2</w:t>
      </w:r>
    </w:p>
    <w:p w14:paraId="101EFDA3" w14:textId="77777777" w:rsidR="005B0C78" w:rsidRDefault="00F66729">
      <w:pPr>
        <w:ind w:left="993" w:right="616"/>
        <w:rPr>
          <w:rFonts w:ascii="Arial" w:eastAsia="Arial" w:hAnsi="Arial" w:cs="Arial"/>
          <w:b/>
          <w:sz w:val="16"/>
          <w:szCs w:val="16"/>
        </w:rPr>
      </w:pPr>
      <w:r>
        <w:rPr>
          <w:rFonts w:ascii="Arial" w:eastAsia="Arial" w:hAnsi="Arial" w:cs="Arial"/>
          <w:b/>
          <w:sz w:val="16"/>
          <w:szCs w:val="16"/>
        </w:rPr>
        <w:t>Competencia ………………………………………………………………………………………………....…3</w:t>
      </w:r>
    </w:p>
    <w:p w14:paraId="0FF519BA" w14:textId="77777777" w:rsidR="005B0C78" w:rsidRDefault="00F66729">
      <w:pPr>
        <w:ind w:left="993" w:right="616"/>
        <w:rPr>
          <w:rFonts w:ascii="Arial" w:eastAsia="Arial" w:hAnsi="Arial" w:cs="Arial"/>
          <w:b/>
          <w:sz w:val="16"/>
          <w:szCs w:val="16"/>
        </w:rPr>
      </w:pPr>
      <w:r>
        <w:rPr>
          <w:rFonts w:ascii="Arial" w:eastAsia="Arial" w:hAnsi="Arial" w:cs="Arial"/>
          <w:b/>
          <w:sz w:val="16"/>
          <w:szCs w:val="16"/>
        </w:rPr>
        <w:t>Personería …………………………………………………………………………………………………....…</w:t>
      </w:r>
      <w:r>
        <w:rPr>
          <w:rFonts w:ascii="Arial" w:eastAsia="Arial" w:hAnsi="Arial" w:cs="Arial"/>
          <w:b/>
          <w:sz w:val="8"/>
          <w:szCs w:val="8"/>
        </w:rPr>
        <w:t>.</w:t>
      </w:r>
      <w:r>
        <w:rPr>
          <w:rFonts w:ascii="Arial" w:eastAsia="Arial" w:hAnsi="Arial" w:cs="Arial"/>
          <w:b/>
          <w:sz w:val="16"/>
          <w:szCs w:val="16"/>
        </w:rPr>
        <w:t>3</w:t>
      </w:r>
    </w:p>
    <w:p w14:paraId="48E8C14C" w14:textId="77777777" w:rsidR="005B0C78" w:rsidRDefault="00F66729">
      <w:pPr>
        <w:ind w:left="993" w:right="616"/>
        <w:rPr>
          <w:rFonts w:ascii="Arial" w:eastAsia="Arial" w:hAnsi="Arial" w:cs="Arial"/>
          <w:b/>
          <w:sz w:val="16"/>
          <w:szCs w:val="16"/>
        </w:rPr>
      </w:pPr>
      <w:r>
        <w:rPr>
          <w:rFonts w:ascii="Arial" w:eastAsia="Arial" w:hAnsi="Arial" w:cs="Arial"/>
          <w:b/>
          <w:sz w:val="16"/>
          <w:szCs w:val="16"/>
        </w:rPr>
        <w:t>Causales de improcedencia …………………………………………………………………………………</w:t>
      </w:r>
      <w:r>
        <w:rPr>
          <w:rFonts w:ascii="Arial" w:eastAsia="Arial" w:hAnsi="Arial" w:cs="Arial"/>
          <w:b/>
          <w:sz w:val="14"/>
          <w:szCs w:val="14"/>
        </w:rPr>
        <w:t>.</w:t>
      </w:r>
      <w:r>
        <w:rPr>
          <w:rFonts w:ascii="Arial" w:eastAsia="Arial" w:hAnsi="Arial" w:cs="Arial"/>
          <w:b/>
          <w:sz w:val="16"/>
          <w:szCs w:val="16"/>
        </w:rPr>
        <w:t>3</w:t>
      </w:r>
    </w:p>
    <w:p w14:paraId="244C5A73" w14:textId="77777777" w:rsidR="005B0C78" w:rsidRDefault="00F66729">
      <w:pPr>
        <w:ind w:left="993" w:right="616"/>
        <w:rPr>
          <w:rFonts w:ascii="Arial" w:eastAsia="Arial" w:hAnsi="Arial" w:cs="Arial"/>
          <w:b/>
          <w:sz w:val="16"/>
          <w:szCs w:val="16"/>
        </w:rPr>
      </w:pPr>
      <w:r>
        <w:rPr>
          <w:rFonts w:ascii="Arial" w:eastAsia="Arial" w:hAnsi="Arial" w:cs="Arial"/>
          <w:b/>
          <w:sz w:val="16"/>
          <w:szCs w:val="16"/>
        </w:rPr>
        <w:t>Estudio de fondo……………………………………………………………………………….....…………....4</w:t>
      </w:r>
    </w:p>
    <w:p w14:paraId="2036BF74" w14:textId="77777777" w:rsidR="005B0C78" w:rsidRDefault="00F66729">
      <w:pPr>
        <w:ind w:left="993" w:right="616"/>
        <w:rPr>
          <w:rFonts w:ascii="Arial" w:eastAsia="Arial" w:hAnsi="Arial" w:cs="Arial"/>
          <w:b/>
          <w:sz w:val="16"/>
          <w:szCs w:val="16"/>
        </w:rPr>
      </w:pPr>
      <w:r>
        <w:rPr>
          <w:rFonts w:ascii="Arial" w:eastAsia="Arial" w:hAnsi="Arial" w:cs="Arial"/>
          <w:b/>
          <w:sz w:val="16"/>
          <w:szCs w:val="16"/>
        </w:rPr>
        <w:t>Análisis de fondo ……………………………………………………………………………………………....8</w:t>
      </w:r>
    </w:p>
    <w:p w14:paraId="6F5B782A" w14:textId="77777777" w:rsidR="005B0C78" w:rsidRDefault="00F66729">
      <w:pPr>
        <w:ind w:left="993" w:right="616"/>
        <w:rPr>
          <w:rFonts w:ascii="Arial" w:eastAsia="Arial" w:hAnsi="Arial" w:cs="Arial"/>
          <w:sz w:val="16"/>
          <w:szCs w:val="16"/>
        </w:rPr>
      </w:pPr>
      <w:r>
        <w:rPr>
          <w:rFonts w:ascii="Arial" w:eastAsia="Arial" w:hAnsi="Arial" w:cs="Arial"/>
          <w:sz w:val="16"/>
          <w:szCs w:val="16"/>
        </w:rPr>
        <w:t>Apartado I. Decisión……………………………………………………………………………………………..</w:t>
      </w:r>
      <w:r>
        <w:rPr>
          <w:rFonts w:ascii="Arial" w:eastAsia="Arial" w:hAnsi="Arial" w:cs="Arial"/>
          <w:sz w:val="8"/>
          <w:szCs w:val="8"/>
        </w:rPr>
        <w:t xml:space="preserve"> </w:t>
      </w:r>
      <w:r>
        <w:rPr>
          <w:rFonts w:ascii="Arial" w:eastAsia="Arial" w:hAnsi="Arial" w:cs="Arial"/>
          <w:b/>
          <w:sz w:val="16"/>
          <w:szCs w:val="16"/>
        </w:rPr>
        <w:t>8</w:t>
      </w:r>
    </w:p>
    <w:p w14:paraId="231DD7D9" w14:textId="77777777" w:rsidR="005B0C78" w:rsidRDefault="00F66729">
      <w:pPr>
        <w:ind w:left="993" w:right="616"/>
        <w:rPr>
          <w:rFonts w:ascii="Arial" w:eastAsia="Arial" w:hAnsi="Arial" w:cs="Arial"/>
          <w:sz w:val="16"/>
          <w:szCs w:val="16"/>
        </w:rPr>
      </w:pPr>
      <w:r>
        <w:rPr>
          <w:rFonts w:ascii="Arial" w:eastAsia="Arial" w:hAnsi="Arial" w:cs="Arial"/>
          <w:sz w:val="16"/>
          <w:szCs w:val="16"/>
        </w:rPr>
        <w:t>Apartado II. Desarrollo y justificación de la decisión…………………………………………………………</w:t>
      </w:r>
      <w:r>
        <w:rPr>
          <w:rFonts w:ascii="Arial" w:eastAsia="Arial" w:hAnsi="Arial" w:cs="Arial"/>
          <w:b/>
          <w:sz w:val="16"/>
          <w:szCs w:val="16"/>
        </w:rPr>
        <w:t>8</w:t>
      </w:r>
    </w:p>
    <w:p w14:paraId="4AEE6B96" w14:textId="41D454D5" w:rsidR="005B0C78" w:rsidRDefault="00F66729">
      <w:pPr>
        <w:tabs>
          <w:tab w:val="right" w:pos="8263"/>
          <w:tab w:val="left" w:pos="8789"/>
        </w:tabs>
        <w:ind w:left="993" w:right="616"/>
        <w:rPr>
          <w:rFonts w:ascii="Arial" w:eastAsia="Arial" w:hAnsi="Arial" w:cs="Arial"/>
          <w:sz w:val="16"/>
          <w:szCs w:val="16"/>
        </w:rPr>
      </w:pPr>
      <w:r>
        <w:rPr>
          <w:rFonts w:ascii="Arial" w:eastAsia="Arial" w:hAnsi="Arial" w:cs="Arial"/>
          <w:sz w:val="16"/>
          <w:szCs w:val="16"/>
        </w:rPr>
        <w:t>Culpa in vigilando...………..…………………………………………………………………....…………......</w:t>
      </w:r>
      <w:r>
        <w:rPr>
          <w:rFonts w:ascii="Arial" w:eastAsia="Arial" w:hAnsi="Arial" w:cs="Arial"/>
          <w:b/>
          <w:sz w:val="16"/>
          <w:szCs w:val="16"/>
        </w:rPr>
        <w:t>1</w:t>
      </w:r>
      <w:r w:rsidR="00233ED4">
        <w:rPr>
          <w:rFonts w:ascii="Arial" w:eastAsia="Arial" w:hAnsi="Arial" w:cs="Arial"/>
          <w:b/>
          <w:sz w:val="16"/>
          <w:szCs w:val="16"/>
        </w:rPr>
        <w:t>3</w:t>
      </w:r>
    </w:p>
    <w:p w14:paraId="37A22578" w14:textId="6AAB1977" w:rsidR="005B0C78" w:rsidRDefault="00F66729">
      <w:pPr>
        <w:tabs>
          <w:tab w:val="right" w:pos="8263"/>
        </w:tabs>
        <w:ind w:left="993" w:right="616"/>
        <w:rPr>
          <w:rFonts w:ascii="Arial" w:eastAsia="Arial" w:hAnsi="Arial" w:cs="Arial"/>
          <w:b/>
          <w:sz w:val="16"/>
          <w:szCs w:val="16"/>
        </w:rPr>
      </w:pPr>
      <w:r>
        <w:rPr>
          <w:rFonts w:ascii="Arial" w:eastAsia="Arial" w:hAnsi="Arial" w:cs="Arial"/>
          <w:b/>
          <w:sz w:val="16"/>
          <w:szCs w:val="16"/>
        </w:rPr>
        <w:t>Resolutivos.…………………………………………………………………………………….....…</w:t>
      </w:r>
      <w:r>
        <w:rPr>
          <w:rFonts w:ascii="Arial" w:eastAsia="Arial" w:hAnsi="Arial" w:cs="Arial"/>
          <w:b/>
          <w:sz w:val="14"/>
          <w:szCs w:val="14"/>
        </w:rPr>
        <w:t>…</w:t>
      </w:r>
      <w:r>
        <w:rPr>
          <w:rFonts w:ascii="Arial" w:eastAsia="Arial" w:hAnsi="Arial" w:cs="Arial"/>
          <w:b/>
          <w:sz w:val="16"/>
          <w:szCs w:val="16"/>
        </w:rPr>
        <w:t>……...1</w:t>
      </w:r>
      <w:r w:rsidR="00233ED4">
        <w:rPr>
          <w:rFonts w:ascii="Arial" w:eastAsia="Arial" w:hAnsi="Arial" w:cs="Arial"/>
          <w:b/>
          <w:sz w:val="16"/>
          <w:szCs w:val="16"/>
        </w:rPr>
        <w:t>3</w:t>
      </w:r>
    </w:p>
    <w:p w14:paraId="62844D79" w14:textId="77777777" w:rsidR="005B0C78" w:rsidRDefault="005B0C78">
      <w:pPr>
        <w:pBdr>
          <w:top w:val="nil"/>
          <w:left w:val="nil"/>
          <w:bottom w:val="nil"/>
          <w:right w:val="nil"/>
          <w:between w:val="nil"/>
        </w:pBdr>
        <w:rPr>
          <w:color w:val="000000"/>
        </w:rPr>
      </w:pPr>
    </w:p>
    <w:p w14:paraId="089D15D8" w14:textId="77777777" w:rsidR="005B0C78" w:rsidRDefault="00F66729">
      <w:pPr>
        <w:spacing w:line="360" w:lineRule="auto"/>
        <w:ind w:left="3881" w:right="2324" w:hanging="140"/>
        <w:rPr>
          <w:rFonts w:ascii="Arial" w:eastAsia="Arial" w:hAnsi="Arial" w:cs="Arial"/>
          <w:b/>
          <w:sz w:val="16"/>
          <w:szCs w:val="16"/>
        </w:rPr>
      </w:pPr>
      <w:r>
        <w:rPr>
          <w:rFonts w:ascii="Arial" w:eastAsia="Arial" w:hAnsi="Arial" w:cs="Arial"/>
          <w:b/>
          <w:sz w:val="16"/>
          <w:szCs w:val="16"/>
        </w:rPr>
        <w:t xml:space="preserve"> Glosario</w:t>
      </w:r>
    </w:p>
    <w:tbl>
      <w:tblPr>
        <w:tblStyle w:val="aa"/>
        <w:tblW w:w="7229" w:type="dxa"/>
        <w:tblInd w:w="851" w:type="dxa"/>
        <w:tblLayout w:type="fixed"/>
        <w:tblLook w:val="0400" w:firstRow="0" w:lastRow="0" w:firstColumn="0" w:lastColumn="0" w:noHBand="0" w:noVBand="1"/>
      </w:tblPr>
      <w:tblGrid>
        <w:gridCol w:w="1843"/>
        <w:gridCol w:w="5386"/>
      </w:tblGrid>
      <w:tr w:rsidR="005B0C78" w14:paraId="5E926019" w14:textId="77777777">
        <w:trPr>
          <w:trHeight w:val="70"/>
        </w:trPr>
        <w:tc>
          <w:tcPr>
            <w:tcW w:w="1843" w:type="dxa"/>
            <w:shd w:val="clear" w:color="auto" w:fill="auto"/>
          </w:tcPr>
          <w:p w14:paraId="0D5BAEC0" w14:textId="77777777" w:rsidR="005B0C78" w:rsidRDefault="00F66729">
            <w:pPr>
              <w:spacing w:line="276" w:lineRule="auto"/>
              <w:jc w:val="both"/>
              <w:rPr>
                <w:rFonts w:ascii="Arial" w:eastAsia="Arial" w:hAnsi="Arial" w:cs="Arial"/>
                <w:b/>
                <w:color w:val="000000"/>
                <w:sz w:val="16"/>
                <w:szCs w:val="16"/>
              </w:rPr>
            </w:pPr>
            <w:r>
              <w:rPr>
                <w:rFonts w:ascii="Arial" w:eastAsia="Arial" w:hAnsi="Arial" w:cs="Arial"/>
                <w:b/>
                <w:color w:val="000000"/>
                <w:sz w:val="16"/>
                <w:szCs w:val="16"/>
              </w:rPr>
              <w:t>Denunciante:</w:t>
            </w:r>
          </w:p>
          <w:p w14:paraId="114BC6D5" w14:textId="77777777" w:rsidR="005B0C78" w:rsidRDefault="00F66729">
            <w:pPr>
              <w:spacing w:line="276" w:lineRule="auto"/>
              <w:jc w:val="both"/>
              <w:rPr>
                <w:rFonts w:ascii="Arial" w:eastAsia="Arial" w:hAnsi="Arial" w:cs="Arial"/>
                <w:b/>
                <w:color w:val="000000"/>
                <w:sz w:val="16"/>
                <w:szCs w:val="16"/>
              </w:rPr>
            </w:pPr>
            <w:r>
              <w:rPr>
                <w:rFonts w:ascii="Arial" w:eastAsia="Arial" w:hAnsi="Arial" w:cs="Arial"/>
                <w:b/>
                <w:color w:val="000000"/>
                <w:sz w:val="16"/>
                <w:szCs w:val="16"/>
              </w:rPr>
              <w:t xml:space="preserve">Denunciados: </w:t>
            </w:r>
          </w:p>
          <w:p w14:paraId="23178D02" w14:textId="77777777" w:rsidR="005B0C78" w:rsidRDefault="005B0C78">
            <w:pPr>
              <w:spacing w:line="276" w:lineRule="auto"/>
              <w:jc w:val="both"/>
              <w:rPr>
                <w:rFonts w:ascii="Arial" w:eastAsia="Arial" w:hAnsi="Arial" w:cs="Arial"/>
                <w:b/>
                <w:color w:val="000000"/>
                <w:sz w:val="16"/>
                <w:szCs w:val="16"/>
              </w:rPr>
            </w:pPr>
          </w:p>
          <w:p w14:paraId="59893EF8" w14:textId="77777777" w:rsidR="005B0C78" w:rsidRDefault="00F66729">
            <w:pPr>
              <w:spacing w:line="276" w:lineRule="auto"/>
              <w:jc w:val="both"/>
              <w:rPr>
                <w:rFonts w:ascii="Arial" w:eastAsia="Arial" w:hAnsi="Arial" w:cs="Arial"/>
                <w:b/>
                <w:color w:val="000000"/>
                <w:sz w:val="16"/>
                <w:szCs w:val="16"/>
              </w:rPr>
            </w:pPr>
            <w:r>
              <w:rPr>
                <w:rFonts w:ascii="Arial" w:eastAsia="Arial" w:hAnsi="Arial" w:cs="Arial"/>
                <w:b/>
                <w:color w:val="000000"/>
                <w:sz w:val="16"/>
                <w:szCs w:val="16"/>
              </w:rPr>
              <w:lastRenderedPageBreak/>
              <w:t>Código Electoral:</w:t>
            </w:r>
          </w:p>
          <w:p w14:paraId="0141A79C" w14:textId="77777777" w:rsidR="005B0C78" w:rsidRDefault="00F66729">
            <w:pPr>
              <w:spacing w:line="276" w:lineRule="auto"/>
              <w:jc w:val="both"/>
              <w:rPr>
                <w:rFonts w:ascii="Arial" w:eastAsia="Arial" w:hAnsi="Arial" w:cs="Arial"/>
                <w:b/>
                <w:color w:val="000000"/>
                <w:sz w:val="16"/>
                <w:szCs w:val="16"/>
              </w:rPr>
            </w:pPr>
            <w:r>
              <w:rPr>
                <w:rFonts w:ascii="Arial" w:eastAsia="Arial" w:hAnsi="Arial" w:cs="Arial"/>
                <w:b/>
                <w:color w:val="000000"/>
                <w:sz w:val="16"/>
                <w:szCs w:val="16"/>
              </w:rPr>
              <w:t>Consejo General:</w:t>
            </w:r>
          </w:p>
          <w:p w14:paraId="4EC7B448" w14:textId="77777777" w:rsidR="005B0C78" w:rsidRDefault="00F66729">
            <w:pPr>
              <w:spacing w:line="276" w:lineRule="auto"/>
              <w:jc w:val="both"/>
              <w:rPr>
                <w:rFonts w:ascii="Arial" w:eastAsia="Arial" w:hAnsi="Arial" w:cs="Arial"/>
                <w:b/>
                <w:color w:val="000000"/>
                <w:sz w:val="16"/>
                <w:szCs w:val="16"/>
              </w:rPr>
            </w:pPr>
            <w:r>
              <w:rPr>
                <w:rFonts w:ascii="Arial" w:eastAsia="Arial" w:hAnsi="Arial" w:cs="Arial"/>
                <w:b/>
                <w:color w:val="000000"/>
                <w:sz w:val="16"/>
                <w:szCs w:val="16"/>
              </w:rPr>
              <w:t>Instituto Local:</w:t>
            </w:r>
          </w:p>
        </w:tc>
        <w:tc>
          <w:tcPr>
            <w:tcW w:w="5386" w:type="dxa"/>
            <w:shd w:val="clear" w:color="auto" w:fill="auto"/>
          </w:tcPr>
          <w:p w14:paraId="5E5C193A" w14:textId="77777777" w:rsidR="005B0C78" w:rsidRDefault="00F66729">
            <w:pPr>
              <w:spacing w:line="276" w:lineRule="auto"/>
              <w:ind w:right="518"/>
              <w:jc w:val="both"/>
              <w:rPr>
                <w:rFonts w:ascii="Arial" w:eastAsia="Arial" w:hAnsi="Arial" w:cs="Arial"/>
                <w:color w:val="000000"/>
                <w:sz w:val="16"/>
                <w:szCs w:val="16"/>
              </w:rPr>
            </w:pPr>
            <w:r>
              <w:rPr>
                <w:rFonts w:ascii="Arial" w:eastAsia="Arial" w:hAnsi="Arial" w:cs="Arial"/>
                <w:color w:val="000000"/>
                <w:sz w:val="16"/>
                <w:szCs w:val="16"/>
              </w:rPr>
              <w:lastRenderedPageBreak/>
              <w:t>Partido Acción Nacional.</w:t>
            </w:r>
          </w:p>
          <w:p w14:paraId="0E40C108" w14:textId="77777777" w:rsidR="005B0C78" w:rsidRDefault="00F66729">
            <w:pPr>
              <w:spacing w:line="276" w:lineRule="auto"/>
              <w:ind w:right="-259"/>
              <w:jc w:val="both"/>
              <w:rPr>
                <w:rFonts w:ascii="Arial" w:eastAsia="Arial" w:hAnsi="Arial" w:cs="Arial"/>
                <w:color w:val="000000"/>
                <w:sz w:val="16"/>
                <w:szCs w:val="16"/>
              </w:rPr>
            </w:pPr>
            <w:r>
              <w:rPr>
                <w:rFonts w:ascii="Arial" w:eastAsia="Arial" w:hAnsi="Arial" w:cs="Arial"/>
                <w:color w:val="000000"/>
                <w:sz w:val="16"/>
                <w:szCs w:val="16"/>
              </w:rPr>
              <w:t xml:space="preserve">Nora Ruvalcaba Gámez, candidata de Morena a la gubernatura </w:t>
            </w:r>
          </w:p>
          <w:p w14:paraId="653A0627" w14:textId="77777777" w:rsidR="005B0C78" w:rsidRDefault="00F66729">
            <w:pPr>
              <w:spacing w:line="276" w:lineRule="auto"/>
              <w:ind w:right="-259"/>
              <w:jc w:val="both"/>
              <w:rPr>
                <w:rFonts w:ascii="Arial" w:eastAsia="Arial" w:hAnsi="Arial" w:cs="Arial"/>
                <w:color w:val="000000"/>
                <w:sz w:val="16"/>
                <w:szCs w:val="16"/>
              </w:rPr>
            </w:pPr>
            <w:r>
              <w:rPr>
                <w:rFonts w:ascii="Arial" w:eastAsia="Arial" w:hAnsi="Arial" w:cs="Arial"/>
                <w:color w:val="000000"/>
                <w:sz w:val="16"/>
                <w:szCs w:val="16"/>
              </w:rPr>
              <w:t xml:space="preserve">del estado, y Morena. </w:t>
            </w:r>
          </w:p>
          <w:p w14:paraId="7E0AF37C" w14:textId="77777777" w:rsidR="005B0C78" w:rsidRDefault="00F66729">
            <w:pPr>
              <w:spacing w:line="276" w:lineRule="auto"/>
              <w:ind w:right="178"/>
              <w:jc w:val="both"/>
              <w:rPr>
                <w:rFonts w:ascii="Arial" w:eastAsia="Arial" w:hAnsi="Arial" w:cs="Arial"/>
                <w:color w:val="000000"/>
                <w:sz w:val="16"/>
                <w:szCs w:val="16"/>
              </w:rPr>
            </w:pPr>
            <w:r>
              <w:rPr>
                <w:rFonts w:ascii="Arial" w:eastAsia="Arial" w:hAnsi="Arial" w:cs="Arial"/>
                <w:color w:val="000000"/>
                <w:sz w:val="16"/>
                <w:szCs w:val="16"/>
              </w:rPr>
              <w:lastRenderedPageBreak/>
              <w:t>Código Electoral del Estado de Aguascalientes.</w:t>
            </w:r>
          </w:p>
          <w:p w14:paraId="052BDCC7" w14:textId="77777777" w:rsidR="005B0C78" w:rsidRDefault="00F66729">
            <w:pPr>
              <w:spacing w:line="276" w:lineRule="auto"/>
              <w:ind w:right="178"/>
              <w:jc w:val="both"/>
              <w:rPr>
                <w:rFonts w:ascii="Arial" w:eastAsia="Arial" w:hAnsi="Arial" w:cs="Arial"/>
                <w:color w:val="000000"/>
                <w:sz w:val="16"/>
                <w:szCs w:val="16"/>
              </w:rPr>
            </w:pPr>
            <w:r>
              <w:rPr>
                <w:rFonts w:ascii="Arial" w:eastAsia="Arial" w:hAnsi="Arial" w:cs="Arial"/>
                <w:color w:val="000000"/>
                <w:sz w:val="16"/>
                <w:szCs w:val="16"/>
              </w:rPr>
              <w:t>Consejo General del Instituto Estatal Electoral de Aguascalientes.</w:t>
            </w:r>
          </w:p>
          <w:p w14:paraId="7EC1742A" w14:textId="77777777" w:rsidR="005B0C78" w:rsidRDefault="00F66729">
            <w:pPr>
              <w:spacing w:line="276" w:lineRule="auto"/>
              <w:ind w:right="178"/>
              <w:jc w:val="both"/>
              <w:rPr>
                <w:rFonts w:ascii="Arial" w:eastAsia="Arial" w:hAnsi="Arial" w:cs="Arial"/>
                <w:color w:val="000000"/>
                <w:sz w:val="16"/>
                <w:szCs w:val="16"/>
              </w:rPr>
            </w:pPr>
            <w:r>
              <w:rPr>
                <w:rFonts w:ascii="Arial" w:eastAsia="Arial" w:hAnsi="Arial" w:cs="Arial"/>
                <w:color w:val="000000"/>
                <w:sz w:val="16"/>
                <w:szCs w:val="16"/>
              </w:rPr>
              <w:t>Instituto Estatal Electoral de Aguascalientes.</w:t>
            </w:r>
          </w:p>
        </w:tc>
      </w:tr>
      <w:tr w:rsidR="005B0C78" w14:paraId="0E4AFBDF" w14:textId="77777777">
        <w:trPr>
          <w:trHeight w:val="578"/>
        </w:trPr>
        <w:tc>
          <w:tcPr>
            <w:tcW w:w="1843" w:type="dxa"/>
            <w:shd w:val="clear" w:color="auto" w:fill="auto"/>
          </w:tcPr>
          <w:p w14:paraId="307D8E34" w14:textId="77777777" w:rsidR="005B0C78" w:rsidRDefault="00F66729">
            <w:pPr>
              <w:spacing w:line="276" w:lineRule="auto"/>
              <w:jc w:val="both"/>
              <w:rPr>
                <w:rFonts w:ascii="Arial" w:eastAsia="Arial" w:hAnsi="Arial" w:cs="Arial"/>
                <w:b/>
                <w:color w:val="000000"/>
                <w:sz w:val="16"/>
                <w:szCs w:val="16"/>
              </w:rPr>
            </w:pPr>
            <w:r>
              <w:rPr>
                <w:rFonts w:ascii="Arial" w:eastAsia="Arial" w:hAnsi="Arial" w:cs="Arial"/>
                <w:b/>
                <w:color w:val="000000"/>
                <w:sz w:val="16"/>
                <w:szCs w:val="16"/>
              </w:rPr>
              <w:lastRenderedPageBreak/>
              <w:t xml:space="preserve">LEGIPE: </w:t>
            </w:r>
          </w:p>
          <w:p w14:paraId="5BC522AD" w14:textId="77777777" w:rsidR="005B0C78" w:rsidRDefault="00F66729">
            <w:pPr>
              <w:spacing w:line="276" w:lineRule="auto"/>
              <w:jc w:val="both"/>
              <w:rPr>
                <w:rFonts w:ascii="Arial" w:eastAsia="Arial" w:hAnsi="Arial" w:cs="Arial"/>
                <w:b/>
                <w:color w:val="000000"/>
                <w:sz w:val="16"/>
                <w:szCs w:val="16"/>
              </w:rPr>
            </w:pPr>
            <w:r>
              <w:rPr>
                <w:rFonts w:ascii="Arial" w:eastAsia="Arial" w:hAnsi="Arial" w:cs="Arial"/>
                <w:b/>
                <w:color w:val="000000"/>
                <w:sz w:val="16"/>
                <w:szCs w:val="16"/>
              </w:rPr>
              <w:t>Morena:</w:t>
            </w:r>
          </w:p>
          <w:p w14:paraId="34D0331F" w14:textId="77777777" w:rsidR="005B0C78" w:rsidRDefault="00F66729">
            <w:pPr>
              <w:spacing w:line="276" w:lineRule="auto"/>
              <w:jc w:val="both"/>
              <w:rPr>
                <w:rFonts w:ascii="Arial" w:eastAsia="Arial" w:hAnsi="Arial" w:cs="Arial"/>
                <w:b/>
                <w:color w:val="000000"/>
                <w:sz w:val="16"/>
                <w:szCs w:val="16"/>
              </w:rPr>
            </w:pPr>
            <w:r>
              <w:rPr>
                <w:rFonts w:ascii="Arial" w:eastAsia="Arial" w:hAnsi="Arial" w:cs="Arial"/>
                <w:b/>
                <w:color w:val="000000"/>
                <w:sz w:val="16"/>
                <w:szCs w:val="16"/>
              </w:rPr>
              <w:t>Sala Superior:</w:t>
            </w:r>
          </w:p>
          <w:p w14:paraId="3245F1CC" w14:textId="77777777" w:rsidR="005B0C78" w:rsidRDefault="005B0C78">
            <w:pPr>
              <w:spacing w:line="276" w:lineRule="auto"/>
              <w:jc w:val="both"/>
              <w:rPr>
                <w:rFonts w:ascii="Arial" w:eastAsia="Arial" w:hAnsi="Arial" w:cs="Arial"/>
                <w:b/>
                <w:color w:val="000000"/>
                <w:sz w:val="16"/>
                <w:szCs w:val="16"/>
              </w:rPr>
            </w:pPr>
          </w:p>
          <w:p w14:paraId="4059E82A" w14:textId="77777777" w:rsidR="005B0C78" w:rsidRDefault="00F66729">
            <w:pPr>
              <w:spacing w:line="276" w:lineRule="auto"/>
              <w:jc w:val="both"/>
              <w:rPr>
                <w:rFonts w:ascii="Arial" w:eastAsia="Arial" w:hAnsi="Arial" w:cs="Arial"/>
                <w:b/>
                <w:color w:val="000000"/>
                <w:sz w:val="16"/>
                <w:szCs w:val="16"/>
              </w:rPr>
            </w:pPr>
            <w:r>
              <w:rPr>
                <w:rFonts w:ascii="Arial" w:eastAsia="Arial" w:hAnsi="Arial" w:cs="Arial"/>
                <w:b/>
                <w:color w:val="000000"/>
                <w:sz w:val="16"/>
                <w:szCs w:val="16"/>
              </w:rPr>
              <w:t>Secretario Ejecutivo:</w:t>
            </w:r>
          </w:p>
          <w:p w14:paraId="542C70EB" w14:textId="77777777" w:rsidR="005B0C78" w:rsidRDefault="00F66729">
            <w:pPr>
              <w:spacing w:line="276" w:lineRule="auto"/>
              <w:jc w:val="both"/>
              <w:rPr>
                <w:rFonts w:ascii="Arial" w:eastAsia="Arial" w:hAnsi="Arial" w:cs="Arial"/>
                <w:b/>
                <w:color w:val="000000"/>
                <w:sz w:val="16"/>
                <w:szCs w:val="16"/>
              </w:rPr>
            </w:pPr>
            <w:r>
              <w:rPr>
                <w:rFonts w:ascii="Arial" w:eastAsia="Arial" w:hAnsi="Arial" w:cs="Arial"/>
                <w:b/>
                <w:color w:val="000000"/>
                <w:sz w:val="16"/>
                <w:szCs w:val="16"/>
              </w:rPr>
              <w:t>PAN:</w:t>
            </w:r>
          </w:p>
          <w:p w14:paraId="47F4C328" w14:textId="77777777" w:rsidR="005B0C78" w:rsidRDefault="00F66729">
            <w:pPr>
              <w:spacing w:line="276" w:lineRule="auto"/>
              <w:jc w:val="both"/>
              <w:rPr>
                <w:rFonts w:ascii="Arial" w:eastAsia="Arial" w:hAnsi="Arial" w:cs="Arial"/>
                <w:b/>
                <w:color w:val="000000"/>
                <w:sz w:val="16"/>
                <w:szCs w:val="16"/>
              </w:rPr>
            </w:pPr>
            <w:r>
              <w:rPr>
                <w:rFonts w:ascii="Arial" w:eastAsia="Arial" w:hAnsi="Arial" w:cs="Arial"/>
                <w:b/>
                <w:color w:val="000000"/>
                <w:sz w:val="16"/>
                <w:szCs w:val="16"/>
              </w:rPr>
              <w:t>PEL:</w:t>
            </w:r>
          </w:p>
          <w:p w14:paraId="13EFC2EE" w14:textId="77777777" w:rsidR="005B0C78" w:rsidRDefault="00F66729">
            <w:pPr>
              <w:spacing w:line="276" w:lineRule="auto"/>
              <w:jc w:val="both"/>
              <w:rPr>
                <w:rFonts w:ascii="Arial" w:eastAsia="Arial" w:hAnsi="Arial" w:cs="Arial"/>
                <w:b/>
                <w:color w:val="000000"/>
                <w:sz w:val="16"/>
                <w:szCs w:val="16"/>
              </w:rPr>
            </w:pPr>
            <w:r>
              <w:rPr>
                <w:rFonts w:ascii="Arial" w:eastAsia="Arial" w:hAnsi="Arial" w:cs="Arial"/>
                <w:b/>
                <w:color w:val="000000"/>
                <w:sz w:val="16"/>
                <w:szCs w:val="16"/>
              </w:rPr>
              <w:t>PES:</w:t>
            </w:r>
          </w:p>
          <w:p w14:paraId="7015DF6D" w14:textId="77777777" w:rsidR="005B0C78" w:rsidRDefault="00F66729">
            <w:pPr>
              <w:spacing w:line="276" w:lineRule="auto"/>
              <w:jc w:val="both"/>
              <w:rPr>
                <w:rFonts w:ascii="Arial" w:eastAsia="Arial" w:hAnsi="Arial" w:cs="Arial"/>
                <w:b/>
                <w:color w:val="000000"/>
                <w:sz w:val="16"/>
                <w:szCs w:val="16"/>
              </w:rPr>
            </w:pPr>
            <w:r>
              <w:rPr>
                <w:rFonts w:ascii="Arial" w:eastAsia="Arial" w:hAnsi="Arial" w:cs="Arial"/>
                <w:b/>
                <w:color w:val="000000"/>
                <w:sz w:val="16"/>
                <w:szCs w:val="16"/>
              </w:rPr>
              <w:t>Tribunal Electoral:</w:t>
            </w:r>
          </w:p>
          <w:p w14:paraId="122956EE" w14:textId="77777777" w:rsidR="005B0C78" w:rsidRDefault="00F66729">
            <w:pPr>
              <w:spacing w:line="276" w:lineRule="auto"/>
              <w:jc w:val="both"/>
              <w:rPr>
                <w:rFonts w:ascii="Arial" w:eastAsia="Arial" w:hAnsi="Arial" w:cs="Arial"/>
                <w:b/>
                <w:color w:val="000000"/>
                <w:sz w:val="16"/>
                <w:szCs w:val="16"/>
              </w:rPr>
            </w:pPr>
            <w:r>
              <w:rPr>
                <w:rFonts w:ascii="Arial" w:eastAsia="Arial" w:hAnsi="Arial" w:cs="Arial"/>
                <w:b/>
                <w:color w:val="000000"/>
                <w:sz w:val="16"/>
                <w:szCs w:val="16"/>
              </w:rPr>
              <w:t>SCJN:</w:t>
            </w:r>
          </w:p>
          <w:p w14:paraId="56F8A587" w14:textId="77777777" w:rsidR="005B0C78" w:rsidRDefault="005B0C78">
            <w:pPr>
              <w:spacing w:line="276" w:lineRule="auto"/>
              <w:jc w:val="both"/>
              <w:rPr>
                <w:rFonts w:ascii="Arial" w:eastAsia="Arial" w:hAnsi="Arial" w:cs="Arial"/>
                <w:b/>
                <w:color w:val="000000"/>
                <w:sz w:val="16"/>
                <w:szCs w:val="16"/>
              </w:rPr>
            </w:pPr>
          </w:p>
        </w:tc>
        <w:tc>
          <w:tcPr>
            <w:tcW w:w="5386" w:type="dxa"/>
            <w:shd w:val="clear" w:color="auto" w:fill="auto"/>
          </w:tcPr>
          <w:p w14:paraId="1BF3074F" w14:textId="77777777" w:rsidR="005B0C78" w:rsidRDefault="00F66729">
            <w:pPr>
              <w:spacing w:line="276" w:lineRule="auto"/>
              <w:ind w:right="178"/>
              <w:jc w:val="both"/>
              <w:rPr>
                <w:rFonts w:ascii="Arial" w:eastAsia="Arial" w:hAnsi="Arial" w:cs="Arial"/>
                <w:color w:val="000000"/>
                <w:sz w:val="16"/>
                <w:szCs w:val="16"/>
              </w:rPr>
            </w:pPr>
            <w:r>
              <w:rPr>
                <w:rFonts w:ascii="Arial" w:eastAsia="Arial" w:hAnsi="Arial" w:cs="Arial"/>
                <w:color w:val="000000"/>
                <w:sz w:val="16"/>
                <w:szCs w:val="16"/>
              </w:rPr>
              <w:t>Ley General de Instituciones y Procedimientos Electorales.</w:t>
            </w:r>
          </w:p>
          <w:p w14:paraId="556C1E51" w14:textId="77777777" w:rsidR="005B0C78" w:rsidRDefault="00F66729">
            <w:pPr>
              <w:spacing w:line="276" w:lineRule="auto"/>
              <w:ind w:right="178"/>
              <w:jc w:val="both"/>
              <w:rPr>
                <w:rFonts w:ascii="Arial" w:eastAsia="Arial" w:hAnsi="Arial" w:cs="Arial"/>
                <w:color w:val="000000"/>
                <w:sz w:val="16"/>
                <w:szCs w:val="16"/>
              </w:rPr>
            </w:pPr>
            <w:r>
              <w:rPr>
                <w:rFonts w:ascii="Arial" w:eastAsia="Arial" w:hAnsi="Arial" w:cs="Arial"/>
                <w:color w:val="000000"/>
                <w:sz w:val="16"/>
                <w:szCs w:val="16"/>
              </w:rPr>
              <w:t xml:space="preserve">Movimiento de Regeneración Nacional. </w:t>
            </w:r>
          </w:p>
          <w:p w14:paraId="2FD3E13E" w14:textId="77777777" w:rsidR="005B0C78" w:rsidRDefault="00F66729">
            <w:pPr>
              <w:spacing w:line="276" w:lineRule="auto"/>
              <w:ind w:right="178"/>
              <w:jc w:val="both"/>
              <w:rPr>
                <w:rFonts w:ascii="Arial" w:eastAsia="Arial" w:hAnsi="Arial" w:cs="Arial"/>
                <w:color w:val="000000"/>
                <w:sz w:val="16"/>
                <w:szCs w:val="16"/>
              </w:rPr>
            </w:pPr>
            <w:r>
              <w:rPr>
                <w:rFonts w:ascii="Arial" w:eastAsia="Arial" w:hAnsi="Arial" w:cs="Arial"/>
                <w:color w:val="000000"/>
                <w:sz w:val="16"/>
                <w:szCs w:val="16"/>
              </w:rPr>
              <w:t xml:space="preserve">Sala Superior del Tribunal Electoral del Poder Judicial de la Federación. </w:t>
            </w:r>
          </w:p>
          <w:p w14:paraId="6E74DCDD" w14:textId="77777777" w:rsidR="005B0C78" w:rsidRDefault="00F66729">
            <w:pPr>
              <w:spacing w:line="276" w:lineRule="auto"/>
              <w:ind w:right="178"/>
              <w:jc w:val="both"/>
              <w:rPr>
                <w:rFonts w:ascii="Arial" w:eastAsia="Arial" w:hAnsi="Arial" w:cs="Arial"/>
                <w:color w:val="000000"/>
                <w:sz w:val="16"/>
                <w:szCs w:val="16"/>
              </w:rPr>
            </w:pPr>
            <w:r>
              <w:rPr>
                <w:rFonts w:ascii="Arial" w:eastAsia="Arial" w:hAnsi="Arial" w:cs="Arial"/>
                <w:color w:val="000000"/>
                <w:sz w:val="16"/>
                <w:szCs w:val="16"/>
              </w:rPr>
              <w:t xml:space="preserve">Secretario Ejecutivo del Instituto Estatal Electoral de Aguascalientes. </w:t>
            </w:r>
          </w:p>
          <w:p w14:paraId="144A0638" w14:textId="77777777" w:rsidR="005B0C78" w:rsidRDefault="00F66729">
            <w:pPr>
              <w:spacing w:line="276" w:lineRule="auto"/>
              <w:ind w:right="178"/>
              <w:jc w:val="both"/>
              <w:rPr>
                <w:rFonts w:ascii="Arial" w:eastAsia="Arial" w:hAnsi="Arial" w:cs="Arial"/>
                <w:color w:val="000000"/>
                <w:sz w:val="16"/>
                <w:szCs w:val="16"/>
              </w:rPr>
            </w:pPr>
            <w:r>
              <w:rPr>
                <w:rFonts w:ascii="Arial" w:eastAsia="Arial" w:hAnsi="Arial" w:cs="Arial"/>
                <w:color w:val="000000"/>
                <w:sz w:val="16"/>
                <w:szCs w:val="16"/>
              </w:rPr>
              <w:t>Partido Acción Nacional.</w:t>
            </w:r>
          </w:p>
          <w:p w14:paraId="76DD569A" w14:textId="77777777" w:rsidR="005B0C78" w:rsidRDefault="00F66729">
            <w:pPr>
              <w:spacing w:line="276" w:lineRule="auto"/>
              <w:ind w:right="178"/>
              <w:jc w:val="both"/>
              <w:rPr>
                <w:rFonts w:ascii="Arial" w:eastAsia="Arial" w:hAnsi="Arial" w:cs="Arial"/>
                <w:color w:val="000000"/>
                <w:sz w:val="16"/>
                <w:szCs w:val="16"/>
              </w:rPr>
            </w:pPr>
            <w:r>
              <w:rPr>
                <w:rFonts w:ascii="Arial" w:eastAsia="Arial" w:hAnsi="Arial" w:cs="Arial"/>
                <w:color w:val="000000"/>
                <w:sz w:val="16"/>
                <w:szCs w:val="16"/>
              </w:rPr>
              <w:t xml:space="preserve">Procedimiento Electoral Local. </w:t>
            </w:r>
          </w:p>
          <w:p w14:paraId="24503DFE" w14:textId="77777777" w:rsidR="005B0C78" w:rsidRDefault="00F66729">
            <w:pPr>
              <w:spacing w:line="276" w:lineRule="auto"/>
              <w:ind w:right="178"/>
              <w:jc w:val="both"/>
              <w:rPr>
                <w:rFonts w:ascii="Arial" w:eastAsia="Arial" w:hAnsi="Arial" w:cs="Arial"/>
                <w:color w:val="000000"/>
                <w:sz w:val="16"/>
                <w:szCs w:val="16"/>
              </w:rPr>
            </w:pPr>
            <w:r>
              <w:rPr>
                <w:rFonts w:ascii="Arial" w:eastAsia="Arial" w:hAnsi="Arial" w:cs="Arial"/>
                <w:color w:val="000000"/>
                <w:sz w:val="16"/>
                <w:szCs w:val="16"/>
              </w:rPr>
              <w:t>Procedimiento Especial Sancionador.</w:t>
            </w:r>
          </w:p>
          <w:p w14:paraId="3567106A" w14:textId="77777777" w:rsidR="005B0C78" w:rsidRDefault="00F66729">
            <w:pPr>
              <w:spacing w:line="276" w:lineRule="auto"/>
              <w:ind w:right="178"/>
              <w:jc w:val="both"/>
              <w:rPr>
                <w:rFonts w:ascii="Arial" w:eastAsia="Arial" w:hAnsi="Arial" w:cs="Arial"/>
                <w:color w:val="000000"/>
                <w:sz w:val="16"/>
                <w:szCs w:val="16"/>
              </w:rPr>
            </w:pPr>
            <w:r>
              <w:rPr>
                <w:rFonts w:ascii="Arial" w:eastAsia="Arial" w:hAnsi="Arial" w:cs="Arial"/>
                <w:color w:val="000000"/>
                <w:sz w:val="16"/>
                <w:szCs w:val="16"/>
              </w:rPr>
              <w:t>Tribunal Electoral del Estado de Aguascalientes.</w:t>
            </w:r>
          </w:p>
          <w:p w14:paraId="4DED95DD" w14:textId="77777777" w:rsidR="005B0C78" w:rsidRDefault="00F66729">
            <w:pPr>
              <w:spacing w:line="276" w:lineRule="auto"/>
              <w:ind w:right="178"/>
              <w:jc w:val="both"/>
              <w:rPr>
                <w:rFonts w:ascii="Arial" w:eastAsia="Arial" w:hAnsi="Arial" w:cs="Arial"/>
                <w:color w:val="000000"/>
                <w:sz w:val="16"/>
                <w:szCs w:val="16"/>
              </w:rPr>
            </w:pPr>
            <w:r>
              <w:rPr>
                <w:rFonts w:ascii="Arial" w:eastAsia="Arial" w:hAnsi="Arial" w:cs="Arial"/>
                <w:color w:val="000000"/>
                <w:sz w:val="16"/>
                <w:szCs w:val="16"/>
              </w:rPr>
              <w:t>Suprema Corte de Justicia de la Nación.</w:t>
            </w:r>
          </w:p>
          <w:p w14:paraId="2E9B1395" w14:textId="77777777" w:rsidR="005B0C78" w:rsidRDefault="005B0C78">
            <w:pPr>
              <w:spacing w:line="276" w:lineRule="auto"/>
              <w:ind w:right="178"/>
              <w:jc w:val="both"/>
              <w:rPr>
                <w:rFonts w:ascii="Arial" w:eastAsia="Arial" w:hAnsi="Arial" w:cs="Arial"/>
                <w:color w:val="000000"/>
                <w:sz w:val="16"/>
                <w:szCs w:val="16"/>
              </w:rPr>
            </w:pPr>
          </w:p>
        </w:tc>
      </w:tr>
    </w:tbl>
    <w:p w14:paraId="6DAD4B16" w14:textId="77777777" w:rsidR="005B0C78" w:rsidRDefault="005B0C78">
      <w:pPr>
        <w:pBdr>
          <w:top w:val="nil"/>
          <w:left w:val="nil"/>
          <w:bottom w:val="nil"/>
          <w:right w:val="nil"/>
          <w:between w:val="nil"/>
        </w:pBdr>
        <w:rPr>
          <w:color w:val="000000"/>
          <w:sz w:val="10"/>
          <w:szCs w:val="10"/>
        </w:rPr>
      </w:pPr>
    </w:p>
    <w:p w14:paraId="2C268A39" w14:textId="77777777" w:rsidR="005B0C78" w:rsidRDefault="00F66729">
      <w:pPr>
        <w:pBdr>
          <w:top w:val="nil"/>
          <w:left w:val="nil"/>
          <w:bottom w:val="nil"/>
          <w:right w:val="nil"/>
          <w:between w:val="nil"/>
        </w:pBdr>
        <w:tabs>
          <w:tab w:val="left" w:pos="284"/>
        </w:tabs>
        <w:spacing w:line="360" w:lineRule="auto"/>
        <w:ind w:right="36"/>
        <w:jc w:val="both"/>
        <w:rPr>
          <w:rFonts w:ascii="Arial" w:eastAsia="Arial" w:hAnsi="Arial" w:cs="Arial"/>
          <w:b/>
          <w:sz w:val="24"/>
          <w:szCs w:val="24"/>
        </w:rPr>
      </w:pPr>
      <w:r>
        <w:rPr>
          <w:rFonts w:ascii="Arial" w:eastAsia="Arial" w:hAnsi="Arial" w:cs="Arial"/>
          <w:b/>
          <w:sz w:val="24"/>
          <w:szCs w:val="24"/>
        </w:rPr>
        <w:t>I. Contexto del caso.</w:t>
      </w:r>
      <w:r>
        <w:rPr>
          <w:rFonts w:ascii="Arial" w:eastAsia="Arial" w:hAnsi="Arial" w:cs="Arial"/>
          <w:b/>
          <w:sz w:val="24"/>
          <w:szCs w:val="24"/>
          <w:vertAlign w:val="superscript"/>
        </w:rPr>
        <w:footnoteReference w:id="2"/>
      </w:r>
    </w:p>
    <w:p w14:paraId="5D9170AA" w14:textId="77777777" w:rsidR="005B0C78" w:rsidRDefault="005B0C78">
      <w:pPr>
        <w:pBdr>
          <w:top w:val="nil"/>
          <w:left w:val="nil"/>
          <w:bottom w:val="nil"/>
          <w:right w:val="nil"/>
          <w:between w:val="nil"/>
        </w:pBdr>
        <w:rPr>
          <w:color w:val="000000"/>
        </w:rPr>
      </w:pPr>
    </w:p>
    <w:p w14:paraId="2F9C204C" w14:textId="77777777" w:rsidR="005B0C78" w:rsidRDefault="00F66729">
      <w:pPr>
        <w:tabs>
          <w:tab w:val="left" w:pos="284"/>
        </w:tabs>
        <w:spacing w:line="360" w:lineRule="auto"/>
        <w:jc w:val="both"/>
        <w:rPr>
          <w:rFonts w:ascii="Arial" w:eastAsia="Arial" w:hAnsi="Arial" w:cs="Arial"/>
          <w:sz w:val="24"/>
          <w:szCs w:val="24"/>
        </w:rPr>
      </w:pPr>
      <w:r>
        <w:rPr>
          <w:rFonts w:ascii="Arial" w:eastAsia="Arial" w:hAnsi="Arial" w:cs="Arial"/>
          <w:b/>
          <w:sz w:val="24"/>
          <w:szCs w:val="24"/>
        </w:rPr>
        <w:t>1. PEL (2021-2022).</w:t>
      </w:r>
      <w:r>
        <w:rPr>
          <w:rFonts w:ascii="Arial" w:eastAsia="Arial" w:hAnsi="Arial" w:cs="Arial"/>
          <w:sz w:val="24"/>
          <w:szCs w:val="24"/>
        </w:rPr>
        <w:t xml:space="preserve"> El 7 de octubre de 2021, inició el proceso electoral local para renovar la gubernatura del estado de Aguascalientes.</w:t>
      </w:r>
      <w:r>
        <w:rPr>
          <w:rFonts w:ascii="Arial" w:eastAsia="Arial" w:hAnsi="Arial" w:cs="Arial"/>
          <w:sz w:val="24"/>
          <w:szCs w:val="24"/>
          <w:vertAlign w:val="superscript"/>
        </w:rPr>
        <w:footnoteReference w:id="3"/>
      </w:r>
    </w:p>
    <w:p w14:paraId="138FC4BA" w14:textId="77777777" w:rsidR="005B0C78" w:rsidRDefault="00F66729">
      <w:pPr>
        <w:tabs>
          <w:tab w:val="left" w:pos="284"/>
        </w:tabs>
        <w:spacing w:before="240" w:after="240" w:line="360" w:lineRule="auto"/>
        <w:ind w:right="40"/>
        <w:jc w:val="both"/>
        <w:rPr>
          <w:rFonts w:ascii="Arial" w:eastAsia="Arial" w:hAnsi="Arial" w:cs="Arial"/>
          <w:sz w:val="24"/>
          <w:szCs w:val="24"/>
        </w:rPr>
      </w:pPr>
      <w:r>
        <w:rPr>
          <w:rFonts w:ascii="Arial" w:eastAsia="Arial" w:hAnsi="Arial" w:cs="Arial"/>
          <w:b/>
          <w:sz w:val="24"/>
          <w:szCs w:val="24"/>
        </w:rPr>
        <w:t>2. Denuncia.</w:t>
      </w:r>
      <w:r>
        <w:rPr>
          <w:rFonts w:ascii="Arial" w:eastAsia="Arial" w:hAnsi="Arial" w:cs="Arial"/>
          <w:sz w:val="24"/>
          <w:szCs w:val="24"/>
        </w:rPr>
        <w:t xml:space="preserve"> El 7 de mayo, el ciudadano Israel Ángel Ramírez, representante suplente del PAN y de la coalición “Va Por Aguascalientes” ante el Consejo General, presentó una queja en contra de Nora Ruvalcaba Gámez, candidata de Morena a la gubernatura del estado, así como del referido instituto político, derivado de la realización de una publicación en sus perfiles de Facebook y Twitter, que a su dicho, contiene expresiones que configuran la infracción de calumnia en perjuicio del PAN y de la candidata María Teresa Jiménez Esquivel. A su vez, exigió a la autoridad administrativa la adopción de medidas cautelares.</w:t>
      </w:r>
    </w:p>
    <w:p w14:paraId="0D7AC121" w14:textId="77777777" w:rsidR="005B0C78" w:rsidRDefault="00F66729">
      <w:pPr>
        <w:tabs>
          <w:tab w:val="left" w:pos="284"/>
        </w:tabs>
        <w:spacing w:before="240" w:after="240" w:line="360" w:lineRule="auto"/>
        <w:ind w:right="40"/>
        <w:jc w:val="both"/>
        <w:rPr>
          <w:rFonts w:ascii="Arial" w:eastAsia="Arial" w:hAnsi="Arial" w:cs="Arial"/>
          <w:sz w:val="24"/>
          <w:szCs w:val="24"/>
        </w:rPr>
      </w:pPr>
      <w:r>
        <w:rPr>
          <w:rFonts w:ascii="Arial" w:eastAsia="Arial" w:hAnsi="Arial" w:cs="Arial"/>
          <w:b/>
          <w:sz w:val="24"/>
          <w:szCs w:val="24"/>
        </w:rPr>
        <w:t xml:space="preserve">3. Radicación, admisión y medidas cautelares. </w:t>
      </w:r>
      <w:r>
        <w:rPr>
          <w:rFonts w:ascii="Arial" w:eastAsia="Arial" w:hAnsi="Arial" w:cs="Arial"/>
          <w:sz w:val="24"/>
          <w:szCs w:val="24"/>
        </w:rPr>
        <w:t xml:space="preserve">Al día siguiente, el Secretario Ejecutivo radicó la denuncia y le asignó el número de expediente IEE/PES/041/2022, y el 13 del mismo mes, la admitió a trámite. El 15 consecuente, </w:t>
      </w:r>
      <w:r>
        <w:rPr>
          <w:rFonts w:ascii="Arial" w:eastAsia="Arial" w:hAnsi="Arial" w:cs="Arial"/>
          <w:b/>
          <w:sz w:val="24"/>
          <w:szCs w:val="24"/>
        </w:rPr>
        <w:t>determinó no proponer la valoración de las medidas cautelares</w:t>
      </w:r>
      <w:r>
        <w:rPr>
          <w:rFonts w:ascii="Arial" w:eastAsia="Arial" w:hAnsi="Arial" w:cs="Arial"/>
          <w:sz w:val="24"/>
          <w:szCs w:val="24"/>
        </w:rPr>
        <w:t xml:space="preserve"> propuestas por la parte denunciante a la Comisión de Quejas y Denuncias del Instituto Local, dado que estas no pueden recaer sobre sobre hechos futuros de realización incierta. </w:t>
      </w:r>
    </w:p>
    <w:p w14:paraId="394FD340" w14:textId="77777777" w:rsidR="005B0C78" w:rsidRDefault="00F66729">
      <w:pPr>
        <w:pBdr>
          <w:top w:val="nil"/>
          <w:left w:val="nil"/>
          <w:bottom w:val="nil"/>
          <w:right w:val="nil"/>
          <w:between w:val="nil"/>
        </w:pBdr>
        <w:spacing w:line="360" w:lineRule="auto"/>
        <w:jc w:val="both"/>
        <w:rPr>
          <w:rFonts w:ascii="Arial" w:eastAsia="Arial" w:hAnsi="Arial" w:cs="Arial"/>
          <w:sz w:val="24"/>
          <w:szCs w:val="24"/>
        </w:rPr>
      </w:pPr>
      <w:r>
        <w:rPr>
          <w:rFonts w:ascii="Arial" w:eastAsia="Arial" w:hAnsi="Arial" w:cs="Arial"/>
          <w:b/>
          <w:sz w:val="24"/>
          <w:szCs w:val="24"/>
        </w:rPr>
        <w:t>4. Audiencia de alegatos y remisión del expediente.</w:t>
      </w:r>
      <w:r>
        <w:rPr>
          <w:rFonts w:ascii="Arial" w:eastAsia="Arial" w:hAnsi="Arial" w:cs="Arial"/>
          <w:sz w:val="24"/>
          <w:szCs w:val="24"/>
        </w:rPr>
        <w:t xml:space="preserve"> El 17 del referido mes, la Secretaría Ejecutiva celebró la audiencia de pruebas y alegatos, </w:t>
      </w:r>
      <w:r>
        <w:rPr>
          <w:rFonts w:ascii="Arial" w:eastAsia="Arial" w:hAnsi="Arial" w:cs="Arial"/>
          <w:color w:val="000000"/>
          <w:sz w:val="24"/>
          <w:szCs w:val="24"/>
        </w:rPr>
        <w:t>y, al día siguiente, realizó el informe circunstanciado. En misma fecha, s</w:t>
      </w:r>
      <w:r>
        <w:rPr>
          <w:rFonts w:ascii="Arial" w:eastAsia="Arial" w:hAnsi="Arial" w:cs="Arial"/>
          <w:sz w:val="24"/>
          <w:szCs w:val="24"/>
        </w:rPr>
        <w:t xml:space="preserve">e recibió en la oficialía de partes de este órgano jurisdiccional el expediente en cuestión. </w:t>
      </w:r>
    </w:p>
    <w:p w14:paraId="466803EF" w14:textId="77777777" w:rsidR="005B0C78" w:rsidRDefault="00F66729">
      <w:pPr>
        <w:tabs>
          <w:tab w:val="left" w:pos="284"/>
        </w:tabs>
        <w:spacing w:before="240" w:after="240" w:line="360" w:lineRule="auto"/>
        <w:ind w:right="40"/>
        <w:jc w:val="both"/>
        <w:rPr>
          <w:rFonts w:ascii="Arial" w:eastAsia="Arial" w:hAnsi="Arial" w:cs="Arial"/>
          <w:b/>
          <w:sz w:val="24"/>
          <w:szCs w:val="24"/>
        </w:rPr>
      </w:pPr>
      <w:r>
        <w:rPr>
          <w:rFonts w:ascii="Arial" w:eastAsia="Arial" w:hAnsi="Arial" w:cs="Arial"/>
          <w:b/>
          <w:sz w:val="24"/>
          <w:szCs w:val="24"/>
        </w:rPr>
        <w:t xml:space="preserve">5. Turno, radicación y formulación del proyecto de resolución TEEA-PES-032/2022. </w:t>
      </w:r>
      <w:r>
        <w:rPr>
          <w:rFonts w:ascii="Arial" w:eastAsia="Arial" w:hAnsi="Arial" w:cs="Arial"/>
          <w:sz w:val="24"/>
          <w:szCs w:val="24"/>
        </w:rPr>
        <w:t xml:space="preserve">El mismo 18, la Magistrada Presidenta ordenó el registro del asunto con el número de expediente TEEA-PES-032/2022 y lo turnó a la Ponencia de la Magistrada Laura Hortensia </w:t>
      </w:r>
      <w:r>
        <w:rPr>
          <w:rFonts w:ascii="Arial" w:eastAsia="Arial" w:hAnsi="Arial" w:cs="Arial"/>
          <w:sz w:val="24"/>
          <w:szCs w:val="24"/>
        </w:rPr>
        <w:lastRenderedPageBreak/>
        <w:t>Llamas Hernández, quien en su oportunidad lo radicó, y al no existir algún trámite pendiente, ordenó la formulación del proyecto.</w:t>
      </w:r>
      <w:r>
        <w:rPr>
          <w:rFonts w:ascii="Arial" w:eastAsia="Arial" w:hAnsi="Arial" w:cs="Arial"/>
          <w:sz w:val="24"/>
          <w:szCs w:val="24"/>
          <w:vertAlign w:val="superscript"/>
        </w:rPr>
        <w:footnoteReference w:id="4"/>
      </w:r>
    </w:p>
    <w:p w14:paraId="1F6BBED1" w14:textId="77777777" w:rsidR="005B0C78" w:rsidRDefault="00F66729">
      <w:pPr>
        <w:pBdr>
          <w:top w:val="nil"/>
          <w:left w:val="nil"/>
          <w:bottom w:val="nil"/>
          <w:right w:val="nil"/>
          <w:between w:val="nil"/>
        </w:pBdr>
        <w:tabs>
          <w:tab w:val="left" w:pos="284"/>
        </w:tabs>
        <w:spacing w:line="360" w:lineRule="auto"/>
        <w:ind w:right="36"/>
        <w:jc w:val="both"/>
        <w:rPr>
          <w:color w:val="000000"/>
        </w:rPr>
      </w:pPr>
      <w:r>
        <w:rPr>
          <w:rFonts w:ascii="Arial" w:eastAsia="Arial" w:hAnsi="Arial" w:cs="Arial"/>
          <w:b/>
          <w:color w:val="000000"/>
          <w:sz w:val="24"/>
          <w:szCs w:val="24"/>
        </w:rPr>
        <w:t xml:space="preserve">II. Competencia. </w:t>
      </w:r>
      <w:r>
        <w:rPr>
          <w:rFonts w:ascii="Arial" w:eastAsia="Arial" w:hAnsi="Arial" w:cs="Arial"/>
          <w:color w:val="000000"/>
          <w:sz w:val="24"/>
          <w:szCs w:val="24"/>
        </w:rPr>
        <w:t xml:space="preserve">Este Tribunal es competente para resolver el presente procedimiento especial sancionador, porque se relaciona con la posible vulneración al artículo 244, fracción IV, del Código Electoral, derivado de una publicación difundida a través de las redes sociales Facebook y Twitter, la cual contiene expresiones que presuntamente constituyen la infracción de calumnia, atribuida a </w:t>
      </w:r>
      <w:r>
        <w:rPr>
          <w:rFonts w:ascii="Arial" w:eastAsia="Arial" w:hAnsi="Arial" w:cs="Arial"/>
          <w:sz w:val="24"/>
          <w:szCs w:val="24"/>
        </w:rPr>
        <w:t xml:space="preserve">la ciudadana </w:t>
      </w:r>
      <w:r>
        <w:rPr>
          <w:rFonts w:ascii="Arial" w:eastAsia="Arial" w:hAnsi="Arial" w:cs="Arial"/>
          <w:color w:val="000000"/>
          <w:sz w:val="24"/>
          <w:szCs w:val="24"/>
        </w:rPr>
        <w:t xml:space="preserve">Nora Ruvalcaba Gámez en su </w:t>
      </w:r>
      <w:r>
        <w:rPr>
          <w:rFonts w:ascii="Arial" w:eastAsia="Arial" w:hAnsi="Arial" w:cs="Arial"/>
          <w:sz w:val="24"/>
          <w:szCs w:val="24"/>
        </w:rPr>
        <w:t>carácter</w:t>
      </w:r>
      <w:r>
        <w:rPr>
          <w:rFonts w:ascii="Arial" w:eastAsia="Arial" w:hAnsi="Arial" w:cs="Arial"/>
          <w:color w:val="000000"/>
          <w:sz w:val="24"/>
          <w:szCs w:val="24"/>
        </w:rPr>
        <w:t xml:space="preserve"> de </w:t>
      </w:r>
      <w:r>
        <w:rPr>
          <w:rFonts w:ascii="Arial" w:eastAsia="Arial" w:hAnsi="Arial" w:cs="Arial"/>
          <w:sz w:val="24"/>
          <w:szCs w:val="24"/>
        </w:rPr>
        <w:t>candidata de Morena a la gubernatura de esta entidad, con independencia del medio por el cual se difundieron los mensajes cuestionados</w:t>
      </w:r>
      <w:r>
        <w:rPr>
          <w:rFonts w:ascii="Arial" w:eastAsia="Arial" w:hAnsi="Arial" w:cs="Arial"/>
          <w:sz w:val="24"/>
          <w:szCs w:val="24"/>
          <w:vertAlign w:val="superscript"/>
        </w:rPr>
        <w:footnoteReference w:id="5"/>
      </w:r>
      <w:r>
        <w:rPr>
          <w:rFonts w:ascii="Arial" w:eastAsia="Arial" w:hAnsi="Arial" w:cs="Arial"/>
          <w:sz w:val="24"/>
          <w:szCs w:val="24"/>
        </w:rPr>
        <w:t>.</w:t>
      </w:r>
      <w:r>
        <w:rPr>
          <w:rFonts w:ascii="Arial" w:eastAsia="Arial" w:hAnsi="Arial" w:cs="Arial"/>
          <w:color w:val="000000"/>
          <w:sz w:val="24"/>
          <w:szCs w:val="24"/>
        </w:rPr>
        <w:t xml:space="preserve"> Lo anterior, de conformidad con los artículos 252, fracción II, 268, 274 y 275 del Código Electoral.</w:t>
      </w:r>
    </w:p>
    <w:p w14:paraId="03842D59" w14:textId="77777777" w:rsidR="005B0C78" w:rsidRDefault="005B0C78">
      <w:pPr>
        <w:pBdr>
          <w:top w:val="nil"/>
          <w:left w:val="nil"/>
          <w:bottom w:val="nil"/>
          <w:right w:val="nil"/>
          <w:between w:val="nil"/>
        </w:pBdr>
        <w:rPr>
          <w:color w:val="000000"/>
        </w:rPr>
      </w:pPr>
    </w:p>
    <w:p w14:paraId="00CC6582" w14:textId="77777777" w:rsidR="005B0C78" w:rsidRDefault="00F66729">
      <w:pPr>
        <w:pBdr>
          <w:top w:val="nil"/>
          <w:left w:val="nil"/>
          <w:bottom w:val="nil"/>
          <w:right w:val="nil"/>
          <w:between w:val="nil"/>
        </w:pBdr>
        <w:tabs>
          <w:tab w:val="left" w:pos="426"/>
        </w:tabs>
        <w:spacing w:line="360" w:lineRule="auto"/>
        <w:ind w:right="36"/>
        <w:jc w:val="both"/>
        <w:rPr>
          <w:rFonts w:ascii="Arial" w:eastAsia="Arial" w:hAnsi="Arial" w:cs="Arial"/>
          <w:color w:val="000000"/>
          <w:sz w:val="24"/>
          <w:szCs w:val="24"/>
        </w:rPr>
      </w:pPr>
      <w:r>
        <w:rPr>
          <w:rFonts w:ascii="Arial" w:eastAsia="Arial" w:hAnsi="Arial" w:cs="Arial"/>
          <w:b/>
          <w:color w:val="000000"/>
          <w:sz w:val="24"/>
          <w:szCs w:val="24"/>
        </w:rPr>
        <w:t xml:space="preserve">III. Personería. </w:t>
      </w:r>
      <w:r>
        <w:rPr>
          <w:rFonts w:ascii="Arial" w:eastAsia="Arial" w:hAnsi="Arial" w:cs="Arial"/>
          <w:color w:val="000000"/>
          <w:sz w:val="24"/>
          <w:szCs w:val="24"/>
        </w:rPr>
        <w:t>La autoridad instructora tuvo por acreditada la personería del denunciante y l</w:t>
      </w:r>
      <w:r>
        <w:rPr>
          <w:rFonts w:ascii="Arial" w:eastAsia="Arial" w:hAnsi="Arial" w:cs="Arial"/>
          <w:sz w:val="24"/>
          <w:szCs w:val="24"/>
        </w:rPr>
        <w:t>as</w:t>
      </w:r>
      <w:r>
        <w:rPr>
          <w:rFonts w:ascii="Arial" w:eastAsia="Arial" w:hAnsi="Arial" w:cs="Arial"/>
          <w:color w:val="000000"/>
          <w:sz w:val="24"/>
          <w:szCs w:val="24"/>
        </w:rPr>
        <w:t xml:space="preserve"> </w:t>
      </w:r>
      <w:r>
        <w:rPr>
          <w:rFonts w:ascii="Arial" w:eastAsia="Arial" w:hAnsi="Arial" w:cs="Arial"/>
          <w:sz w:val="24"/>
          <w:szCs w:val="24"/>
        </w:rPr>
        <w:t>partes</w:t>
      </w:r>
      <w:r>
        <w:rPr>
          <w:rFonts w:ascii="Arial" w:eastAsia="Arial" w:hAnsi="Arial" w:cs="Arial"/>
          <w:color w:val="000000"/>
          <w:sz w:val="24"/>
          <w:szCs w:val="24"/>
        </w:rPr>
        <w:t xml:space="preserve"> denunciad</w:t>
      </w:r>
      <w:r>
        <w:rPr>
          <w:rFonts w:ascii="Arial" w:eastAsia="Arial" w:hAnsi="Arial" w:cs="Arial"/>
          <w:sz w:val="24"/>
          <w:szCs w:val="24"/>
        </w:rPr>
        <w:t>as, respectivamente</w:t>
      </w:r>
      <w:r>
        <w:rPr>
          <w:rFonts w:ascii="Arial" w:eastAsia="Arial" w:hAnsi="Arial" w:cs="Arial"/>
          <w:color w:val="000000"/>
          <w:sz w:val="24"/>
          <w:szCs w:val="24"/>
        </w:rPr>
        <w:t>.</w:t>
      </w:r>
    </w:p>
    <w:p w14:paraId="3C5EEC37" w14:textId="77777777" w:rsidR="005B0C78" w:rsidRDefault="005B0C78">
      <w:pPr>
        <w:pBdr>
          <w:top w:val="nil"/>
          <w:left w:val="nil"/>
          <w:bottom w:val="nil"/>
          <w:right w:val="nil"/>
          <w:between w:val="nil"/>
        </w:pBdr>
        <w:rPr>
          <w:color w:val="000000"/>
        </w:rPr>
      </w:pPr>
    </w:p>
    <w:p w14:paraId="2098D878" w14:textId="77777777" w:rsidR="005B0C78" w:rsidRDefault="00F66729">
      <w:pPr>
        <w:pBdr>
          <w:top w:val="nil"/>
          <w:left w:val="nil"/>
          <w:bottom w:val="nil"/>
          <w:right w:val="nil"/>
          <w:between w:val="nil"/>
        </w:pBdr>
        <w:tabs>
          <w:tab w:val="left" w:pos="426"/>
        </w:tabs>
        <w:spacing w:line="360" w:lineRule="auto"/>
        <w:ind w:right="36"/>
        <w:jc w:val="both"/>
        <w:rPr>
          <w:rFonts w:ascii="Arial" w:eastAsia="Arial" w:hAnsi="Arial" w:cs="Arial"/>
          <w:sz w:val="24"/>
          <w:szCs w:val="24"/>
        </w:rPr>
      </w:pPr>
      <w:r>
        <w:rPr>
          <w:rFonts w:ascii="Arial" w:eastAsia="Arial" w:hAnsi="Arial" w:cs="Arial"/>
          <w:b/>
          <w:color w:val="000000"/>
          <w:sz w:val="24"/>
          <w:szCs w:val="24"/>
        </w:rPr>
        <w:t xml:space="preserve">IV. Causales de improcedencia. </w:t>
      </w:r>
      <w:r>
        <w:rPr>
          <w:rFonts w:ascii="Arial" w:eastAsia="Arial" w:hAnsi="Arial" w:cs="Arial"/>
          <w:color w:val="000000"/>
          <w:sz w:val="24"/>
          <w:szCs w:val="24"/>
        </w:rPr>
        <w:t xml:space="preserve">La ciudadana </w:t>
      </w:r>
      <w:r>
        <w:rPr>
          <w:rFonts w:ascii="Arial" w:eastAsia="Arial" w:hAnsi="Arial" w:cs="Arial"/>
          <w:sz w:val="24"/>
          <w:szCs w:val="24"/>
        </w:rPr>
        <w:t xml:space="preserve">Nora Ruvalcaba Gámez y el partido político Morena, en sus escritos de contestación, refieren que la denuncia presentada en su contra es </w:t>
      </w:r>
      <w:r>
        <w:rPr>
          <w:rFonts w:ascii="Arial" w:eastAsia="Arial" w:hAnsi="Arial" w:cs="Arial"/>
          <w:b/>
          <w:sz w:val="24"/>
          <w:szCs w:val="24"/>
        </w:rPr>
        <w:t>frívola y oscura</w:t>
      </w:r>
      <w:r>
        <w:rPr>
          <w:rFonts w:ascii="Arial" w:eastAsia="Arial" w:hAnsi="Arial" w:cs="Arial"/>
          <w:sz w:val="24"/>
          <w:szCs w:val="24"/>
        </w:rPr>
        <w:t>, ya que no se ofrecieron elementos de prueba que permitan acreditar los hechos denunciados.</w:t>
      </w:r>
    </w:p>
    <w:p w14:paraId="22B53469" w14:textId="77777777" w:rsidR="005B0C78" w:rsidRDefault="005B0C78">
      <w:pPr>
        <w:pBdr>
          <w:top w:val="nil"/>
          <w:left w:val="nil"/>
          <w:bottom w:val="nil"/>
          <w:right w:val="nil"/>
          <w:between w:val="nil"/>
        </w:pBdr>
        <w:rPr>
          <w:color w:val="000000"/>
        </w:rPr>
      </w:pPr>
    </w:p>
    <w:p w14:paraId="1CA85832" w14:textId="77777777" w:rsidR="005B0C78" w:rsidRDefault="00F66729">
      <w:pPr>
        <w:pBdr>
          <w:top w:val="nil"/>
          <w:left w:val="nil"/>
          <w:bottom w:val="nil"/>
          <w:right w:val="nil"/>
          <w:between w:val="nil"/>
        </w:pBdr>
        <w:tabs>
          <w:tab w:val="left" w:pos="426"/>
        </w:tabs>
        <w:spacing w:line="360" w:lineRule="auto"/>
        <w:ind w:right="36"/>
        <w:jc w:val="both"/>
        <w:rPr>
          <w:rFonts w:ascii="Arial" w:eastAsia="Arial" w:hAnsi="Arial" w:cs="Arial"/>
          <w:sz w:val="24"/>
          <w:szCs w:val="24"/>
        </w:rPr>
      </w:pPr>
      <w:r>
        <w:rPr>
          <w:rFonts w:ascii="Arial" w:eastAsia="Arial" w:hAnsi="Arial" w:cs="Arial"/>
          <w:sz w:val="24"/>
          <w:szCs w:val="24"/>
        </w:rPr>
        <w:t>El artículo 270, fracción V, del Código Electoral</w:t>
      </w:r>
      <w:r>
        <w:rPr>
          <w:rFonts w:ascii="Arial" w:eastAsia="Arial" w:hAnsi="Arial" w:cs="Arial"/>
          <w:sz w:val="24"/>
          <w:szCs w:val="24"/>
          <w:vertAlign w:val="superscript"/>
        </w:rPr>
        <w:footnoteReference w:id="6"/>
      </w:r>
      <w:r>
        <w:rPr>
          <w:rFonts w:ascii="Arial" w:eastAsia="Arial" w:hAnsi="Arial" w:cs="Arial"/>
          <w:sz w:val="24"/>
          <w:szCs w:val="24"/>
        </w:rPr>
        <w:t xml:space="preserve"> establece que la denuncia se desechará de plano, cuando sea evidentemente frívola. Esta causal se actualiza cuando de la denuncia se advierta que las pretensiones de la parte quejosa no podrían lograrse jurídicamente, por no estar al alcance del derecho o bien, que no existan pruebas que sirvan para acreditar la infracción.</w:t>
      </w:r>
    </w:p>
    <w:p w14:paraId="014C248D" w14:textId="77777777" w:rsidR="005B0C78" w:rsidRDefault="00F66729">
      <w:pPr>
        <w:tabs>
          <w:tab w:val="left" w:pos="426"/>
        </w:tabs>
        <w:spacing w:before="240" w:line="360" w:lineRule="auto"/>
        <w:ind w:right="40"/>
        <w:jc w:val="both"/>
        <w:rPr>
          <w:rFonts w:ascii="Arial" w:eastAsia="Arial" w:hAnsi="Arial" w:cs="Arial"/>
          <w:sz w:val="24"/>
          <w:szCs w:val="24"/>
        </w:rPr>
      </w:pPr>
      <w:r>
        <w:rPr>
          <w:rFonts w:ascii="Arial" w:eastAsia="Arial" w:hAnsi="Arial" w:cs="Arial"/>
          <w:sz w:val="24"/>
          <w:szCs w:val="24"/>
        </w:rPr>
        <w:t>Al respecto, este Tribunal considera que del escrito de la denuncia y de las constancias del expediente, se advierte que el denunciante señaló los hechos y las infracciones que, a su criterio se acreditan, además de que ofreció la pruebas que estimó pertinente, por tanto, no es posible actualizar tal causal de improcedencia, pues el quejoso ofreció las pruebas que consideró necesarias para la acreditación de los hechos cuestionados. Por tanto, la posible actualización de la infracción, en todo caso, es materia de análisis en el estudio de fondo de la presente resolución.</w:t>
      </w:r>
    </w:p>
    <w:p w14:paraId="6122D30B" w14:textId="77777777" w:rsidR="005B0C78" w:rsidRDefault="005B0C78">
      <w:pPr>
        <w:pBdr>
          <w:top w:val="nil"/>
          <w:left w:val="nil"/>
          <w:bottom w:val="nil"/>
          <w:right w:val="nil"/>
          <w:between w:val="nil"/>
        </w:pBdr>
        <w:tabs>
          <w:tab w:val="left" w:pos="426"/>
        </w:tabs>
        <w:spacing w:line="360" w:lineRule="auto"/>
        <w:ind w:right="36"/>
        <w:jc w:val="both"/>
        <w:rPr>
          <w:rFonts w:ascii="Arial" w:eastAsia="Arial" w:hAnsi="Arial" w:cs="Arial"/>
          <w:b/>
          <w:sz w:val="24"/>
          <w:szCs w:val="24"/>
        </w:rPr>
      </w:pPr>
    </w:p>
    <w:p w14:paraId="10073214" w14:textId="77777777" w:rsidR="005B0C78" w:rsidRDefault="00F66729">
      <w:pPr>
        <w:pBdr>
          <w:top w:val="nil"/>
          <w:left w:val="nil"/>
          <w:bottom w:val="nil"/>
          <w:right w:val="nil"/>
          <w:between w:val="nil"/>
        </w:pBdr>
        <w:tabs>
          <w:tab w:val="left" w:pos="426"/>
        </w:tabs>
        <w:spacing w:line="360" w:lineRule="auto"/>
        <w:ind w:right="36"/>
        <w:jc w:val="both"/>
        <w:rPr>
          <w:rFonts w:ascii="Arial" w:eastAsia="Arial" w:hAnsi="Arial" w:cs="Arial"/>
          <w:b/>
          <w:sz w:val="24"/>
          <w:szCs w:val="24"/>
        </w:rPr>
      </w:pPr>
      <w:r>
        <w:rPr>
          <w:rFonts w:ascii="Arial" w:eastAsia="Arial" w:hAnsi="Arial" w:cs="Arial"/>
          <w:b/>
          <w:sz w:val="24"/>
          <w:szCs w:val="24"/>
        </w:rPr>
        <w:t>V. Estudio de fondo</w:t>
      </w:r>
    </w:p>
    <w:p w14:paraId="7F18E97A" w14:textId="77777777" w:rsidR="005B0C78" w:rsidRDefault="005B0C78">
      <w:pPr>
        <w:pBdr>
          <w:top w:val="nil"/>
          <w:left w:val="nil"/>
          <w:bottom w:val="nil"/>
          <w:right w:val="nil"/>
          <w:between w:val="nil"/>
        </w:pBdr>
        <w:rPr>
          <w:color w:val="000000"/>
          <w:sz w:val="16"/>
          <w:szCs w:val="16"/>
        </w:rPr>
      </w:pPr>
    </w:p>
    <w:p w14:paraId="79C1E0B5" w14:textId="77777777" w:rsidR="005B0C78" w:rsidRDefault="00F66729">
      <w:pPr>
        <w:pBdr>
          <w:top w:val="nil"/>
          <w:left w:val="nil"/>
          <w:bottom w:val="nil"/>
          <w:right w:val="nil"/>
          <w:between w:val="nil"/>
        </w:pBdr>
        <w:tabs>
          <w:tab w:val="left" w:pos="426"/>
        </w:tabs>
        <w:spacing w:line="360" w:lineRule="auto"/>
        <w:ind w:right="36"/>
        <w:jc w:val="both"/>
        <w:rPr>
          <w:rFonts w:ascii="Arial" w:eastAsia="Arial" w:hAnsi="Arial" w:cs="Arial"/>
          <w:b/>
          <w:sz w:val="24"/>
          <w:szCs w:val="24"/>
        </w:rPr>
      </w:pPr>
      <w:r>
        <w:rPr>
          <w:rFonts w:ascii="Arial" w:eastAsia="Arial" w:hAnsi="Arial" w:cs="Arial"/>
          <w:b/>
          <w:sz w:val="24"/>
          <w:szCs w:val="24"/>
        </w:rPr>
        <w:t xml:space="preserve">1. Hechos denunciados </w:t>
      </w:r>
    </w:p>
    <w:p w14:paraId="1DD67578" w14:textId="77777777" w:rsidR="005B0C78" w:rsidRDefault="005B0C78">
      <w:pPr>
        <w:pBdr>
          <w:top w:val="nil"/>
          <w:left w:val="nil"/>
          <w:bottom w:val="nil"/>
          <w:right w:val="nil"/>
          <w:between w:val="nil"/>
        </w:pBdr>
        <w:rPr>
          <w:color w:val="000000"/>
        </w:rPr>
      </w:pPr>
    </w:p>
    <w:p w14:paraId="47653DDB" w14:textId="77777777" w:rsidR="005B0C78" w:rsidRDefault="00F66729">
      <w:pPr>
        <w:numPr>
          <w:ilvl w:val="1"/>
          <w:numId w:val="2"/>
        </w:numPr>
        <w:pBdr>
          <w:top w:val="nil"/>
          <w:left w:val="nil"/>
          <w:bottom w:val="nil"/>
          <w:right w:val="nil"/>
          <w:between w:val="nil"/>
        </w:pBdr>
        <w:tabs>
          <w:tab w:val="left" w:pos="426"/>
        </w:tabs>
        <w:spacing w:line="360" w:lineRule="auto"/>
        <w:ind w:left="0" w:right="36" w:firstLine="0"/>
        <w:jc w:val="both"/>
        <w:rPr>
          <w:rFonts w:ascii="Arial" w:eastAsia="Arial" w:hAnsi="Arial" w:cs="Arial"/>
          <w:color w:val="000000"/>
          <w:sz w:val="24"/>
          <w:szCs w:val="24"/>
        </w:rPr>
      </w:pPr>
      <w:bookmarkStart w:id="3" w:name="_heading=h.1fob9te" w:colFirst="0" w:colLast="0"/>
      <w:bookmarkEnd w:id="3"/>
      <w:r>
        <w:rPr>
          <w:rFonts w:ascii="Arial" w:eastAsia="Arial" w:hAnsi="Arial" w:cs="Arial"/>
          <w:b/>
          <w:color w:val="000000"/>
          <w:sz w:val="24"/>
          <w:szCs w:val="24"/>
        </w:rPr>
        <w:t xml:space="preserve">En contra de Nora Ruvalcaba Gámez. </w:t>
      </w:r>
      <w:r>
        <w:rPr>
          <w:rFonts w:ascii="Arial" w:eastAsia="Arial" w:hAnsi="Arial" w:cs="Arial"/>
          <w:color w:val="000000"/>
          <w:sz w:val="24"/>
          <w:szCs w:val="24"/>
        </w:rPr>
        <w:t xml:space="preserve">El PAN refiere que la denunciada </w:t>
      </w:r>
      <w:r>
        <w:rPr>
          <w:rFonts w:ascii="Arial" w:eastAsia="Arial" w:hAnsi="Arial" w:cs="Arial"/>
          <w:b/>
          <w:color w:val="000000"/>
          <w:sz w:val="24"/>
          <w:szCs w:val="24"/>
        </w:rPr>
        <w:t xml:space="preserve">realizó la difusión de propaganda negra y calumniosa </w:t>
      </w:r>
      <w:r>
        <w:rPr>
          <w:rFonts w:ascii="Arial" w:eastAsia="Arial" w:hAnsi="Arial" w:cs="Arial"/>
          <w:color w:val="000000"/>
          <w:sz w:val="24"/>
          <w:szCs w:val="24"/>
        </w:rPr>
        <w:t xml:space="preserve">en perjuicio del propio instituto político, de la coalición “Va Por Aguascalientes” y de su candidata María Teresa Jiménez Esquivel, en atención a que, del contenido de la misma, se genera una imputación de hechos falsos, </w:t>
      </w:r>
      <w:r>
        <w:rPr>
          <w:rFonts w:ascii="Arial" w:eastAsia="Arial" w:hAnsi="Arial" w:cs="Arial"/>
          <w:sz w:val="24"/>
          <w:szCs w:val="24"/>
        </w:rPr>
        <w:t>sin elementos mínimos de respaldo, situación que denosta</w:t>
      </w:r>
      <w:r>
        <w:rPr>
          <w:rFonts w:ascii="Arial" w:eastAsia="Arial" w:hAnsi="Arial" w:cs="Arial"/>
          <w:color w:val="000000"/>
          <w:sz w:val="24"/>
          <w:szCs w:val="24"/>
        </w:rPr>
        <w:t xml:space="preserve"> la imagen y proyección política de los quejosos con impacto en el presente proceso electoral local</w:t>
      </w:r>
      <w:r>
        <w:rPr>
          <w:rFonts w:ascii="Arial" w:eastAsia="Arial" w:hAnsi="Arial" w:cs="Arial"/>
          <w:sz w:val="24"/>
          <w:szCs w:val="24"/>
        </w:rPr>
        <w:t>. El contenido de la publicación cuestionada, es el siguiente</w:t>
      </w:r>
      <w:r>
        <w:rPr>
          <w:rFonts w:ascii="Arial" w:eastAsia="Arial" w:hAnsi="Arial" w:cs="Arial"/>
          <w:color w:val="000000"/>
          <w:sz w:val="24"/>
          <w:szCs w:val="24"/>
        </w:rPr>
        <w:t xml:space="preserve">:  </w:t>
      </w:r>
    </w:p>
    <w:tbl>
      <w:tblPr>
        <w:tblStyle w:val="ab"/>
        <w:tblW w:w="9634" w:type="dxa"/>
        <w:jc w:val="center"/>
        <w:tblInd w:w="0" w:type="dxa"/>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Layout w:type="fixed"/>
        <w:tblLook w:val="0400" w:firstRow="0" w:lastRow="0" w:firstColumn="0" w:lastColumn="0" w:noHBand="0" w:noVBand="1"/>
      </w:tblPr>
      <w:tblGrid>
        <w:gridCol w:w="5098"/>
        <w:gridCol w:w="4536"/>
      </w:tblGrid>
      <w:tr w:rsidR="005B0C78" w14:paraId="1E64E143" w14:textId="77777777">
        <w:trPr>
          <w:jc w:val="center"/>
        </w:trPr>
        <w:tc>
          <w:tcPr>
            <w:tcW w:w="5098" w:type="dxa"/>
          </w:tcPr>
          <w:p w14:paraId="1202DC6B" w14:textId="77777777" w:rsidR="005B0C78" w:rsidRDefault="00F66729">
            <w:pPr>
              <w:tabs>
                <w:tab w:val="left" w:pos="426"/>
              </w:tabs>
              <w:spacing w:line="360" w:lineRule="auto"/>
              <w:ind w:right="36"/>
              <w:jc w:val="center"/>
              <w:rPr>
                <w:rFonts w:ascii="Arial" w:eastAsia="Arial" w:hAnsi="Arial" w:cs="Arial"/>
                <w:b/>
                <w:color w:val="000000"/>
                <w:sz w:val="24"/>
                <w:szCs w:val="24"/>
              </w:rPr>
            </w:pPr>
            <w:bookmarkStart w:id="4" w:name="_heading=h.a50fotyd8fjb" w:colFirst="0" w:colLast="0"/>
            <w:bookmarkEnd w:id="4"/>
            <w:r>
              <w:rPr>
                <w:rFonts w:ascii="Arial" w:eastAsia="Arial" w:hAnsi="Arial" w:cs="Arial"/>
                <w:b/>
                <w:color w:val="000000"/>
                <w:sz w:val="24"/>
                <w:szCs w:val="24"/>
              </w:rPr>
              <w:t>Imagen</w:t>
            </w:r>
          </w:p>
        </w:tc>
        <w:tc>
          <w:tcPr>
            <w:tcW w:w="4536" w:type="dxa"/>
          </w:tcPr>
          <w:p w14:paraId="12CEB0E4" w14:textId="77777777" w:rsidR="005B0C78" w:rsidRDefault="00F66729">
            <w:pPr>
              <w:tabs>
                <w:tab w:val="left" w:pos="426"/>
              </w:tabs>
              <w:spacing w:line="360" w:lineRule="auto"/>
              <w:ind w:right="36"/>
              <w:jc w:val="center"/>
              <w:rPr>
                <w:rFonts w:ascii="Arial" w:eastAsia="Arial" w:hAnsi="Arial" w:cs="Arial"/>
                <w:b/>
                <w:color w:val="000000"/>
                <w:sz w:val="24"/>
                <w:szCs w:val="24"/>
              </w:rPr>
            </w:pPr>
            <w:r>
              <w:rPr>
                <w:rFonts w:ascii="Arial" w:eastAsia="Arial" w:hAnsi="Arial" w:cs="Arial"/>
                <w:b/>
                <w:color w:val="000000"/>
                <w:sz w:val="24"/>
                <w:szCs w:val="24"/>
              </w:rPr>
              <w:t>Contenido</w:t>
            </w:r>
          </w:p>
        </w:tc>
      </w:tr>
      <w:tr w:rsidR="005B0C78" w14:paraId="0D12C475" w14:textId="77777777">
        <w:trPr>
          <w:jc w:val="center"/>
        </w:trPr>
        <w:tc>
          <w:tcPr>
            <w:tcW w:w="9634" w:type="dxa"/>
            <w:gridSpan w:val="2"/>
          </w:tcPr>
          <w:p w14:paraId="1F22974A" w14:textId="77777777" w:rsidR="005B0C78" w:rsidRDefault="00F66729">
            <w:pPr>
              <w:tabs>
                <w:tab w:val="left" w:pos="426"/>
              </w:tabs>
              <w:spacing w:line="360" w:lineRule="auto"/>
              <w:ind w:right="36"/>
              <w:jc w:val="center"/>
              <w:rPr>
                <w:rFonts w:ascii="Arial" w:eastAsia="Arial" w:hAnsi="Arial" w:cs="Arial"/>
                <w:b/>
                <w:color w:val="000000"/>
                <w:sz w:val="24"/>
                <w:szCs w:val="24"/>
              </w:rPr>
            </w:pPr>
            <w:r>
              <w:rPr>
                <w:rFonts w:ascii="Arial" w:eastAsia="Arial" w:hAnsi="Arial" w:cs="Arial"/>
                <w:b/>
                <w:color w:val="000000"/>
                <w:sz w:val="24"/>
                <w:szCs w:val="24"/>
              </w:rPr>
              <w:t xml:space="preserve">Encabezado de la publicación </w:t>
            </w:r>
          </w:p>
        </w:tc>
      </w:tr>
      <w:tr w:rsidR="005B0C78" w14:paraId="0EB6AF2E" w14:textId="77777777">
        <w:trPr>
          <w:trHeight w:val="692"/>
          <w:jc w:val="center"/>
        </w:trPr>
        <w:tc>
          <w:tcPr>
            <w:tcW w:w="5098" w:type="dxa"/>
          </w:tcPr>
          <w:p w14:paraId="2407766D" w14:textId="77777777" w:rsidR="005B0C78" w:rsidRDefault="00F66729">
            <w:pPr>
              <w:tabs>
                <w:tab w:val="left" w:pos="426"/>
              </w:tabs>
              <w:spacing w:line="360" w:lineRule="auto"/>
              <w:ind w:right="36"/>
              <w:jc w:val="center"/>
              <w:rPr>
                <w:rFonts w:ascii="Arial" w:eastAsia="Arial" w:hAnsi="Arial" w:cs="Arial"/>
                <w:color w:val="000000"/>
                <w:sz w:val="24"/>
                <w:szCs w:val="24"/>
              </w:rPr>
            </w:pPr>
            <w:r>
              <w:rPr>
                <w:noProof/>
              </w:rPr>
              <w:drawing>
                <wp:inline distT="0" distB="0" distL="0" distR="0" wp14:anchorId="12D8F0FC" wp14:editId="27A19C9C">
                  <wp:extent cx="2941425" cy="1095870"/>
                  <wp:effectExtent l="0" t="0" r="0" b="0"/>
                  <wp:docPr id="8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l="40350" t="24829" r="36292" b="59698"/>
                          <a:stretch>
                            <a:fillRect/>
                          </a:stretch>
                        </pic:blipFill>
                        <pic:spPr>
                          <a:xfrm>
                            <a:off x="0" y="0"/>
                            <a:ext cx="2941425" cy="1095870"/>
                          </a:xfrm>
                          <a:prstGeom prst="rect">
                            <a:avLst/>
                          </a:prstGeom>
                          <a:ln/>
                        </pic:spPr>
                      </pic:pic>
                    </a:graphicData>
                  </a:graphic>
                </wp:inline>
              </w:drawing>
            </w:r>
          </w:p>
          <w:p w14:paraId="4D56F6BC" w14:textId="77777777" w:rsidR="005B0C78" w:rsidRDefault="00F66729">
            <w:pPr>
              <w:tabs>
                <w:tab w:val="left" w:pos="426"/>
              </w:tabs>
              <w:spacing w:line="360" w:lineRule="auto"/>
              <w:ind w:right="36"/>
              <w:jc w:val="center"/>
              <w:rPr>
                <w:rFonts w:ascii="Arial" w:eastAsia="Arial" w:hAnsi="Arial" w:cs="Arial"/>
                <w:color w:val="000000"/>
                <w:sz w:val="24"/>
                <w:szCs w:val="24"/>
              </w:rPr>
            </w:pPr>
            <w:r>
              <w:rPr>
                <w:noProof/>
              </w:rPr>
              <w:drawing>
                <wp:inline distT="0" distB="0" distL="0" distR="0" wp14:anchorId="7E01D4D3" wp14:editId="274E9FC9">
                  <wp:extent cx="2893156" cy="1446991"/>
                  <wp:effectExtent l="0" t="0" r="0" b="0"/>
                  <wp:docPr id="8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
                          <a:srcRect l="12999" t="19656" r="47434" b="45160"/>
                          <a:stretch>
                            <a:fillRect/>
                          </a:stretch>
                        </pic:blipFill>
                        <pic:spPr>
                          <a:xfrm>
                            <a:off x="0" y="0"/>
                            <a:ext cx="2893156" cy="1446991"/>
                          </a:xfrm>
                          <a:prstGeom prst="rect">
                            <a:avLst/>
                          </a:prstGeom>
                          <a:ln/>
                        </pic:spPr>
                      </pic:pic>
                    </a:graphicData>
                  </a:graphic>
                </wp:inline>
              </w:drawing>
            </w:r>
          </w:p>
        </w:tc>
        <w:tc>
          <w:tcPr>
            <w:tcW w:w="4536" w:type="dxa"/>
          </w:tcPr>
          <w:p w14:paraId="1C445A8C" w14:textId="77777777" w:rsidR="005B0C78" w:rsidRDefault="00F66729">
            <w:pPr>
              <w:pBdr>
                <w:top w:val="nil"/>
                <w:left w:val="nil"/>
                <w:bottom w:val="nil"/>
                <w:right w:val="nil"/>
                <w:between w:val="nil"/>
              </w:pBdr>
              <w:ind w:left="179" w:right="174"/>
              <w:jc w:val="both"/>
              <w:rPr>
                <w:rFonts w:ascii="Arial" w:eastAsia="Arial" w:hAnsi="Arial" w:cs="Arial"/>
                <w:i/>
                <w:color w:val="000000"/>
                <w:sz w:val="24"/>
                <w:szCs w:val="24"/>
              </w:rPr>
            </w:pPr>
            <w:r>
              <w:rPr>
                <w:rFonts w:ascii="Arial" w:eastAsia="Arial" w:hAnsi="Arial" w:cs="Arial"/>
                <w:i/>
                <w:color w:val="000000"/>
                <w:sz w:val="24"/>
                <w:szCs w:val="24"/>
              </w:rPr>
              <w:t>Texto en Facebook:</w:t>
            </w:r>
          </w:p>
          <w:p w14:paraId="055274F2" w14:textId="77777777" w:rsidR="005B0C78" w:rsidRDefault="005B0C78">
            <w:pPr>
              <w:pBdr>
                <w:top w:val="nil"/>
                <w:left w:val="nil"/>
                <w:bottom w:val="nil"/>
                <w:right w:val="nil"/>
                <w:between w:val="nil"/>
              </w:pBdr>
              <w:ind w:left="179" w:right="174"/>
              <w:jc w:val="both"/>
              <w:rPr>
                <w:color w:val="000000"/>
              </w:rPr>
            </w:pPr>
          </w:p>
          <w:p w14:paraId="475D1159" w14:textId="77777777" w:rsidR="005B0C78" w:rsidRDefault="00F66729">
            <w:pPr>
              <w:pBdr>
                <w:top w:val="nil"/>
                <w:left w:val="nil"/>
                <w:bottom w:val="nil"/>
                <w:right w:val="nil"/>
                <w:between w:val="nil"/>
              </w:pBdr>
              <w:ind w:left="179" w:right="174"/>
              <w:jc w:val="both"/>
              <w:rPr>
                <w:rFonts w:ascii="Arial" w:eastAsia="Arial" w:hAnsi="Arial" w:cs="Arial"/>
                <w:b/>
                <w:color w:val="000000"/>
                <w:sz w:val="24"/>
                <w:szCs w:val="24"/>
              </w:rPr>
            </w:pPr>
            <w:r>
              <w:rPr>
                <w:rFonts w:ascii="Arial" w:eastAsia="Arial" w:hAnsi="Arial" w:cs="Arial"/>
                <w:color w:val="000000"/>
                <w:sz w:val="24"/>
                <w:szCs w:val="24"/>
              </w:rPr>
              <w:t xml:space="preserve">“Hoy el PAN pide paneles solares gratuitos, claro, para seguir llenándose los bolsillos. Para muestra Aguascalientes y </w:t>
            </w:r>
            <w:r>
              <w:rPr>
                <w:rFonts w:ascii="Arial" w:eastAsia="Arial" w:hAnsi="Arial" w:cs="Arial"/>
                <w:b/>
                <w:color w:val="000000"/>
                <w:sz w:val="24"/>
                <w:szCs w:val="24"/>
              </w:rPr>
              <w:t xml:space="preserve">28 MIL MILLONES de pesos tirados a la basura por la candidata del PRIAN Teresa Jiménez. </w:t>
            </w:r>
          </w:p>
          <w:p w14:paraId="586F6E54" w14:textId="77777777" w:rsidR="005B0C78" w:rsidRDefault="00F66729">
            <w:pPr>
              <w:pBdr>
                <w:top w:val="nil"/>
                <w:left w:val="nil"/>
                <w:bottom w:val="nil"/>
                <w:right w:val="nil"/>
                <w:between w:val="nil"/>
              </w:pBdr>
              <w:ind w:left="179" w:right="174"/>
              <w:jc w:val="both"/>
              <w:rPr>
                <w:rFonts w:ascii="Arial" w:eastAsia="Arial" w:hAnsi="Arial" w:cs="Arial"/>
                <w:color w:val="000000"/>
                <w:sz w:val="24"/>
                <w:szCs w:val="24"/>
              </w:rPr>
            </w:pPr>
            <w:r>
              <w:rPr>
                <w:rFonts w:ascii="Arial" w:eastAsia="Arial" w:hAnsi="Arial" w:cs="Arial"/>
                <w:color w:val="000000"/>
                <w:sz w:val="24"/>
                <w:szCs w:val="24"/>
              </w:rPr>
              <w:t xml:space="preserve">Dale una oportunidad al cambio, yo no te voy a fallar. </w:t>
            </w:r>
          </w:p>
          <w:p w14:paraId="45E8750A" w14:textId="77777777" w:rsidR="005B0C78" w:rsidRDefault="00F66729">
            <w:pPr>
              <w:pBdr>
                <w:top w:val="nil"/>
                <w:left w:val="nil"/>
                <w:bottom w:val="nil"/>
                <w:right w:val="nil"/>
                <w:between w:val="nil"/>
              </w:pBdr>
              <w:ind w:left="179" w:right="174"/>
              <w:jc w:val="both"/>
              <w:rPr>
                <w:rFonts w:ascii="Arial" w:eastAsia="Arial" w:hAnsi="Arial" w:cs="Arial"/>
                <w:color w:val="000000"/>
                <w:sz w:val="24"/>
                <w:szCs w:val="24"/>
              </w:rPr>
            </w:pPr>
            <w:r>
              <w:rPr>
                <w:rFonts w:ascii="Arial" w:eastAsia="Arial" w:hAnsi="Arial" w:cs="Arial"/>
                <w:color w:val="000000"/>
                <w:sz w:val="24"/>
                <w:szCs w:val="24"/>
              </w:rPr>
              <w:t>#PanelesDeCorrupción”</w:t>
            </w:r>
          </w:p>
          <w:p w14:paraId="01DEE963" w14:textId="77777777" w:rsidR="005B0C78" w:rsidRDefault="005B0C78">
            <w:pPr>
              <w:pBdr>
                <w:top w:val="nil"/>
                <w:left w:val="nil"/>
                <w:bottom w:val="nil"/>
                <w:right w:val="nil"/>
                <w:between w:val="nil"/>
              </w:pBdr>
              <w:ind w:left="179" w:right="174"/>
              <w:jc w:val="both"/>
              <w:rPr>
                <w:rFonts w:ascii="Arial" w:eastAsia="Arial" w:hAnsi="Arial" w:cs="Arial"/>
                <w:color w:val="000000"/>
                <w:sz w:val="24"/>
                <w:szCs w:val="24"/>
              </w:rPr>
            </w:pPr>
          </w:p>
          <w:p w14:paraId="5FAC2BE4" w14:textId="77777777" w:rsidR="005B0C78" w:rsidRDefault="00F66729">
            <w:pPr>
              <w:pBdr>
                <w:top w:val="nil"/>
                <w:left w:val="nil"/>
                <w:bottom w:val="nil"/>
                <w:right w:val="nil"/>
                <w:between w:val="nil"/>
              </w:pBdr>
              <w:ind w:left="179" w:right="174"/>
              <w:jc w:val="both"/>
              <w:rPr>
                <w:rFonts w:ascii="Arial" w:eastAsia="Arial" w:hAnsi="Arial" w:cs="Arial"/>
                <w:i/>
                <w:color w:val="000000"/>
                <w:sz w:val="24"/>
                <w:szCs w:val="24"/>
              </w:rPr>
            </w:pPr>
            <w:r>
              <w:rPr>
                <w:rFonts w:ascii="Arial" w:eastAsia="Arial" w:hAnsi="Arial" w:cs="Arial"/>
                <w:i/>
                <w:color w:val="000000"/>
                <w:sz w:val="24"/>
                <w:szCs w:val="24"/>
              </w:rPr>
              <w:t>Texto en Twitter:</w:t>
            </w:r>
          </w:p>
          <w:p w14:paraId="6B1CBB1F" w14:textId="77777777" w:rsidR="005B0C78" w:rsidRDefault="005B0C78">
            <w:pPr>
              <w:pBdr>
                <w:top w:val="nil"/>
                <w:left w:val="nil"/>
                <w:bottom w:val="nil"/>
                <w:right w:val="nil"/>
                <w:between w:val="nil"/>
              </w:pBdr>
              <w:ind w:left="179" w:right="174"/>
              <w:jc w:val="both"/>
              <w:rPr>
                <w:rFonts w:ascii="Arial" w:eastAsia="Arial" w:hAnsi="Arial" w:cs="Arial"/>
                <w:i/>
                <w:color w:val="000000"/>
                <w:sz w:val="24"/>
                <w:szCs w:val="24"/>
              </w:rPr>
            </w:pPr>
          </w:p>
          <w:p w14:paraId="48437751" w14:textId="77777777" w:rsidR="005B0C78" w:rsidRDefault="00F66729">
            <w:pPr>
              <w:pBdr>
                <w:top w:val="nil"/>
                <w:left w:val="nil"/>
                <w:bottom w:val="nil"/>
                <w:right w:val="nil"/>
                <w:between w:val="nil"/>
              </w:pBdr>
              <w:ind w:left="179" w:right="174"/>
              <w:jc w:val="both"/>
              <w:rPr>
                <w:rFonts w:ascii="Arial" w:eastAsia="Arial" w:hAnsi="Arial" w:cs="Arial"/>
                <w:color w:val="000000"/>
                <w:sz w:val="24"/>
                <w:szCs w:val="24"/>
              </w:rPr>
            </w:pPr>
            <w:r>
              <w:rPr>
                <w:rFonts w:ascii="Arial" w:eastAsia="Arial" w:hAnsi="Arial" w:cs="Arial"/>
                <w:color w:val="000000"/>
                <w:sz w:val="24"/>
                <w:szCs w:val="24"/>
              </w:rPr>
              <w:t xml:space="preserve">“Hoy el PAN pide paneles solares gratuitos, claro, para seguir llenándose los bolsillos. Para muestra Aguascalientes y 28 MIL MILLONES de pesos tirados a la basura por la candidata del PRIAN. </w:t>
            </w:r>
          </w:p>
          <w:p w14:paraId="5F453D5C" w14:textId="77777777" w:rsidR="005B0C78" w:rsidRDefault="00F66729">
            <w:pPr>
              <w:pBdr>
                <w:top w:val="nil"/>
                <w:left w:val="nil"/>
                <w:bottom w:val="nil"/>
                <w:right w:val="nil"/>
                <w:between w:val="nil"/>
              </w:pBdr>
              <w:ind w:left="179" w:right="174"/>
              <w:jc w:val="both"/>
              <w:rPr>
                <w:rFonts w:ascii="Arial" w:eastAsia="Arial" w:hAnsi="Arial" w:cs="Arial"/>
                <w:color w:val="000000"/>
                <w:sz w:val="24"/>
                <w:szCs w:val="24"/>
              </w:rPr>
            </w:pPr>
            <w:r>
              <w:rPr>
                <w:rFonts w:ascii="Arial" w:eastAsia="Arial" w:hAnsi="Arial" w:cs="Arial"/>
                <w:color w:val="000000"/>
                <w:sz w:val="24"/>
                <w:szCs w:val="24"/>
              </w:rPr>
              <w:t xml:space="preserve">Dale una oportunidad al cambio, yo no te voy a fallar. </w:t>
            </w:r>
          </w:p>
          <w:p w14:paraId="7E4FD194" w14:textId="77777777" w:rsidR="005B0C78" w:rsidRDefault="00F66729">
            <w:pPr>
              <w:pBdr>
                <w:top w:val="nil"/>
                <w:left w:val="nil"/>
                <w:bottom w:val="nil"/>
                <w:right w:val="nil"/>
                <w:between w:val="nil"/>
              </w:pBdr>
              <w:ind w:left="179" w:right="174"/>
              <w:jc w:val="both"/>
              <w:rPr>
                <w:rFonts w:ascii="Arial" w:eastAsia="Arial" w:hAnsi="Arial" w:cs="Arial"/>
                <w:color w:val="000000"/>
                <w:sz w:val="24"/>
                <w:szCs w:val="24"/>
              </w:rPr>
            </w:pPr>
            <w:r>
              <w:rPr>
                <w:rFonts w:ascii="Arial" w:eastAsia="Arial" w:hAnsi="Arial" w:cs="Arial"/>
                <w:color w:val="000000"/>
                <w:sz w:val="24"/>
                <w:szCs w:val="24"/>
              </w:rPr>
              <w:t>#PanelesDeCorrupción</w:t>
            </w:r>
          </w:p>
          <w:p w14:paraId="57280ED4" w14:textId="77777777" w:rsidR="005B0C78" w:rsidRDefault="00F66729">
            <w:pPr>
              <w:pBdr>
                <w:top w:val="nil"/>
                <w:left w:val="nil"/>
                <w:bottom w:val="nil"/>
                <w:right w:val="nil"/>
                <w:between w:val="nil"/>
              </w:pBdr>
              <w:ind w:left="179" w:right="174"/>
              <w:jc w:val="both"/>
              <w:rPr>
                <w:rFonts w:ascii="Arial" w:eastAsia="Arial" w:hAnsi="Arial" w:cs="Arial"/>
                <w:color w:val="000000"/>
                <w:sz w:val="24"/>
                <w:szCs w:val="24"/>
              </w:rPr>
            </w:pPr>
            <w:r>
              <w:rPr>
                <w:rFonts w:ascii="Arial" w:eastAsia="Arial" w:hAnsi="Arial" w:cs="Arial"/>
                <w:color w:val="000000"/>
                <w:sz w:val="24"/>
                <w:szCs w:val="24"/>
              </w:rPr>
              <w:t>c.c.p. @MarkoCortes”</w:t>
            </w:r>
          </w:p>
          <w:p w14:paraId="36CDC2CB" w14:textId="77777777" w:rsidR="005B0C78" w:rsidRDefault="005B0C78">
            <w:pPr>
              <w:pBdr>
                <w:top w:val="nil"/>
                <w:left w:val="nil"/>
                <w:bottom w:val="nil"/>
                <w:right w:val="nil"/>
                <w:between w:val="nil"/>
              </w:pBdr>
              <w:ind w:left="179" w:right="174"/>
              <w:jc w:val="both"/>
              <w:rPr>
                <w:rFonts w:ascii="Arial" w:eastAsia="Arial" w:hAnsi="Arial" w:cs="Arial"/>
                <w:color w:val="000000"/>
                <w:sz w:val="24"/>
                <w:szCs w:val="24"/>
              </w:rPr>
            </w:pPr>
          </w:p>
        </w:tc>
      </w:tr>
      <w:tr w:rsidR="005B0C78" w14:paraId="57702197" w14:textId="77777777">
        <w:trPr>
          <w:trHeight w:val="409"/>
          <w:jc w:val="center"/>
        </w:trPr>
        <w:tc>
          <w:tcPr>
            <w:tcW w:w="9634" w:type="dxa"/>
            <w:gridSpan w:val="2"/>
          </w:tcPr>
          <w:p w14:paraId="116B2B7D" w14:textId="77777777" w:rsidR="005B0C78" w:rsidRDefault="00F66729">
            <w:pPr>
              <w:pBdr>
                <w:top w:val="nil"/>
                <w:left w:val="nil"/>
                <w:bottom w:val="nil"/>
                <w:right w:val="nil"/>
                <w:between w:val="nil"/>
              </w:pBdr>
              <w:ind w:left="179" w:right="174"/>
              <w:jc w:val="center"/>
              <w:rPr>
                <w:rFonts w:ascii="Arial" w:eastAsia="Arial" w:hAnsi="Arial" w:cs="Arial"/>
                <w:b/>
                <w:color w:val="000000"/>
                <w:sz w:val="24"/>
                <w:szCs w:val="24"/>
              </w:rPr>
            </w:pPr>
            <w:r>
              <w:rPr>
                <w:rFonts w:ascii="Arial" w:eastAsia="Arial" w:hAnsi="Arial" w:cs="Arial"/>
                <w:b/>
                <w:color w:val="000000"/>
                <w:sz w:val="24"/>
                <w:szCs w:val="24"/>
              </w:rPr>
              <w:t>Contenido del video</w:t>
            </w:r>
          </w:p>
        </w:tc>
      </w:tr>
      <w:tr w:rsidR="005B0C78" w14:paraId="040504CF" w14:textId="77777777">
        <w:trPr>
          <w:trHeight w:val="1957"/>
          <w:jc w:val="center"/>
        </w:trPr>
        <w:tc>
          <w:tcPr>
            <w:tcW w:w="5098" w:type="dxa"/>
          </w:tcPr>
          <w:p w14:paraId="03C58D21" w14:textId="77777777" w:rsidR="005B0C78" w:rsidRDefault="00F66729">
            <w:pPr>
              <w:tabs>
                <w:tab w:val="left" w:pos="426"/>
              </w:tabs>
              <w:spacing w:line="360" w:lineRule="auto"/>
              <w:ind w:right="36"/>
              <w:jc w:val="center"/>
              <w:rPr>
                <w:rFonts w:ascii="Arial" w:eastAsia="Arial" w:hAnsi="Arial" w:cs="Arial"/>
                <w:color w:val="000000"/>
                <w:sz w:val="24"/>
                <w:szCs w:val="24"/>
              </w:rPr>
            </w:pPr>
            <w:r>
              <w:rPr>
                <w:noProof/>
              </w:rPr>
              <w:lastRenderedPageBreak/>
              <w:drawing>
                <wp:inline distT="0" distB="0" distL="0" distR="0" wp14:anchorId="0E54A2B0" wp14:editId="5FF1E40C">
                  <wp:extent cx="2697040" cy="1499697"/>
                  <wp:effectExtent l="0" t="0" r="0" b="0"/>
                  <wp:docPr id="8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
                          <a:srcRect l="55863" t="28636" r="1649" b="29358"/>
                          <a:stretch>
                            <a:fillRect/>
                          </a:stretch>
                        </pic:blipFill>
                        <pic:spPr>
                          <a:xfrm>
                            <a:off x="0" y="0"/>
                            <a:ext cx="2697040" cy="1499697"/>
                          </a:xfrm>
                          <a:prstGeom prst="rect">
                            <a:avLst/>
                          </a:prstGeom>
                          <a:ln/>
                        </pic:spPr>
                      </pic:pic>
                    </a:graphicData>
                  </a:graphic>
                </wp:inline>
              </w:drawing>
            </w:r>
          </w:p>
        </w:tc>
        <w:tc>
          <w:tcPr>
            <w:tcW w:w="4536" w:type="dxa"/>
          </w:tcPr>
          <w:p w14:paraId="4CC3D459" w14:textId="77777777" w:rsidR="005B0C78" w:rsidRDefault="00F66729">
            <w:pPr>
              <w:pBdr>
                <w:top w:val="nil"/>
                <w:left w:val="nil"/>
                <w:bottom w:val="nil"/>
                <w:right w:val="nil"/>
                <w:between w:val="nil"/>
              </w:pBdr>
              <w:ind w:left="179" w:right="174"/>
              <w:jc w:val="both"/>
              <w:rPr>
                <w:rFonts w:ascii="Arial" w:eastAsia="Arial" w:hAnsi="Arial" w:cs="Arial"/>
                <w:i/>
                <w:color w:val="000000"/>
                <w:sz w:val="24"/>
                <w:szCs w:val="24"/>
              </w:rPr>
            </w:pPr>
            <w:r>
              <w:rPr>
                <w:rFonts w:ascii="Arial" w:eastAsia="Arial" w:hAnsi="Arial" w:cs="Arial"/>
                <w:i/>
                <w:color w:val="000000"/>
                <w:sz w:val="24"/>
                <w:szCs w:val="24"/>
              </w:rPr>
              <w:t>Voz de la candidata denunciada:</w:t>
            </w:r>
          </w:p>
          <w:p w14:paraId="0FB63E5D" w14:textId="77777777" w:rsidR="005B0C78" w:rsidRDefault="005B0C78">
            <w:pPr>
              <w:pBdr>
                <w:top w:val="nil"/>
                <w:left w:val="nil"/>
                <w:bottom w:val="nil"/>
                <w:right w:val="nil"/>
                <w:between w:val="nil"/>
              </w:pBdr>
              <w:ind w:left="179" w:right="174"/>
              <w:jc w:val="both"/>
              <w:rPr>
                <w:rFonts w:ascii="Arial" w:eastAsia="Arial" w:hAnsi="Arial" w:cs="Arial"/>
                <w:color w:val="000000"/>
                <w:sz w:val="24"/>
                <w:szCs w:val="24"/>
              </w:rPr>
            </w:pPr>
          </w:p>
          <w:p w14:paraId="5D833C11" w14:textId="77777777" w:rsidR="005B0C78" w:rsidRDefault="00F66729">
            <w:pPr>
              <w:pBdr>
                <w:top w:val="nil"/>
                <w:left w:val="nil"/>
                <w:bottom w:val="nil"/>
                <w:right w:val="nil"/>
                <w:between w:val="nil"/>
              </w:pBdr>
              <w:ind w:left="179" w:right="174"/>
              <w:jc w:val="both"/>
              <w:rPr>
                <w:rFonts w:ascii="Arial" w:eastAsia="Arial" w:hAnsi="Arial" w:cs="Arial"/>
                <w:color w:val="000000"/>
                <w:sz w:val="24"/>
                <w:szCs w:val="24"/>
              </w:rPr>
            </w:pPr>
            <w:r>
              <w:rPr>
                <w:rFonts w:ascii="Arial" w:eastAsia="Arial" w:hAnsi="Arial" w:cs="Arial"/>
                <w:color w:val="000000"/>
                <w:sz w:val="24"/>
                <w:szCs w:val="24"/>
              </w:rPr>
              <w:t xml:space="preserve">“Vine a conocer otro de los </w:t>
            </w:r>
            <w:r>
              <w:rPr>
                <w:rFonts w:ascii="Arial" w:eastAsia="Arial" w:hAnsi="Arial" w:cs="Arial"/>
                <w:b/>
                <w:color w:val="000000"/>
                <w:sz w:val="24"/>
                <w:szCs w:val="24"/>
              </w:rPr>
              <w:t>emblemas de la corrupción de Teresa Jiménez,</w:t>
            </w:r>
            <w:r>
              <w:rPr>
                <w:rFonts w:ascii="Arial" w:eastAsia="Arial" w:hAnsi="Arial" w:cs="Arial"/>
                <w:color w:val="000000"/>
                <w:sz w:val="24"/>
                <w:szCs w:val="24"/>
              </w:rPr>
              <w:t xml:space="preserve"> el parque de energía solar que no produce energía. </w:t>
            </w:r>
          </w:p>
          <w:p w14:paraId="0EA4408E" w14:textId="77777777" w:rsidR="005B0C78" w:rsidRDefault="005B0C78">
            <w:pPr>
              <w:pBdr>
                <w:top w:val="nil"/>
                <w:left w:val="nil"/>
                <w:bottom w:val="nil"/>
                <w:right w:val="nil"/>
                <w:between w:val="nil"/>
              </w:pBdr>
              <w:ind w:left="179" w:right="174"/>
              <w:jc w:val="both"/>
              <w:rPr>
                <w:rFonts w:ascii="Arial" w:eastAsia="Arial" w:hAnsi="Arial" w:cs="Arial"/>
                <w:color w:val="000000"/>
                <w:sz w:val="24"/>
                <w:szCs w:val="24"/>
              </w:rPr>
            </w:pPr>
          </w:p>
          <w:p w14:paraId="4E4D3C09" w14:textId="77777777" w:rsidR="005B0C78" w:rsidRDefault="005B0C78">
            <w:pPr>
              <w:pBdr>
                <w:top w:val="nil"/>
                <w:left w:val="nil"/>
                <w:bottom w:val="nil"/>
                <w:right w:val="nil"/>
                <w:between w:val="nil"/>
              </w:pBdr>
              <w:ind w:left="179" w:right="174"/>
              <w:jc w:val="both"/>
              <w:rPr>
                <w:rFonts w:ascii="Arial" w:eastAsia="Arial" w:hAnsi="Arial" w:cs="Arial"/>
                <w:color w:val="000000"/>
                <w:sz w:val="24"/>
                <w:szCs w:val="24"/>
              </w:rPr>
            </w:pPr>
          </w:p>
        </w:tc>
      </w:tr>
      <w:tr w:rsidR="005B0C78" w14:paraId="744CC899" w14:textId="77777777">
        <w:trPr>
          <w:trHeight w:val="2114"/>
          <w:jc w:val="center"/>
        </w:trPr>
        <w:tc>
          <w:tcPr>
            <w:tcW w:w="5098" w:type="dxa"/>
          </w:tcPr>
          <w:p w14:paraId="4F961D04" w14:textId="77777777" w:rsidR="005B0C78" w:rsidRDefault="00F66729">
            <w:pPr>
              <w:tabs>
                <w:tab w:val="right" w:pos="4846"/>
              </w:tabs>
              <w:spacing w:line="360" w:lineRule="auto"/>
              <w:ind w:right="36"/>
              <w:jc w:val="center"/>
              <w:rPr>
                <w:rFonts w:ascii="Arial" w:eastAsia="Arial" w:hAnsi="Arial" w:cs="Arial"/>
                <w:color w:val="000000"/>
                <w:sz w:val="24"/>
                <w:szCs w:val="24"/>
              </w:rPr>
            </w:pPr>
            <w:r>
              <w:rPr>
                <w:noProof/>
              </w:rPr>
              <w:drawing>
                <wp:inline distT="0" distB="0" distL="0" distR="0" wp14:anchorId="5DC67D58" wp14:editId="22C382C5">
                  <wp:extent cx="2694445" cy="1506440"/>
                  <wp:effectExtent l="0" t="0" r="0" b="0"/>
                  <wp:docPr id="9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2"/>
                          <a:srcRect l="55863" t="28278" r="1454" b="29295"/>
                          <a:stretch>
                            <a:fillRect/>
                          </a:stretch>
                        </pic:blipFill>
                        <pic:spPr>
                          <a:xfrm>
                            <a:off x="0" y="0"/>
                            <a:ext cx="2694445" cy="1506440"/>
                          </a:xfrm>
                          <a:prstGeom prst="rect">
                            <a:avLst/>
                          </a:prstGeom>
                          <a:ln/>
                        </pic:spPr>
                      </pic:pic>
                    </a:graphicData>
                  </a:graphic>
                </wp:inline>
              </w:drawing>
            </w:r>
          </w:p>
        </w:tc>
        <w:tc>
          <w:tcPr>
            <w:tcW w:w="4536" w:type="dxa"/>
          </w:tcPr>
          <w:p w14:paraId="4CE3F58C" w14:textId="77777777" w:rsidR="005B0C78" w:rsidRDefault="00F66729">
            <w:pPr>
              <w:pBdr>
                <w:top w:val="nil"/>
                <w:left w:val="nil"/>
                <w:bottom w:val="nil"/>
                <w:right w:val="nil"/>
                <w:between w:val="nil"/>
              </w:pBdr>
              <w:ind w:left="179" w:right="174"/>
              <w:jc w:val="both"/>
              <w:rPr>
                <w:rFonts w:ascii="Arial" w:eastAsia="Arial" w:hAnsi="Arial" w:cs="Arial"/>
                <w:color w:val="000000"/>
                <w:sz w:val="24"/>
                <w:szCs w:val="24"/>
              </w:rPr>
            </w:pPr>
            <w:r>
              <w:rPr>
                <w:rFonts w:ascii="Arial" w:eastAsia="Arial" w:hAnsi="Arial" w:cs="Arial"/>
                <w:color w:val="000000"/>
                <w:sz w:val="24"/>
                <w:szCs w:val="24"/>
              </w:rPr>
              <w:t xml:space="preserve">Este mes se cumplen dos años que esta planta debió haber entrado en operaciones, sin embargo, en dos años no ha producido la energía suficiente ni para que se les prenda el foco. </w:t>
            </w:r>
          </w:p>
          <w:p w14:paraId="604FE68E" w14:textId="77777777" w:rsidR="005B0C78" w:rsidRDefault="005B0C78">
            <w:pPr>
              <w:pBdr>
                <w:top w:val="nil"/>
                <w:left w:val="nil"/>
                <w:bottom w:val="nil"/>
                <w:right w:val="nil"/>
                <w:between w:val="nil"/>
              </w:pBdr>
              <w:ind w:left="539" w:right="174"/>
              <w:jc w:val="both"/>
              <w:rPr>
                <w:rFonts w:ascii="Arial" w:eastAsia="Arial" w:hAnsi="Arial" w:cs="Arial"/>
                <w:color w:val="000000"/>
                <w:sz w:val="24"/>
                <w:szCs w:val="24"/>
              </w:rPr>
            </w:pPr>
          </w:p>
        </w:tc>
      </w:tr>
      <w:tr w:rsidR="005B0C78" w14:paraId="594BE173" w14:textId="77777777">
        <w:trPr>
          <w:trHeight w:val="2398"/>
          <w:jc w:val="center"/>
        </w:trPr>
        <w:tc>
          <w:tcPr>
            <w:tcW w:w="5098" w:type="dxa"/>
          </w:tcPr>
          <w:p w14:paraId="40B88ED1" w14:textId="77777777" w:rsidR="005B0C78" w:rsidRDefault="00F66729">
            <w:pPr>
              <w:tabs>
                <w:tab w:val="left" w:pos="426"/>
              </w:tabs>
              <w:spacing w:line="360" w:lineRule="auto"/>
              <w:ind w:right="36"/>
              <w:jc w:val="center"/>
              <w:rPr>
                <w:rFonts w:ascii="Arial" w:eastAsia="Arial" w:hAnsi="Arial" w:cs="Arial"/>
                <w:color w:val="000000"/>
                <w:sz w:val="24"/>
                <w:szCs w:val="24"/>
              </w:rPr>
            </w:pPr>
            <w:r>
              <w:rPr>
                <w:noProof/>
              </w:rPr>
              <w:drawing>
                <wp:inline distT="0" distB="0" distL="0" distR="0" wp14:anchorId="417C8553" wp14:editId="61139F1C">
                  <wp:extent cx="2690278" cy="1504111"/>
                  <wp:effectExtent l="0" t="0" r="0" b="0"/>
                  <wp:docPr id="9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3"/>
                          <a:srcRect l="56056" t="28623" r="1263" b="28951"/>
                          <a:stretch>
                            <a:fillRect/>
                          </a:stretch>
                        </pic:blipFill>
                        <pic:spPr>
                          <a:xfrm>
                            <a:off x="0" y="0"/>
                            <a:ext cx="2690278" cy="1504111"/>
                          </a:xfrm>
                          <a:prstGeom prst="rect">
                            <a:avLst/>
                          </a:prstGeom>
                          <a:ln/>
                        </pic:spPr>
                      </pic:pic>
                    </a:graphicData>
                  </a:graphic>
                </wp:inline>
              </w:drawing>
            </w:r>
          </w:p>
        </w:tc>
        <w:tc>
          <w:tcPr>
            <w:tcW w:w="4536" w:type="dxa"/>
          </w:tcPr>
          <w:p w14:paraId="034BBDDF" w14:textId="77777777" w:rsidR="005B0C78" w:rsidRDefault="00F66729">
            <w:pPr>
              <w:pBdr>
                <w:top w:val="nil"/>
                <w:left w:val="nil"/>
                <w:bottom w:val="nil"/>
                <w:right w:val="nil"/>
                <w:between w:val="nil"/>
              </w:pBdr>
              <w:ind w:left="179" w:right="174"/>
              <w:jc w:val="both"/>
              <w:rPr>
                <w:rFonts w:ascii="Arial" w:eastAsia="Arial" w:hAnsi="Arial" w:cs="Arial"/>
                <w:color w:val="000000"/>
                <w:sz w:val="24"/>
                <w:szCs w:val="24"/>
              </w:rPr>
            </w:pPr>
            <w:r>
              <w:rPr>
                <w:rFonts w:ascii="Arial" w:eastAsia="Arial" w:hAnsi="Arial" w:cs="Arial"/>
                <w:color w:val="000000"/>
                <w:sz w:val="24"/>
                <w:szCs w:val="24"/>
              </w:rPr>
              <w:t xml:space="preserve">Nos dicen que es por la reforma eléctrica, lo que no dicen es que desde hace tiempo tienen el permiso para generar energía. </w:t>
            </w:r>
          </w:p>
          <w:p w14:paraId="0BBFD49A" w14:textId="77777777" w:rsidR="005B0C78" w:rsidRDefault="005B0C78">
            <w:pPr>
              <w:pBdr>
                <w:top w:val="nil"/>
                <w:left w:val="nil"/>
                <w:bottom w:val="nil"/>
                <w:right w:val="nil"/>
                <w:between w:val="nil"/>
              </w:pBdr>
              <w:ind w:left="179" w:right="174"/>
              <w:jc w:val="both"/>
              <w:rPr>
                <w:rFonts w:ascii="Arial" w:eastAsia="Arial" w:hAnsi="Arial" w:cs="Arial"/>
                <w:color w:val="000000"/>
                <w:sz w:val="24"/>
                <w:szCs w:val="24"/>
              </w:rPr>
            </w:pPr>
          </w:p>
        </w:tc>
      </w:tr>
      <w:tr w:rsidR="005B0C78" w14:paraId="2797DBB7" w14:textId="77777777">
        <w:trPr>
          <w:trHeight w:val="692"/>
          <w:jc w:val="center"/>
        </w:trPr>
        <w:tc>
          <w:tcPr>
            <w:tcW w:w="5098" w:type="dxa"/>
          </w:tcPr>
          <w:p w14:paraId="4F14F0E1" w14:textId="77777777" w:rsidR="005B0C78" w:rsidRDefault="00F66729">
            <w:pPr>
              <w:tabs>
                <w:tab w:val="left" w:pos="426"/>
                <w:tab w:val="left" w:pos="3040"/>
              </w:tabs>
              <w:spacing w:line="360" w:lineRule="auto"/>
              <w:ind w:right="36"/>
              <w:jc w:val="center"/>
              <w:rPr>
                <w:rFonts w:ascii="Arial" w:eastAsia="Arial" w:hAnsi="Arial" w:cs="Arial"/>
                <w:color w:val="000000"/>
                <w:sz w:val="24"/>
                <w:szCs w:val="24"/>
              </w:rPr>
            </w:pPr>
            <w:r>
              <w:rPr>
                <w:noProof/>
              </w:rPr>
              <w:drawing>
                <wp:inline distT="0" distB="0" distL="0" distR="0" wp14:anchorId="48CBECD5" wp14:editId="5249844A">
                  <wp:extent cx="2772557" cy="1518007"/>
                  <wp:effectExtent l="0" t="0" r="0" b="0"/>
                  <wp:docPr id="9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l="55863" t="29313" r="1260" b="28950"/>
                          <a:stretch>
                            <a:fillRect/>
                          </a:stretch>
                        </pic:blipFill>
                        <pic:spPr>
                          <a:xfrm>
                            <a:off x="0" y="0"/>
                            <a:ext cx="2772557" cy="1518007"/>
                          </a:xfrm>
                          <a:prstGeom prst="rect">
                            <a:avLst/>
                          </a:prstGeom>
                          <a:ln/>
                        </pic:spPr>
                      </pic:pic>
                    </a:graphicData>
                  </a:graphic>
                </wp:inline>
              </w:drawing>
            </w:r>
          </w:p>
        </w:tc>
        <w:tc>
          <w:tcPr>
            <w:tcW w:w="4536" w:type="dxa"/>
          </w:tcPr>
          <w:p w14:paraId="7169B8CF" w14:textId="77777777" w:rsidR="005B0C78" w:rsidRDefault="00F66729">
            <w:pPr>
              <w:pBdr>
                <w:top w:val="nil"/>
                <w:left w:val="nil"/>
                <w:bottom w:val="nil"/>
                <w:right w:val="nil"/>
                <w:between w:val="nil"/>
              </w:pBdr>
              <w:ind w:left="179" w:right="174"/>
              <w:jc w:val="both"/>
              <w:rPr>
                <w:rFonts w:ascii="Arial" w:eastAsia="Arial" w:hAnsi="Arial" w:cs="Arial"/>
                <w:color w:val="000000"/>
                <w:sz w:val="24"/>
                <w:szCs w:val="24"/>
              </w:rPr>
            </w:pPr>
            <w:r>
              <w:rPr>
                <w:rFonts w:ascii="Arial" w:eastAsia="Arial" w:hAnsi="Arial" w:cs="Arial"/>
                <w:color w:val="000000"/>
                <w:sz w:val="24"/>
                <w:szCs w:val="24"/>
              </w:rPr>
              <w:t xml:space="preserve">Teresa Jiménez, te lo digo de frente, las cuentas no te cuadran. Este </w:t>
            </w:r>
            <w:r>
              <w:rPr>
                <w:rFonts w:ascii="Arial" w:eastAsia="Arial" w:hAnsi="Arial" w:cs="Arial"/>
                <w:b/>
                <w:color w:val="000000"/>
                <w:sz w:val="24"/>
                <w:szCs w:val="24"/>
              </w:rPr>
              <w:t>proyecto que le entregaste a tu amiga Jovita Morín</w:t>
            </w:r>
            <w:r>
              <w:rPr>
                <w:rFonts w:ascii="Arial" w:eastAsia="Arial" w:hAnsi="Arial" w:cs="Arial"/>
                <w:color w:val="000000"/>
                <w:sz w:val="24"/>
                <w:szCs w:val="24"/>
              </w:rPr>
              <w:t>, accionista de Next Energy, nos costó veintiocho mil millones de pesos, cuando generar electricidad por treinta años sólo cuesta cuatrocientos veinte millones.</w:t>
            </w:r>
          </w:p>
          <w:p w14:paraId="7FE3CB91" w14:textId="77777777" w:rsidR="005B0C78" w:rsidRDefault="00F66729">
            <w:pPr>
              <w:pBdr>
                <w:top w:val="nil"/>
                <w:left w:val="nil"/>
                <w:bottom w:val="nil"/>
                <w:right w:val="nil"/>
                <w:between w:val="nil"/>
              </w:pBdr>
              <w:ind w:left="179" w:right="174"/>
              <w:jc w:val="both"/>
              <w:rPr>
                <w:rFonts w:ascii="Arial" w:eastAsia="Arial" w:hAnsi="Arial" w:cs="Arial"/>
                <w:color w:val="000000"/>
                <w:sz w:val="24"/>
                <w:szCs w:val="24"/>
              </w:rPr>
            </w:pPr>
            <w:r>
              <w:rPr>
                <w:rFonts w:ascii="Arial" w:eastAsia="Arial" w:hAnsi="Arial" w:cs="Arial"/>
                <w:color w:val="000000"/>
                <w:sz w:val="24"/>
                <w:szCs w:val="24"/>
              </w:rPr>
              <w:t xml:space="preserve">La corrupción engendra más corrupción. </w:t>
            </w:r>
          </w:p>
          <w:p w14:paraId="610568F1" w14:textId="77777777" w:rsidR="005B0C78" w:rsidRDefault="005B0C78">
            <w:pPr>
              <w:pBdr>
                <w:top w:val="nil"/>
                <w:left w:val="nil"/>
                <w:bottom w:val="nil"/>
                <w:right w:val="nil"/>
                <w:between w:val="nil"/>
              </w:pBdr>
              <w:ind w:left="179" w:right="174"/>
              <w:jc w:val="both"/>
              <w:rPr>
                <w:rFonts w:ascii="Arial" w:eastAsia="Arial" w:hAnsi="Arial" w:cs="Arial"/>
                <w:color w:val="000000"/>
                <w:sz w:val="24"/>
                <w:szCs w:val="24"/>
              </w:rPr>
            </w:pPr>
          </w:p>
        </w:tc>
      </w:tr>
      <w:tr w:rsidR="005B0C78" w14:paraId="565C5F4B" w14:textId="77777777">
        <w:trPr>
          <w:trHeight w:val="692"/>
          <w:jc w:val="center"/>
        </w:trPr>
        <w:tc>
          <w:tcPr>
            <w:tcW w:w="5098" w:type="dxa"/>
          </w:tcPr>
          <w:p w14:paraId="07D4C01E" w14:textId="77777777" w:rsidR="005B0C78" w:rsidRDefault="00F66729">
            <w:pPr>
              <w:tabs>
                <w:tab w:val="left" w:pos="426"/>
              </w:tabs>
              <w:spacing w:line="360" w:lineRule="auto"/>
              <w:ind w:right="36"/>
              <w:jc w:val="center"/>
              <w:rPr>
                <w:rFonts w:ascii="Arial" w:eastAsia="Arial" w:hAnsi="Arial" w:cs="Arial"/>
                <w:color w:val="000000"/>
                <w:sz w:val="24"/>
                <w:szCs w:val="24"/>
              </w:rPr>
            </w:pPr>
            <w:r>
              <w:rPr>
                <w:noProof/>
              </w:rPr>
              <w:drawing>
                <wp:inline distT="0" distB="0" distL="0" distR="0" wp14:anchorId="6964EDB6" wp14:editId="60004F5C">
                  <wp:extent cx="2740316" cy="1537785"/>
                  <wp:effectExtent l="0" t="0" r="0" b="0"/>
                  <wp:docPr id="9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5"/>
                          <a:srcRect l="55669" t="28278" r="1467" b="28955"/>
                          <a:stretch>
                            <a:fillRect/>
                          </a:stretch>
                        </pic:blipFill>
                        <pic:spPr>
                          <a:xfrm>
                            <a:off x="0" y="0"/>
                            <a:ext cx="2740316" cy="1537785"/>
                          </a:xfrm>
                          <a:prstGeom prst="rect">
                            <a:avLst/>
                          </a:prstGeom>
                          <a:ln/>
                        </pic:spPr>
                      </pic:pic>
                    </a:graphicData>
                  </a:graphic>
                </wp:inline>
              </w:drawing>
            </w:r>
          </w:p>
        </w:tc>
        <w:tc>
          <w:tcPr>
            <w:tcW w:w="4536" w:type="dxa"/>
          </w:tcPr>
          <w:p w14:paraId="07DB0110" w14:textId="77777777" w:rsidR="005B0C78" w:rsidRDefault="00F66729">
            <w:pPr>
              <w:pBdr>
                <w:top w:val="nil"/>
                <w:left w:val="nil"/>
                <w:bottom w:val="nil"/>
                <w:right w:val="nil"/>
                <w:between w:val="nil"/>
              </w:pBdr>
              <w:ind w:left="179" w:right="174"/>
              <w:jc w:val="both"/>
              <w:rPr>
                <w:rFonts w:ascii="Arial" w:eastAsia="Arial" w:hAnsi="Arial" w:cs="Arial"/>
                <w:color w:val="000000"/>
                <w:sz w:val="24"/>
                <w:szCs w:val="24"/>
              </w:rPr>
            </w:pPr>
            <w:r>
              <w:rPr>
                <w:rFonts w:ascii="Arial" w:eastAsia="Arial" w:hAnsi="Arial" w:cs="Arial"/>
                <w:color w:val="000000"/>
                <w:sz w:val="24"/>
                <w:szCs w:val="24"/>
              </w:rPr>
              <w:t>A pesar de que no han iniciado operaciones, los premiaron, les ampliaron el contrato a otro parque eléctrico que no hemos podido encontrar por ningún lado.</w:t>
            </w:r>
          </w:p>
          <w:p w14:paraId="77C48532" w14:textId="77777777" w:rsidR="005B0C78" w:rsidRDefault="00F66729">
            <w:pPr>
              <w:pBdr>
                <w:top w:val="nil"/>
                <w:left w:val="nil"/>
                <w:bottom w:val="nil"/>
                <w:right w:val="nil"/>
                <w:between w:val="nil"/>
              </w:pBdr>
              <w:ind w:left="179" w:right="174"/>
              <w:jc w:val="both"/>
              <w:rPr>
                <w:rFonts w:ascii="Arial" w:eastAsia="Arial" w:hAnsi="Arial" w:cs="Arial"/>
                <w:color w:val="000000"/>
                <w:sz w:val="24"/>
                <w:szCs w:val="24"/>
              </w:rPr>
            </w:pPr>
            <w:r>
              <w:rPr>
                <w:rFonts w:ascii="Arial" w:eastAsia="Arial" w:hAnsi="Arial" w:cs="Arial"/>
                <w:color w:val="000000"/>
                <w:sz w:val="24"/>
                <w:szCs w:val="24"/>
              </w:rPr>
              <w:t>¿Con qué nos dejaron?</w:t>
            </w:r>
          </w:p>
          <w:p w14:paraId="4936CCD2" w14:textId="77777777" w:rsidR="005B0C78" w:rsidRDefault="005B0C78">
            <w:pPr>
              <w:pBdr>
                <w:top w:val="nil"/>
                <w:left w:val="nil"/>
                <w:bottom w:val="nil"/>
                <w:right w:val="nil"/>
                <w:between w:val="nil"/>
              </w:pBdr>
              <w:ind w:left="179" w:right="174"/>
              <w:jc w:val="both"/>
              <w:rPr>
                <w:rFonts w:ascii="Arial" w:eastAsia="Arial" w:hAnsi="Arial" w:cs="Arial"/>
                <w:color w:val="000000"/>
                <w:sz w:val="24"/>
                <w:szCs w:val="24"/>
              </w:rPr>
            </w:pPr>
          </w:p>
        </w:tc>
      </w:tr>
      <w:tr w:rsidR="005B0C78" w14:paraId="6E246614" w14:textId="77777777">
        <w:trPr>
          <w:trHeight w:val="692"/>
          <w:jc w:val="center"/>
        </w:trPr>
        <w:tc>
          <w:tcPr>
            <w:tcW w:w="5098" w:type="dxa"/>
          </w:tcPr>
          <w:p w14:paraId="30C09345" w14:textId="77777777" w:rsidR="005B0C78" w:rsidRDefault="00F66729">
            <w:pPr>
              <w:tabs>
                <w:tab w:val="left" w:pos="426"/>
              </w:tabs>
              <w:spacing w:line="360" w:lineRule="auto"/>
              <w:ind w:right="36"/>
              <w:jc w:val="center"/>
              <w:rPr>
                <w:rFonts w:ascii="Arial" w:eastAsia="Arial" w:hAnsi="Arial" w:cs="Arial"/>
                <w:color w:val="000000"/>
                <w:sz w:val="24"/>
                <w:szCs w:val="24"/>
              </w:rPr>
            </w:pPr>
            <w:r>
              <w:rPr>
                <w:noProof/>
              </w:rPr>
              <w:lastRenderedPageBreak/>
              <w:drawing>
                <wp:inline distT="0" distB="0" distL="0" distR="0" wp14:anchorId="06F15A03" wp14:editId="7416D38B">
                  <wp:extent cx="2762602" cy="1537789"/>
                  <wp:effectExtent l="0" t="0" r="0" b="0"/>
                  <wp:docPr id="9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6"/>
                          <a:srcRect l="55864" t="28623" r="1267" b="28949"/>
                          <a:stretch>
                            <a:fillRect/>
                          </a:stretch>
                        </pic:blipFill>
                        <pic:spPr>
                          <a:xfrm>
                            <a:off x="0" y="0"/>
                            <a:ext cx="2762602" cy="1537789"/>
                          </a:xfrm>
                          <a:prstGeom prst="rect">
                            <a:avLst/>
                          </a:prstGeom>
                          <a:ln/>
                        </pic:spPr>
                      </pic:pic>
                    </a:graphicData>
                  </a:graphic>
                </wp:inline>
              </w:drawing>
            </w:r>
          </w:p>
          <w:p w14:paraId="66DE7B6E" w14:textId="77777777" w:rsidR="005B0C78" w:rsidRDefault="00F66729">
            <w:pPr>
              <w:tabs>
                <w:tab w:val="left" w:pos="426"/>
              </w:tabs>
              <w:spacing w:line="360" w:lineRule="auto"/>
              <w:ind w:right="36"/>
              <w:jc w:val="center"/>
              <w:rPr>
                <w:rFonts w:ascii="Arial" w:eastAsia="Arial" w:hAnsi="Arial" w:cs="Arial"/>
                <w:color w:val="000000"/>
                <w:sz w:val="24"/>
                <w:szCs w:val="24"/>
              </w:rPr>
            </w:pPr>
            <w:r>
              <w:rPr>
                <w:noProof/>
              </w:rPr>
              <w:drawing>
                <wp:inline distT="0" distB="0" distL="0" distR="0" wp14:anchorId="2ABE6D04" wp14:editId="6668ED1F">
                  <wp:extent cx="2707261" cy="1482473"/>
                  <wp:effectExtent l="0" t="0" r="0" b="0"/>
                  <wp:docPr id="9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7"/>
                          <a:srcRect l="55669" t="28621" r="1466" b="29644"/>
                          <a:stretch>
                            <a:fillRect/>
                          </a:stretch>
                        </pic:blipFill>
                        <pic:spPr>
                          <a:xfrm>
                            <a:off x="0" y="0"/>
                            <a:ext cx="2707261" cy="1482473"/>
                          </a:xfrm>
                          <a:prstGeom prst="rect">
                            <a:avLst/>
                          </a:prstGeom>
                          <a:ln/>
                        </pic:spPr>
                      </pic:pic>
                    </a:graphicData>
                  </a:graphic>
                </wp:inline>
              </w:drawing>
            </w:r>
          </w:p>
        </w:tc>
        <w:tc>
          <w:tcPr>
            <w:tcW w:w="4536" w:type="dxa"/>
          </w:tcPr>
          <w:p w14:paraId="0032221A" w14:textId="77777777" w:rsidR="005B0C78" w:rsidRDefault="00F66729">
            <w:pPr>
              <w:pBdr>
                <w:top w:val="nil"/>
                <w:left w:val="nil"/>
                <w:bottom w:val="nil"/>
                <w:right w:val="nil"/>
                <w:between w:val="nil"/>
              </w:pBdr>
              <w:ind w:left="179" w:right="174"/>
              <w:jc w:val="both"/>
              <w:rPr>
                <w:rFonts w:ascii="Arial" w:eastAsia="Arial" w:hAnsi="Arial" w:cs="Arial"/>
                <w:color w:val="000000"/>
                <w:sz w:val="24"/>
                <w:szCs w:val="24"/>
              </w:rPr>
            </w:pPr>
            <w:r>
              <w:rPr>
                <w:rFonts w:ascii="Arial" w:eastAsia="Arial" w:hAnsi="Arial" w:cs="Arial"/>
                <w:color w:val="000000"/>
                <w:sz w:val="24"/>
                <w:szCs w:val="24"/>
              </w:rPr>
              <w:t xml:space="preserve">Con un parque solar que no funciona, un parque fantasma y </w:t>
            </w:r>
            <w:r>
              <w:rPr>
                <w:rFonts w:ascii="Arial" w:eastAsia="Arial" w:hAnsi="Arial" w:cs="Arial"/>
                <w:b/>
                <w:color w:val="000000"/>
                <w:sz w:val="24"/>
                <w:szCs w:val="24"/>
              </w:rPr>
              <w:t>veintiocho mil millones de pesos tirados a la basura</w:t>
            </w:r>
            <w:r>
              <w:rPr>
                <w:rFonts w:ascii="Arial" w:eastAsia="Arial" w:hAnsi="Arial" w:cs="Arial"/>
                <w:color w:val="000000"/>
                <w:sz w:val="24"/>
                <w:szCs w:val="24"/>
              </w:rPr>
              <w:t>”</w:t>
            </w:r>
          </w:p>
          <w:p w14:paraId="1E52EB95" w14:textId="77777777" w:rsidR="005B0C78" w:rsidRDefault="005B0C78">
            <w:pPr>
              <w:pBdr>
                <w:top w:val="nil"/>
                <w:left w:val="nil"/>
                <w:bottom w:val="nil"/>
                <w:right w:val="nil"/>
                <w:between w:val="nil"/>
              </w:pBdr>
              <w:ind w:left="179" w:right="174"/>
              <w:jc w:val="both"/>
              <w:rPr>
                <w:rFonts w:ascii="Arial" w:eastAsia="Arial" w:hAnsi="Arial" w:cs="Arial"/>
                <w:color w:val="000000"/>
                <w:sz w:val="24"/>
                <w:szCs w:val="24"/>
              </w:rPr>
            </w:pPr>
          </w:p>
        </w:tc>
      </w:tr>
      <w:tr w:rsidR="005B0C78" w14:paraId="29E4C935" w14:textId="77777777">
        <w:trPr>
          <w:trHeight w:val="692"/>
          <w:jc w:val="center"/>
        </w:trPr>
        <w:tc>
          <w:tcPr>
            <w:tcW w:w="5098" w:type="dxa"/>
          </w:tcPr>
          <w:p w14:paraId="056D0947" w14:textId="77777777" w:rsidR="005B0C78" w:rsidRDefault="00F66729">
            <w:pPr>
              <w:tabs>
                <w:tab w:val="left" w:pos="426"/>
              </w:tabs>
              <w:spacing w:line="360" w:lineRule="auto"/>
              <w:ind w:right="36"/>
              <w:jc w:val="center"/>
              <w:rPr>
                <w:rFonts w:ascii="Arial" w:eastAsia="Arial" w:hAnsi="Arial" w:cs="Arial"/>
                <w:color w:val="000000"/>
                <w:sz w:val="24"/>
                <w:szCs w:val="24"/>
              </w:rPr>
            </w:pPr>
            <w:r>
              <w:rPr>
                <w:noProof/>
              </w:rPr>
              <w:drawing>
                <wp:inline distT="0" distB="0" distL="0" distR="0" wp14:anchorId="625DA0B7" wp14:editId="3CEB803F">
                  <wp:extent cx="2664392" cy="1484273"/>
                  <wp:effectExtent l="0" t="0" r="0" b="0"/>
                  <wp:docPr id="9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8"/>
                          <a:srcRect l="56250" t="28623" r="1264" b="29297"/>
                          <a:stretch>
                            <a:fillRect/>
                          </a:stretch>
                        </pic:blipFill>
                        <pic:spPr>
                          <a:xfrm>
                            <a:off x="0" y="0"/>
                            <a:ext cx="2664392" cy="1484273"/>
                          </a:xfrm>
                          <a:prstGeom prst="rect">
                            <a:avLst/>
                          </a:prstGeom>
                          <a:ln/>
                        </pic:spPr>
                      </pic:pic>
                    </a:graphicData>
                  </a:graphic>
                </wp:inline>
              </w:drawing>
            </w:r>
          </w:p>
        </w:tc>
        <w:tc>
          <w:tcPr>
            <w:tcW w:w="4536" w:type="dxa"/>
          </w:tcPr>
          <w:p w14:paraId="43098D95" w14:textId="77777777" w:rsidR="005B0C78" w:rsidRDefault="00F66729">
            <w:pPr>
              <w:pBdr>
                <w:top w:val="nil"/>
                <w:left w:val="nil"/>
                <w:bottom w:val="nil"/>
                <w:right w:val="nil"/>
                <w:between w:val="nil"/>
              </w:pBdr>
              <w:ind w:left="177" w:right="174"/>
              <w:jc w:val="both"/>
              <w:rPr>
                <w:rFonts w:ascii="Arial" w:eastAsia="Arial" w:hAnsi="Arial" w:cs="Arial"/>
                <w:i/>
                <w:color w:val="000000"/>
                <w:sz w:val="24"/>
                <w:szCs w:val="24"/>
              </w:rPr>
            </w:pPr>
            <w:r>
              <w:rPr>
                <w:rFonts w:ascii="Arial" w:eastAsia="Arial" w:hAnsi="Arial" w:cs="Arial"/>
                <w:i/>
                <w:color w:val="000000"/>
                <w:sz w:val="24"/>
                <w:szCs w:val="24"/>
              </w:rPr>
              <w:t>Voz en off:</w:t>
            </w:r>
          </w:p>
          <w:p w14:paraId="60896E16" w14:textId="77777777" w:rsidR="005B0C78" w:rsidRDefault="005B0C78">
            <w:pPr>
              <w:pBdr>
                <w:top w:val="nil"/>
                <w:left w:val="nil"/>
                <w:bottom w:val="nil"/>
                <w:right w:val="nil"/>
                <w:between w:val="nil"/>
              </w:pBdr>
              <w:ind w:left="177" w:right="174"/>
              <w:jc w:val="both"/>
              <w:rPr>
                <w:rFonts w:ascii="Arial" w:eastAsia="Arial" w:hAnsi="Arial" w:cs="Arial"/>
                <w:color w:val="000000"/>
                <w:sz w:val="24"/>
                <w:szCs w:val="24"/>
              </w:rPr>
            </w:pPr>
          </w:p>
          <w:p w14:paraId="13511D7C" w14:textId="77777777" w:rsidR="005B0C78" w:rsidRDefault="00F66729">
            <w:pPr>
              <w:pBdr>
                <w:top w:val="nil"/>
                <w:left w:val="nil"/>
                <w:bottom w:val="nil"/>
                <w:right w:val="nil"/>
                <w:between w:val="nil"/>
              </w:pBdr>
              <w:ind w:left="177" w:right="174"/>
              <w:jc w:val="both"/>
              <w:rPr>
                <w:rFonts w:ascii="Arial" w:eastAsia="Arial" w:hAnsi="Arial" w:cs="Arial"/>
                <w:color w:val="000000"/>
                <w:sz w:val="24"/>
                <w:szCs w:val="24"/>
              </w:rPr>
            </w:pPr>
            <w:r>
              <w:rPr>
                <w:rFonts w:ascii="Arial" w:eastAsia="Arial" w:hAnsi="Arial" w:cs="Arial"/>
                <w:color w:val="000000"/>
                <w:sz w:val="24"/>
                <w:szCs w:val="24"/>
              </w:rPr>
              <w:t>“Nora Ruvalcaba, candidata a gobernadora de Aguascalientes”</w:t>
            </w:r>
          </w:p>
        </w:tc>
      </w:tr>
    </w:tbl>
    <w:p w14:paraId="4907C1B5" w14:textId="77777777" w:rsidR="005B0C78" w:rsidRDefault="00F66729">
      <w:pPr>
        <w:pBdr>
          <w:top w:val="nil"/>
          <w:left w:val="nil"/>
          <w:bottom w:val="nil"/>
          <w:right w:val="nil"/>
          <w:between w:val="nil"/>
        </w:pBdr>
        <w:spacing w:line="360" w:lineRule="auto"/>
        <w:ind w:right="36"/>
        <w:jc w:val="both"/>
        <w:rPr>
          <w:rFonts w:ascii="Arial" w:eastAsia="Arial" w:hAnsi="Arial" w:cs="Arial"/>
          <w:color w:val="000000"/>
          <w:sz w:val="24"/>
          <w:szCs w:val="24"/>
        </w:rPr>
      </w:pPr>
      <w:r>
        <w:rPr>
          <w:rFonts w:ascii="Arial" w:eastAsia="Arial" w:hAnsi="Arial" w:cs="Arial"/>
          <w:b/>
          <w:color w:val="000000"/>
          <w:sz w:val="24"/>
          <w:szCs w:val="24"/>
        </w:rPr>
        <w:t xml:space="preserve">1.2. En contra de Morena. </w:t>
      </w:r>
      <w:r>
        <w:rPr>
          <w:rFonts w:ascii="Arial" w:eastAsia="Arial" w:hAnsi="Arial" w:cs="Arial"/>
          <w:color w:val="000000"/>
          <w:sz w:val="24"/>
          <w:szCs w:val="24"/>
        </w:rPr>
        <w:t xml:space="preserve">El quejoso refiere que </w:t>
      </w:r>
      <w:r>
        <w:rPr>
          <w:rFonts w:ascii="Arial" w:eastAsia="Arial" w:hAnsi="Arial" w:cs="Arial"/>
          <w:sz w:val="24"/>
          <w:szCs w:val="24"/>
        </w:rPr>
        <w:t>Morena</w:t>
      </w:r>
      <w:r>
        <w:rPr>
          <w:rFonts w:ascii="Arial" w:eastAsia="Arial" w:hAnsi="Arial" w:cs="Arial"/>
          <w:b/>
          <w:color w:val="000000"/>
          <w:sz w:val="24"/>
          <w:szCs w:val="24"/>
        </w:rPr>
        <w:t xml:space="preserve"> incumplió su deber de cuidar </w:t>
      </w:r>
      <w:r>
        <w:rPr>
          <w:rFonts w:ascii="Arial" w:eastAsia="Arial" w:hAnsi="Arial" w:cs="Arial"/>
          <w:color w:val="000000"/>
          <w:sz w:val="24"/>
          <w:szCs w:val="24"/>
        </w:rPr>
        <w:t>que la candidata no incumpliera la normativa electoral.</w:t>
      </w:r>
    </w:p>
    <w:p w14:paraId="499F1339" w14:textId="77777777" w:rsidR="005B0C78" w:rsidRDefault="005B0C78">
      <w:pPr>
        <w:pBdr>
          <w:top w:val="nil"/>
          <w:left w:val="nil"/>
          <w:bottom w:val="nil"/>
          <w:right w:val="nil"/>
          <w:between w:val="nil"/>
        </w:pBdr>
        <w:rPr>
          <w:color w:val="000000"/>
        </w:rPr>
      </w:pPr>
    </w:p>
    <w:p w14:paraId="76B13CB5" w14:textId="77777777" w:rsidR="005B0C78" w:rsidRDefault="00F66729">
      <w:pPr>
        <w:pBdr>
          <w:top w:val="nil"/>
          <w:left w:val="nil"/>
          <w:bottom w:val="nil"/>
          <w:right w:val="nil"/>
          <w:between w:val="nil"/>
        </w:pBdr>
        <w:spacing w:line="360" w:lineRule="auto"/>
        <w:jc w:val="both"/>
        <w:rPr>
          <w:rFonts w:ascii="Arial" w:eastAsia="Arial" w:hAnsi="Arial" w:cs="Arial"/>
          <w:b/>
          <w:color w:val="000000"/>
          <w:sz w:val="24"/>
          <w:szCs w:val="24"/>
        </w:rPr>
      </w:pPr>
      <w:r>
        <w:rPr>
          <w:rFonts w:ascii="Arial" w:eastAsia="Arial" w:hAnsi="Arial" w:cs="Arial"/>
          <w:b/>
          <w:color w:val="000000"/>
          <w:sz w:val="24"/>
          <w:szCs w:val="24"/>
        </w:rPr>
        <w:t xml:space="preserve">2. Defensa. </w:t>
      </w:r>
      <w:r>
        <w:rPr>
          <w:rFonts w:ascii="Arial" w:eastAsia="Arial" w:hAnsi="Arial" w:cs="Arial"/>
          <w:color w:val="000000"/>
          <w:sz w:val="24"/>
          <w:szCs w:val="24"/>
        </w:rPr>
        <w:t xml:space="preserve">La candidata y el partido político como partes denunciadas, manifestaron lo siguiente: </w:t>
      </w:r>
    </w:p>
    <w:p w14:paraId="0872E524" w14:textId="77777777" w:rsidR="005B0C78" w:rsidRDefault="00F66729">
      <w:pPr>
        <w:numPr>
          <w:ilvl w:val="0"/>
          <w:numId w:val="6"/>
        </w:numPr>
        <w:pBdr>
          <w:top w:val="nil"/>
          <w:left w:val="nil"/>
          <w:bottom w:val="nil"/>
          <w:right w:val="nil"/>
          <w:between w:val="nil"/>
        </w:pBdr>
        <w:tabs>
          <w:tab w:val="left" w:pos="567"/>
        </w:tabs>
        <w:spacing w:line="360" w:lineRule="auto"/>
        <w:ind w:left="284" w:hanging="284"/>
        <w:jc w:val="both"/>
        <w:rPr>
          <w:rFonts w:ascii="Arial" w:eastAsia="Arial" w:hAnsi="Arial" w:cs="Arial"/>
          <w:color w:val="000000"/>
          <w:sz w:val="24"/>
          <w:szCs w:val="24"/>
        </w:rPr>
      </w:pPr>
      <w:r>
        <w:rPr>
          <w:rFonts w:ascii="Arial" w:eastAsia="Arial" w:hAnsi="Arial" w:cs="Arial"/>
          <w:color w:val="000000"/>
          <w:sz w:val="24"/>
          <w:szCs w:val="24"/>
        </w:rPr>
        <w:t xml:space="preserve">Argumentan que la autoridad administrativa no debió admitir la denuncia, </w:t>
      </w:r>
      <w:r>
        <w:rPr>
          <w:rFonts w:ascii="Arial" w:eastAsia="Arial" w:hAnsi="Arial" w:cs="Arial"/>
          <w:sz w:val="24"/>
          <w:szCs w:val="24"/>
        </w:rPr>
        <w:t>al no existir relación entre los hechos planteados y las probanzas ofrecidas,</w:t>
      </w:r>
      <w:r>
        <w:rPr>
          <w:rFonts w:ascii="Arial" w:eastAsia="Arial" w:hAnsi="Arial" w:cs="Arial"/>
          <w:color w:val="000000"/>
          <w:sz w:val="24"/>
          <w:szCs w:val="24"/>
        </w:rPr>
        <w:t xml:space="preserve"> pues </w:t>
      </w:r>
      <w:r>
        <w:rPr>
          <w:rFonts w:ascii="Arial" w:eastAsia="Arial" w:hAnsi="Arial" w:cs="Arial"/>
          <w:sz w:val="24"/>
          <w:szCs w:val="24"/>
        </w:rPr>
        <w:t>estas no</w:t>
      </w:r>
      <w:r>
        <w:rPr>
          <w:rFonts w:ascii="Arial" w:eastAsia="Arial" w:hAnsi="Arial" w:cs="Arial"/>
          <w:color w:val="000000"/>
          <w:sz w:val="24"/>
          <w:szCs w:val="24"/>
        </w:rPr>
        <w:t xml:space="preserve"> </w:t>
      </w:r>
      <w:r>
        <w:rPr>
          <w:rFonts w:ascii="Arial" w:eastAsia="Arial" w:hAnsi="Arial" w:cs="Arial"/>
          <w:sz w:val="24"/>
          <w:szCs w:val="24"/>
        </w:rPr>
        <w:t>logran</w:t>
      </w:r>
      <w:r>
        <w:rPr>
          <w:rFonts w:ascii="Arial" w:eastAsia="Arial" w:hAnsi="Arial" w:cs="Arial"/>
          <w:color w:val="000000"/>
          <w:sz w:val="24"/>
          <w:szCs w:val="24"/>
        </w:rPr>
        <w:t xml:space="preserve"> </w:t>
      </w:r>
      <w:r>
        <w:rPr>
          <w:rFonts w:ascii="Arial" w:eastAsia="Arial" w:hAnsi="Arial" w:cs="Arial"/>
          <w:sz w:val="24"/>
          <w:szCs w:val="24"/>
        </w:rPr>
        <w:t>acreditar</w:t>
      </w:r>
      <w:r>
        <w:rPr>
          <w:rFonts w:ascii="Arial" w:eastAsia="Arial" w:hAnsi="Arial" w:cs="Arial"/>
          <w:color w:val="000000"/>
          <w:sz w:val="24"/>
          <w:szCs w:val="24"/>
        </w:rPr>
        <w:t xml:space="preserve"> que la candidata cuestionada cometiera calumnia en perjuicio de los quejosos</w:t>
      </w:r>
      <w:r>
        <w:rPr>
          <w:rFonts w:ascii="Arial" w:eastAsia="Arial" w:hAnsi="Arial" w:cs="Arial"/>
          <w:sz w:val="24"/>
          <w:szCs w:val="24"/>
        </w:rPr>
        <w:t xml:space="preserve">, </w:t>
      </w:r>
      <w:r>
        <w:rPr>
          <w:rFonts w:ascii="Arial" w:eastAsia="Arial" w:hAnsi="Arial" w:cs="Arial"/>
          <w:color w:val="000000"/>
          <w:sz w:val="24"/>
          <w:szCs w:val="24"/>
        </w:rPr>
        <w:t>dado que, su supuesta existencia está basada en subjetividades del denunciante y no en indicios.</w:t>
      </w:r>
    </w:p>
    <w:p w14:paraId="3ACD5372" w14:textId="77777777" w:rsidR="005B0C78" w:rsidRDefault="00F66729">
      <w:pPr>
        <w:numPr>
          <w:ilvl w:val="0"/>
          <w:numId w:val="6"/>
        </w:numPr>
        <w:pBdr>
          <w:top w:val="nil"/>
          <w:left w:val="nil"/>
          <w:bottom w:val="nil"/>
          <w:right w:val="nil"/>
          <w:between w:val="nil"/>
        </w:pBdr>
        <w:tabs>
          <w:tab w:val="left" w:pos="567"/>
        </w:tabs>
        <w:spacing w:line="360" w:lineRule="auto"/>
        <w:ind w:left="284" w:hanging="284"/>
        <w:jc w:val="both"/>
        <w:rPr>
          <w:rFonts w:ascii="Arial" w:eastAsia="Arial" w:hAnsi="Arial" w:cs="Arial"/>
          <w:color w:val="000000"/>
          <w:sz w:val="24"/>
          <w:szCs w:val="24"/>
        </w:rPr>
      </w:pPr>
      <w:r>
        <w:rPr>
          <w:rFonts w:ascii="Arial" w:eastAsia="Arial" w:hAnsi="Arial" w:cs="Arial"/>
          <w:color w:val="000000"/>
          <w:sz w:val="24"/>
          <w:szCs w:val="24"/>
        </w:rPr>
        <w:t xml:space="preserve">Afirman que las manifestaciones del promocional denunciado, no configuran la imputación de la comisión de un delito o un hecho en concreto, sino que son un conjunto de opiniones, posiciones y visiones genéricas que devienen del contexto fáctico y hechos noticiosos y de dominio público.  </w:t>
      </w:r>
    </w:p>
    <w:p w14:paraId="72070D2F" w14:textId="77777777" w:rsidR="005B0C78" w:rsidRDefault="00F66729">
      <w:pPr>
        <w:numPr>
          <w:ilvl w:val="0"/>
          <w:numId w:val="6"/>
        </w:numPr>
        <w:pBdr>
          <w:top w:val="nil"/>
          <w:left w:val="nil"/>
          <w:bottom w:val="nil"/>
          <w:right w:val="nil"/>
          <w:between w:val="nil"/>
        </w:pBdr>
        <w:tabs>
          <w:tab w:val="left" w:pos="567"/>
        </w:tabs>
        <w:spacing w:line="360" w:lineRule="auto"/>
        <w:ind w:left="284" w:hanging="284"/>
        <w:jc w:val="both"/>
        <w:rPr>
          <w:rFonts w:ascii="Arial" w:eastAsia="Arial" w:hAnsi="Arial" w:cs="Arial"/>
          <w:color w:val="000000"/>
          <w:sz w:val="24"/>
          <w:szCs w:val="24"/>
        </w:rPr>
      </w:pPr>
      <w:r>
        <w:rPr>
          <w:rFonts w:ascii="Arial" w:eastAsia="Arial" w:hAnsi="Arial" w:cs="Arial"/>
          <w:color w:val="000000"/>
          <w:sz w:val="24"/>
          <w:szCs w:val="24"/>
        </w:rPr>
        <w:t xml:space="preserve">Estiman que las expresiones cuestionadas, si bien no dejan de ser una crítica fuerte, estas son producto de una opinión sobre el desempeño de la candidata María Teresa Jiménez Esquivel como presidenta municipal de Aguascalientes y sus vínculos con los actores políticos señalados, las cuales se encuentran amparadas por su derecho a la libertad de expresión en el contexto del debate político. </w:t>
      </w:r>
    </w:p>
    <w:p w14:paraId="1391BCF0" w14:textId="77777777" w:rsidR="005B0C78" w:rsidRDefault="005B0C78">
      <w:pPr>
        <w:pBdr>
          <w:top w:val="nil"/>
          <w:left w:val="nil"/>
          <w:bottom w:val="nil"/>
          <w:right w:val="nil"/>
          <w:between w:val="nil"/>
        </w:pBdr>
        <w:rPr>
          <w:color w:val="000000"/>
        </w:rPr>
      </w:pPr>
    </w:p>
    <w:p w14:paraId="5909F636" w14:textId="77777777" w:rsidR="005B0C78" w:rsidRDefault="00F66729">
      <w:pPr>
        <w:tabs>
          <w:tab w:val="left" w:pos="567"/>
        </w:tabs>
        <w:spacing w:line="360" w:lineRule="auto"/>
        <w:jc w:val="both"/>
        <w:rPr>
          <w:rFonts w:ascii="Arial" w:eastAsia="Arial" w:hAnsi="Arial" w:cs="Arial"/>
          <w:b/>
          <w:sz w:val="24"/>
          <w:szCs w:val="24"/>
        </w:rPr>
      </w:pPr>
      <w:r>
        <w:rPr>
          <w:rFonts w:ascii="Arial" w:eastAsia="Arial" w:hAnsi="Arial" w:cs="Arial"/>
          <w:b/>
          <w:color w:val="000000"/>
          <w:sz w:val="24"/>
          <w:szCs w:val="24"/>
        </w:rPr>
        <w:lastRenderedPageBreak/>
        <w:t xml:space="preserve">3. Descripción de los medios de prueba. </w:t>
      </w:r>
      <w:r>
        <w:rPr>
          <w:rFonts w:ascii="Arial" w:eastAsia="Arial" w:hAnsi="Arial" w:cs="Arial"/>
          <w:color w:val="000000"/>
          <w:sz w:val="24"/>
          <w:szCs w:val="24"/>
        </w:rPr>
        <w:t>Como se advierte, de la audiencia de pruebas y alegatos, a las partes les fueron admitidas y desahogadas las siguientes probanzas:</w:t>
      </w:r>
      <w:r>
        <w:rPr>
          <w:rFonts w:ascii="Arial" w:eastAsia="Arial" w:hAnsi="Arial" w:cs="Arial"/>
          <w:b/>
          <w:sz w:val="24"/>
          <w:szCs w:val="24"/>
        </w:rPr>
        <w:t xml:space="preserve"> </w:t>
      </w:r>
    </w:p>
    <w:p w14:paraId="6E376A34" w14:textId="77777777" w:rsidR="005B0C78" w:rsidRDefault="005B0C78">
      <w:pPr>
        <w:pBdr>
          <w:top w:val="nil"/>
          <w:left w:val="nil"/>
          <w:bottom w:val="nil"/>
          <w:right w:val="nil"/>
          <w:between w:val="nil"/>
        </w:pBdr>
        <w:rPr>
          <w:color w:val="000000"/>
        </w:rPr>
      </w:pPr>
    </w:p>
    <w:p w14:paraId="5EF23F01" w14:textId="77777777" w:rsidR="005B0C78" w:rsidRDefault="00F66729">
      <w:pPr>
        <w:pBdr>
          <w:top w:val="nil"/>
          <w:left w:val="nil"/>
          <w:bottom w:val="nil"/>
          <w:right w:val="nil"/>
          <w:between w:val="nil"/>
        </w:pBdr>
        <w:tabs>
          <w:tab w:val="left" w:pos="567"/>
        </w:tabs>
        <w:spacing w:line="360" w:lineRule="auto"/>
        <w:jc w:val="both"/>
        <w:rPr>
          <w:rFonts w:ascii="Arial" w:eastAsia="Arial" w:hAnsi="Arial" w:cs="Arial"/>
          <w:b/>
          <w:color w:val="000000"/>
          <w:sz w:val="24"/>
          <w:szCs w:val="24"/>
        </w:rPr>
      </w:pPr>
      <w:r>
        <w:rPr>
          <w:rFonts w:ascii="Arial" w:eastAsia="Arial" w:hAnsi="Arial" w:cs="Arial"/>
          <w:b/>
          <w:color w:val="000000"/>
          <w:sz w:val="24"/>
          <w:szCs w:val="24"/>
        </w:rPr>
        <w:t xml:space="preserve">3.1. Pruebas aportadas por el partido político denunciante: </w:t>
      </w:r>
    </w:p>
    <w:p w14:paraId="0E67FBC8" w14:textId="77777777" w:rsidR="005B0C78" w:rsidRDefault="005B0C78">
      <w:pPr>
        <w:pBdr>
          <w:top w:val="nil"/>
          <w:left w:val="nil"/>
          <w:bottom w:val="nil"/>
          <w:right w:val="nil"/>
          <w:between w:val="nil"/>
        </w:pBdr>
        <w:rPr>
          <w:color w:val="000000"/>
        </w:rPr>
      </w:pPr>
    </w:p>
    <w:tbl>
      <w:tblPr>
        <w:tblStyle w:val="ac"/>
        <w:tblW w:w="9633" w:type="dxa"/>
        <w:tblInd w:w="0" w:type="dxa"/>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Layout w:type="fixed"/>
        <w:tblLook w:val="04A0" w:firstRow="1" w:lastRow="0" w:firstColumn="1" w:lastColumn="0" w:noHBand="0" w:noVBand="1"/>
      </w:tblPr>
      <w:tblGrid>
        <w:gridCol w:w="499"/>
        <w:gridCol w:w="2757"/>
        <w:gridCol w:w="6377"/>
      </w:tblGrid>
      <w:tr w:rsidR="005B0C78" w14:paraId="0E22A92F" w14:textId="77777777" w:rsidTr="005B0C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9" w:type="dxa"/>
          </w:tcPr>
          <w:p w14:paraId="4632E925" w14:textId="77777777" w:rsidR="005B0C78" w:rsidRDefault="00F66729">
            <w:pPr>
              <w:jc w:val="center"/>
              <w:rPr>
                <w:rFonts w:ascii="Arial" w:eastAsia="Arial" w:hAnsi="Arial" w:cs="Arial"/>
                <w:color w:val="000000"/>
                <w:sz w:val="18"/>
                <w:szCs w:val="18"/>
              </w:rPr>
            </w:pPr>
            <w:r>
              <w:rPr>
                <w:rFonts w:ascii="Arial" w:eastAsia="Arial" w:hAnsi="Arial" w:cs="Arial"/>
                <w:color w:val="000000"/>
                <w:sz w:val="18"/>
                <w:szCs w:val="18"/>
              </w:rPr>
              <w:t>#</w:t>
            </w:r>
          </w:p>
        </w:tc>
        <w:tc>
          <w:tcPr>
            <w:tcW w:w="2757" w:type="dxa"/>
          </w:tcPr>
          <w:p w14:paraId="2A2700D7" w14:textId="77777777" w:rsidR="005B0C78" w:rsidRDefault="00F66729">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sz w:val="18"/>
                <w:szCs w:val="18"/>
              </w:rPr>
            </w:pPr>
            <w:r>
              <w:rPr>
                <w:rFonts w:ascii="Arial" w:eastAsia="Arial" w:hAnsi="Arial" w:cs="Arial"/>
                <w:color w:val="000000"/>
                <w:sz w:val="18"/>
                <w:szCs w:val="18"/>
              </w:rPr>
              <w:t>Prueba</w:t>
            </w:r>
          </w:p>
        </w:tc>
        <w:tc>
          <w:tcPr>
            <w:tcW w:w="6377" w:type="dxa"/>
          </w:tcPr>
          <w:p w14:paraId="35580E20" w14:textId="77777777" w:rsidR="005B0C78" w:rsidRDefault="00F66729">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sz w:val="18"/>
                <w:szCs w:val="18"/>
              </w:rPr>
            </w:pPr>
            <w:r>
              <w:rPr>
                <w:rFonts w:ascii="Arial" w:eastAsia="Arial" w:hAnsi="Arial" w:cs="Arial"/>
                <w:color w:val="000000"/>
                <w:sz w:val="18"/>
                <w:szCs w:val="18"/>
              </w:rPr>
              <w:t>Consistente en</w:t>
            </w:r>
          </w:p>
        </w:tc>
      </w:tr>
      <w:tr w:rsidR="005B0C78" w14:paraId="252EF5D1" w14:textId="77777777" w:rsidTr="005B0C78">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499" w:type="dxa"/>
          </w:tcPr>
          <w:p w14:paraId="62C13575" w14:textId="77777777" w:rsidR="005B0C78" w:rsidRDefault="00F66729">
            <w:pPr>
              <w:jc w:val="center"/>
              <w:rPr>
                <w:rFonts w:ascii="Arial" w:eastAsia="Arial" w:hAnsi="Arial" w:cs="Arial"/>
                <w:sz w:val="18"/>
                <w:szCs w:val="18"/>
              </w:rPr>
            </w:pPr>
            <w:r>
              <w:rPr>
                <w:rFonts w:ascii="Arial" w:eastAsia="Arial" w:hAnsi="Arial" w:cs="Arial"/>
                <w:sz w:val="18"/>
                <w:szCs w:val="18"/>
              </w:rPr>
              <w:t>1</w:t>
            </w:r>
          </w:p>
        </w:tc>
        <w:tc>
          <w:tcPr>
            <w:tcW w:w="2757" w:type="dxa"/>
          </w:tcPr>
          <w:p w14:paraId="292CAAFD" w14:textId="77777777" w:rsidR="005B0C78" w:rsidRDefault="00F66729">
            <w:pPr>
              <w:cnfStyle w:val="000000100000" w:firstRow="0" w:lastRow="0" w:firstColumn="0" w:lastColumn="0" w:oddVBand="0" w:evenVBand="0" w:oddHBand="1" w:evenHBand="0" w:firstRowFirstColumn="0" w:firstRowLastColumn="0" w:lastRowFirstColumn="0" w:lastRowLastColumn="0"/>
              <w:rPr>
                <w:rFonts w:ascii="Arial" w:eastAsia="Arial" w:hAnsi="Arial" w:cs="Arial"/>
                <w:b/>
                <w:sz w:val="18"/>
                <w:szCs w:val="18"/>
              </w:rPr>
            </w:pPr>
            <w:r>
              <w:rPr>
                <w:rFonts w:ascii="Arial" w:eastAsia="Arial" w:hAnsi="Arial" w:cs="Arial"/>
                <w:b/>
                <w:sz w:val="18"/>
                <w:szCs w:val="18"/>
              </w:rPr>
              <w:t>Prueba técnica</w:t>
            </w:r>
          </w:p>
        </w:tc>
        <w:tc>
          <w:tcPr>
            <w:tcW w:w="6377" w:type="dxa"/>
          </w:tcPr>
          <w:p w14:paraId="31A86B73" w14:textId="77777777" w:rsidR="005B0C78" w:rsidRDefault="00F66729">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Pr>
                <w:rFonts w:ascii="Arial" w:eastAsia="Arial" w:hAnsi="Arial" w:cs="Arial"/>
                <w:sz w:val="18"/>
                <w:szCs w:val="18"/>
              </w:rPr>
              <w:t xml:space="preserve">Inspección judicial del link </w:t>
            </w:r>
            <w:hyperlink r:id="rId19">
              <w:r>
                <w:rPr>
                  <w:rFonts w:ascii="Arial" w:eastAsia="Arial" w:hAnsi="Arial" w:cs="Arial"/>
                  <w:color w:val="0000FF"/>
                  <w:u w:val="single"/>
                </w:rPr>
                <w:t>https://www.facebook.com/noraruvalcabamx/videos/</w:t>
              </w:r>
            </w:hyperlink>
            <w:r>
              <w:rPr>
                <w:rFonts w:ascii="Arial" w:eastAsia="Arial" w:hAnsi="Arial" w:cs="Arial"/>
                <w:color w:val="0000FF"/>
                <w:u w:val="single"/>
              </w:rPr>
              <w:t>1639147433101677</w:t>
            </w:r>
            <w:r>
              <w:rPr>
                <w:rFonts w:ascii="Arial" w:eastAsia="Arial" w:hAnsi="Arial" w:cs="Arial"/>
              </w:rPr>
              <w:t>,</w:t>
            </w:r>
            <w:r>
              <w:rPr>
                <w:rFonts w:ascii="Arial" w:eastAsia="Arial" w:hAnsi="Arial" w:cs="Arial"/>
                <w:sz w:val="18"/>
                <w:szCs w:val="18"/>
              </w:rPr>
              <w:t xml:space="preserve"> consistente en una publicación de Facebook de la candidata Nora Ruvalcaba Gámez.</w:t>
            </w:r>
          </w:p>
        </w:tc>
      </w:tr>
      <w:tr w:rsidR="005B0C78" w14:paraId="7CE30B97" w14:textId="77777777" w:rsidTr="005B0C78">
        <w:trPr>
          <w:trHeight w:val="344"/>
        </w:trPr>
        <w:tc>
          <w:tcPr>
            <w:cnfStyle w:val="001000000000" w:firstRow="0" w:lastRow="0" w:firstColumn="1" w:lastColumn="0" w:oddVBand="0" w:evenVBand="0" w:oddHBand="0" w:evenHBand="0" w:firstRowFirstColumn="0" w:firstRowLastColumn="0" w:lastRowFirstColumn="0" w:lastRowLastColumn="0"/>
            <w:tcW w:w="499" w:type="dxa"/>
          </w:tcPr>
          <w:p w14:paraId="15992101" w14:textId="77777777" w:rsidR="005B0C78" w:rsidRDefault="00F66729">
            <w:pPr>
              <w:jc w:val="center"/>
              <w:rPr>
                <w:rFonts w:ascii="Arial" w:eastAsia="Arial" w:hAnsi="Arial" w:cs="Arial"/>
                <w:sz w:val="18"/>
                <w:szCs w:val="18"/>
              </w:rPr>
            </w:pPr>
            <w:r>
              <w:rPr>
                <w:rFonts w:ascii="Arial" w:eastAsia="Arial" w:hAnsi="Arial" w:cs="Arial"/>
                <w:sz w:val="18"/>
                <w:szCs w:val="18"/>
              </w:rPr>
              <w:t>2</w:t>
            </w:r>
          </w:p>
        </w:tc>
        <w:tc>
          <w:tcPr>
            <w:tcW w:w="2757" w:type="dxa"/>
          </w:tcPr>
          <w:p w14:paraId="2E93E12E" w14:textId="77777777" w:rsidR="005B0C78" w:rsidRDefault="00F66729">
            <w:pPr>
              <w:cnfStyle w:val="000000000000" w:firstRow="0" w:lastRow="0" w:firstColumn="0" w:lastColumn="0" w:oddVBand="0" w:evenVBand="0" w:oddHBand="0" w:evenHBand="0" w:firstRowFirstColumn="0" w:firstRowLastColumn="0" w:lastRowFirstColumn="0" w:lastRowLastColumn="0"/>
              <w:rPr>
                <w:rFonts w:ascii="Arial" w:eastAsia="Arial" w:hAnsi="Arial" w:cs="Arial"/>
                <w:b/>
                <w:sz w:val="18"/>
                <w:szCs w:val="18"/>
              </w:rPr>
            </w:pPr>
            <w:r>
              <w:rPr>
                <w:rFonts w:ascii="Arial" w:eastAsia="Arial" w:hAnsi="Arial" w:cs="Arial"/>
                <w:b/>
                <w:sz w:val="18"/>
                <w:szCs w:val="18"/>
              </w:rPr>
              <w:t>Prueba técnica</w:t>
            </w:r>
          </w:p>
        </w:tc>
        <w:tc>
          <w:tcPr>
            <w:tcW w:w="6377" w:type="dxa"/>
          </w:tcPr>
          <w:p w14:paraId="7A3275ED" w14:textId="77777777" w:rsidR="005B0C78" w:rsidRDefault="00F66729">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Pr>
                <w:rFonts w:ascii="Arial" w:eastAsia="Arial" w:hAnsi="Arial" w:cs="Arial"/>
                <w:sz w:val="18"/>
                <w:szCs w:val="18"/>
              </w:rPr>
              <w:t xml:space="preserve">Inspección judicial del link </w:t>
            </w:r>
            <w:hyperlink r:id="rId20">
              <w:r>
                <w:rPr>
                  <w:rFonts w:ascii="Arial" w:eastAsia="Arial" w:hAnsi="Arial" w:cs="Arial"/>
                  <w:color w:val="0000FF"/>
                  <w:u w:val="single"/>
                </w:rPr>
                <w:t>https://www.facebook.com/</w:t>
              </w:r>
            </w:hyperlink>
            <w:r>
              <w:rPr>
                <w:rFonts w:ascii="Arial" w:eastAsia="Arial" w:hAnsi="Arial" w:cs="Arial"/>
                <w:color w:val="0000FF"/>
                <w:u w:val="single"/>
              </w:rPr>
              <w:t>ads/library/?active_status=all&amp;ad_type=political_and_issue_ads&amp;country=MX&amp;view_all_page_id=815161611910553&amp;sot_data[direction]=desc&amp;sort_data[mode]=relevancy_monthly_grouped&amp;serch_type=page&amp;media_type=all</w:t>
            </w:r>
            <w:r>
              <w:rPr>
                <w:rFonts w:ascii="Arial" w:eastAsia="Arial" w:hAnsi="Arial" w:cs="Arial"/>
              </w:rPr>
              <w:t>,</w:t>
            </w:r>
            <w:r>
              <w:rPr>
                <w:rFonts w:ascii="Arial" w:eastAsia="Arial" w:hAnsi="Arial" w:cs="Arial"/>
                <w:sz w:val="18"/>
                <w:szCs w:val="18"/>
              </w:rPr>
              <w:t xml:space="preserve"> consistente en un apartado del perfil de Facebook de la candidata Nora Ruvalcaba Gámez.</w:t>
            </w:r>
          </w:p>
        </w:tc>
      </w:tr>
      <w:tr w:rsidR="005B0C78" w14:paraId="134702A7" w14:textId="77777777" w:rsidTr="005B0C78">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499" w:type="dxa"/>
          </w:tcPr>
          <w:p w14:paraId="2D40A1DC" w14:textId="77777777" w:rsidR="005B0C78" w:rsidRDefault="00F66729">
            <w:pPr>
              <w:jc w:val="center"/>
              <w:rPr>
                <w:rFonts w:ascii="Arial" w:eastAsia="Arial" w:hAnsi="Arial" w:cs="Arial"/>
                <w:sz w:val="18"/>
                <w:szCs w:val="18"/>
              </w:rPr>
            </w:pPr>
            <w:r>
              <w:rPr>
                <w:rFonts w:ascii="Arial" w:eastAsia="Arial" w:hAnsi="Arial" w:cs="Arial"/>
                <w:sz w:val="18"/>
                <w:szCs w:val="18"/>
              </w:rPr>
              <w:t>3</w:t>
            </w:r>
          </w:p>
        </w:tc>
        <w:tc>
          <w:tcPr>
            <w:tcW w:w="2757" w:type="dxa"/>
          </w:tcPr>
          <w:p w14:paraId="238E2E18" w14:textId="77777777" w:rsidR="005B0C78" w:rsidRDefault="00F66729">
            <w:pPr>
              <w:cnfStyle w:val="000000100000" w:firstRow="0" w:lastRow="0" w:firstColumn="0" w:lastColumn="0" w:oddVBand="0" w:evenVBand="0" w:oddHBand="1" w:evenHBand="0" w:firstRowFirstColumn="0" w:firstRowLastColumn="0" w:lastRowFirstColumn="0" w:lastRowLastColumn="0"/>
              <w:rPr>
                <w:rFonts w:ascii="Arial" w:eastAsia="Arial" w:hAnsi="Arial" w:cs="Arial"/>
                <w:b/>
                <w:sz w:val="18"/>
                <w:szCs w:val="18"/>
              </w:rPr>
            </w:pPr>
            <w:r>
              <w:rPr>
                <w:rFonts w:ascii="Arial" w:eastAsia="Arial" w:hAnsi="Arial" w:cs="Arial"/>
                <w:b/>
                <w:sz w:val="18"/>
                <w:szCs w:val="18"/>
              </w:rPr>
              <w:t>Prueba técnica</w:t>
            </w:r>
          </w:p>
        </w:tc>
        <w:tc>
          <w:tcPr>
            <w:tcW w:w="6377" w:type="dxa"/>
          </w:tcPr>
          <w:p w14:paraId="208B18E6" w14:textId="77777777" w:rsidR="005B0C78" w:rsidRDefault="00F66729">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Pr>
                <w:rFonts w:ascii="Arial" w:eastAsia="Arial" w:hAnsi="Arial" w:cs="Arial"/>
                <w:sz w:val="18"/>
                <w:szCs w:val="18"/>
              </w:rPr>
              <w:t xml:space="preserve">Inspección judicial del link </w:t>
            </w:r>
            <w:r>
              <w:rPr>
                <w:rFonts w:ascii="Arial" w:eastAsia="Arial" w:hAnsi="Arial" w:cs="Arial"/>
                <w:color w:val="0000FF"/>
                <w:sz w:val="18"/>
                <w:szCs w:val="18"/>
                <w:u w:val="single"/>
              </w:rPr>
              <w:t>https://twitter.com/nora_ruvalcaba/status/1521504458613612550?s=28&amp;t=imgTTiRNsJZvqfabxvJMMq</w:t>
            </w:r>
            <w:r>
              <w:rPr>
                <w:rFonts w:ascii="Arial" w:eastAsia="Arial" w:hAnsi="Arial" w:cs="Arial"/>
                <w:sz w:val="18"/>
                <w:szCs w:val="18"/>
              </w:rPr>
              <w:t xml:space="preserve">, consistente en una publicación de Twitter de la candidata Nora Ruvalcaba Gámez. </w:t>
            </w:r>
          </w:p>
        </w:tc>
      </w:tr>
      <w:tr w:rsidR="005B0C78" w14:paraId="74AEE5F1" w14:textId="77777777" w:rsidTr="005B0C78">
        <w:trPr>
          <w:trHeight w:val="344"/>
        </w:trPr>
        <w:tc>
          <w:tcPr>
            <w:cnfStyle w:val="001000000000" w:firstRow="0" w:lastRow="0" w:firstColumn="1" w:lastColumn="0" w:oddVBand="0" w:evenVBand="0" w:oddHBand="0" w:evenHBand="0" w:firstRowFirstColumn="0" w:firstRowLastColumn="0" w:lastRowFirstColumn="0" w:lastRowLastColumn="0"/>
            <w:tcW w:w="499" w:type="dxa"/>
          </w:tcPr>
          <w:p w14:paraId="263D8501" w14:textId="77777777" w:rsidR="005B0C78" w:rsidRDefault="00F66729">
            <w:pPr>
              <w:jc w:val="center"/>
              <w:rPr>
                <w:rFonts w:ascii="Arial" w:eastAsia="Arial" w:hAnsi="Arial" w:cs="Arial"/>
                <w:sz w:val="18"/>
                <w:szCs w:val="18"/>
              </w:rPr>
            </w:pPr>
            <w:r>
              <w:rPr>
                <w:rFonts w:ascii="Arial" w:eastAsia="Arial" w:hAnsi="Arial" w:cs="Arial"/>
                <w:sz w:val="18"/>
                <w:szCs w:val="18"/>
              </w:rPr>
              <w:t>4</w:t>
            </w:r>
          </w:p>
        </w:tc>
        <w:tc>
          <w:tcPr>
            <w:tcW w:w="2757" w:type="dxa"/>
          </w:tcPr>
          <w:p w14:paraId="21244404" w14:textId="77777777" w:rsidR="005B0C78" w:rsidRDefault="00F66729">
            <w:pPr>
              <w:cnfStyle w:val="000000000000" w:firstRow="0" w:lastRow="0" w:firstColumn="0" w:lastColumn="0" w:oddVBand="0" w:evenVBand="0" w:oddHBand="0" w:evenHBand="0" w:firstRowFirstColumn="0" w:firstRowLastColumn="0" w:lastRowFirstColumn="0" w:lastRowLastColumn="0"/>
              <w:rPr>
                <w:rFonts w:ascii="Arial" w:eastAsia="Arial" w:hAnsi="Arial" w:cs="Arial"/>
                <w:b/>
                <w:sz w:val="18"/>
                <w:szCs w:val="18"/>
              </w:rPr>
            </w:pPr>
            <w:r>
              <w:rPr>
                <w:rFonts w:ascii="Arial" w:eastAsia="Arial" w:hAnsi="Arial" w:cs="Arial"/>
                <w:b/>
                <w:sz w:val="18"/>
                <w:szCs w:val="18"/>
              </w:rPr>
              <w:t>Instrumental de actuaciones</w:t>
            </w:r>
          </w:p>
        </w:tc>
        <w:tc>
          <w:tcPr>
            <w:tcW w:w="6377" w:type="dxa"/>
          </w:tcPr>
          <w:p w14:paraId="07522054" w14:textId="77777777" w:rsidR="005B0C78" w:rsidRDefault="00F66729">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Pr>
                <w:rFonts w:ascii="Arial" w:eastAsia="Arial" w:hAnsi="Arial" w:cs="Arial"/>
                <w:sz w:val="18"/>
                <w:szCs w:val="18"/>
              </w:rPr>
              <w:t>Todo lo que por su contenido y alcance favorezca a sus intereses.</w:t>
            </w:r>
          </w:p>
        </w:tc>
      </w:tr>
      <w:tr w:rsidR="005B0C78" w14:paraId="6C1BFB02" w14:textId="77777777" w:rsidTr="005B0C78">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499" w:type="dxa"/>
          </w:tcPr>
          <w:p w14:paraId="74B84DED" w14:textId="77777777" w:rsidR="005B0C78" w:rsidRDefault="00F66729">
            <w:pPr>
              <w:jc w:val="center"/>
              <w:rPr>
                <w:rFonts w:ascii="Arial" w:eastAsia="Arial" w:hAnsi="Arial" w:cs="Arial"/>
                <w:sz w:val="18"/>
                <w:szCs w:val="18"/>
              </w:rPr>
            </w:pPr>
            <w:r>
              <w:rPr>
                <w:rFonts w:ascii="Arial" w:eastAsia="Arial" w:hAnsi="Arial" w:cs="Arial"/>
                <w:sz w:val="18"/>
                <w:szCs w:val="18"/>
              </w:rPr>
              <w:t>5</w:t>
            </w:r>
          </w:p>
        </w:tc>
        <w:tc>
          <w:tcPr>
            <w:tcW w:w="2757" w:type="dxa"/>
          </w:tcPr>
          <w:p w14:paraId="5D927535" w14:textId="77777777" w:rsidR="005B0C78" w:rsidRDefault="00F66729">
            <w:pPr>
              <w:cnfStyle w:val="000000100000" w:firstRow="0" w:lastRow="0" w:firstColumn="0" w:lastColumn="0" w:oddVBand="0" w:evenVBand="0" w:oddHBand="1" w:evenHBand="0" w:firstRowFirstColumn="0" w:firstRowLastColumn="0" w:lastRowFirstColumn="0" w:lastRowLastColumn="0"/>
              <w:rPr>
                <w:rFonts w:ascii="Arial" w:eastAsia="Arial" w:hAnsi="Arial" w:cs="Arial"/>
                <w:b/>
                <w:sz w:val="18"/>
                <w:szCs w:val="18"/>
              </w:rPr>
            </w:pPr>
            <w:r>
              <w:rPr>
                <w:rFonts w:ascii="Arial" w:eastAsia="Arial" w:hAnsi="Arial" w:cs="Arial"/>
                <w:b/>
                <w:sz w:val="18"/>
                <w:szCs w:val="18"/>
              </w:rPr>
              <w:t>Presuncional legal y humana</w:t>
            </w:r>
          </w:p>
        </w:tc>
        <w:tc>
          <w:tcPr>
            <w:tcW w:w="6377" w:type="dxa"/>
          </w:tcPr>
          <w:p w14:paraId="56A752B0" w14:textId="77777777" w:rsidR="005B0C78" w:rsidRDefault="00F66729">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Pr>
                <w:rFonts w:ascii="Arial" w:eastAsia="Arial" w:hAnsi="Arial" w:cs="Arial"/>
                <w:sz w:val="18"/>
                <w:szCs w:val="18"/>
              </w:rPr>
              <w:t>Todo lo que por su contenido y alcance favorezca a sus intereses.</w:t>
            </w:r>
          </w:p>
        </w:tc>
      </w:tr>
    </w:tbl>
    <w:p w14:paraId="08796A1A" w14:textId="77777777" w:rsidR="005B0C78" w:rsidRDefault="005B0C78">
      <w:pPr>
        <w:pBdr>
          <w:top w:val="nil"/>
          <w:left w:val="nil"/>
          <w:bottom w:val="nil"/>
          <w:right w:val="nil"/>
          <w:between w:val="nil"/>
        </w:pBdr>
        <w:rPr>
          <w:color w:val="000000"/>
          <w:sz w:val="36"/>
          <w:szCs w:val="36"/>
        </w:rPr>
      </w:pPr>
    </w:p>
    <w:p w14:paraId="34E809FD" w14:textId="77777777" w:rsidR="005B0C78" w:rsidRDefault="00F66729">
      <w:pPr>
        <w:tabs>
          <w:tab w:val="left" w:pos="567"/>
        </w:tabs>
        <w:spacing w:line="360" w:lineRule="auto"/>
        <w:jc w:val="both"/>
        <w:rPr>
          <w:rFonts w:ascii="Arial" w:eastAsia="Arial" w:hAnsi="Arial" w:cs="Arial"/>
          <w:b/>
          <w:sz w:val="24"/>
          <w:szCs w:val="24"/>
        </w:rPr>
      </w:pPr>
      <w:r>
        <w:rPr>
          <w:rFonts w:ascii="Arial" w:eastAsia="Arial" w:hAnsi="Arial" w:cs="Arial"/>
          <w:b/>
          <w:sz w:val="24"/>
          <w:szCs w:val="24"/>
        </w:rPr>
        <w:t>3.2. Pruebas aportadas por la candidata y el partido político denunciados:</w:t>
      </w:r>
    </w:p>
    <w:p w14:paraId="44D3FEA2" w14:textId="77777777" w:rsidR="005B0C78" w:rsidRDefault="005B0C78">
      <w:pPr>
        <w:pBdr>
          <w:top w:val="nil"/>
          <w:left w:val="nil"/>
          <w:bottom w:val="nil"/>
          <w:right w:val="nil"/>
          <w:between w:val="nil"/>
        </w:pBdr>
        <w:rPr>
          <w:color w:val="000000"/>
        </w:rPr>
      </w:pPr>
    </w:p>
    <w:tbl>
      <w:tblPr>
        <w:tblStyle w:val="ad"/>
        <w:tblW w:w="9633" w:type="dxa"/>
        <w:tblInd w:w="0" w:type="dxa"/>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Layout w:type="fixed"/>
        <w:tblLook w:val="04A0" w:firstRow="1" w:lastRow="0" w:firstColumn="1" w:lastColumn="0" w:noHBand="0" w:noVBand="1"/>
      </w:tblPr>
      <w:tblGrid>
        <w:gridCol w:w="499"/>
        <w:gridCol w:w="2757"/>
        <w:gridCol w:w="6377"/>
      </w:tblGrid>
      <w:tr w:rsidR="005B0C78" w14:paraId="1A2320A3" w14:textId="77777777" w:rsidTr="005B0C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9" w:type="dxa"/>
          </w:tcPr>
          <w:p w14:paraId="13DC70E2" w14:textId="77777777" w:rsidR="005B0C78" w:rsidRDefault="00F66729">
            <w:pPr>
              <w:jc w:val="center"/>
              <w:rPr>
                <w:rFonts w:ascii="Arial" w:eastAsia="Arial" w:hAnsi="Arial" w:cs="Arial"/>
                <w:color w:val="000000"/>
                <w:sz w:val="18"/>
                <w:szCs w:val="18"/>
              </w:rPr>
            </w:pPr>
            <w:r>
              <w:rPr>
                <w:rFonts w:ascii="Arial" w:eastAsia="Arial" w:hAnsi="Arial" w:cs="Arial"/>
                <w:color w:val="000000"/>
                <w:sz w:val="18"/>
                <w:szCs w:val="18"/>
              </w:rPr>
              <w:t>#</w:t>
            </w:r>
          </w:p>
        </w:tc>
        <w:tc>
          <w:tcPr>
            <w:tcW w:w="2757" w:type="dxa"/>
          </w:tcPr>
          <w:p w14:paraId="0AE35463" w14:textId="77777777" w:rsidR="005B0C78" w:rsidRDefault="00F66729">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sz w:val="18"/>
                <w:szCs w:val="18"/>
              </w:rPr>
            </w:pPr>
            <w:r>
              <w:rPr>
                <w:rFonts w:ascii="Arial" w:eastAsia="Arial" w:hAnsi="Arial" w:cs="Arial"/>
                <w:color w:val="000000"/>
                <w:sz w:val="18"/>
                <w:szCs w:val="18"/>
              </w:rPr>
              <w:t>Prueba</w:t>
            </w:r>
          </w:p>
        </w:tc>
        <w:tc>
          <w:tcPr>
            <w:tcW w:w="6377" w:type="dxa"/>
          </w:tcPr>
          <w:p w14:paraId="4E291BFA" w14:textId="77777777" w:rsidR="005B0C78" w:rsidRDefault="00F66729">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sz w:val="18"/>
                <w:szCs w:val="18"/>
              </w:rPr>
            </w:pPr>
            <w:r>
              <w:rPr>
                <w:rFonts w:ascii="Arial" w:eastAsia="Arial" w:hAnsi="Arial" w:cs="Arial"/>
                <w:color w:val="000000"/>
                <w:sz w:val="18"/>
                <w:szCs w:val="18"/>
              </w:rPr>
              <w:t>Consistente en</w:t>
            </w:r>
          </w:p>
        </w:tc>
      </w:tr>
      <w:tr w:rsidR="005B0C78" w14:paraId="10891678" w14:textId="77777777" w:rsidTr="005B0C78">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499" w:type="dxa"/>
          </w:tcPr>
          <w:p w14:paraId="50A7C662" w14:textId="77777777" w:rsidR="005B0C78" w:rsidRDefault="00F66729">
            <w:pPr>
              <w:jc w:val="center"/>
              <w:rPr>
                <w:rFonts w:ascii="Arial" w:eastAsia="Arial" w:hAnsi="Arial" w:cs="Arial"/>
                <w:sz w:val="18"/>
                <w:szCs w:val="18"/>
              </w:rPr>
            </w:pPr>
            <w:r>
              <w:rPr>
                <w:rFonts w:ascii="Arial" w:eastAsia="Arial" w:hAnsi="Arial" w:cs="Arial"/>
                <w:sz w:val="18"/>
                <w:szCs w:val="18"/>
              </w:rPr>
              <w:t>1</w:t>
            </w:r>
          </w:p>
        </w:tc>
        <w:tc>
          <w:tcPr>
            <w:tcW w:w="2757" w:type="dxa"/>
          </w:tcPr>
          <w:p w14:paraId="4F728E25" w14:textId="77777777" w:rsidR="005B0C78" w:rsidRDefault="00F66729">
            <w:pPr>
              <w:cnfStyle w:val="000000100000" w:firstRow="0" w:lastRow="0" w:firstColumn="0" w:lastColumn="0" w:oddVBand="0" w:evenVBand="0" w:oddHBand="1" w:evenHBand="0" w:firstRowFirstColumn="0" w:firstRowLastColumn="0" w:lastRowFirstColumn="0" w:lastRowLastColumn="0"/>
              <w:rPr>
                <w:rFonts w:ascii="Arial" w:eastAsia="Arial" w:hAnsi="Arial" w:cs="Arial"/>
                <w:b/>
                <w:sz w:val="18"/>
                <w:szCs w:val="18"/>
              </w:rPr>
            </w:pPr>
            <w:r>
              <w:rPr>
                <w:rFonts w:ascii="Arial" w:eastAsia="Arial" w:hAnsi="Arial" w:cs="Arial"/>
                <w:b/>
                <w:sz w:val="18"/>
                <w:szCs w:val="18"/>
              </w:rPr>
              <w:t xml:space="preserve">Instrumental de actuaciones  </w:t>
            </w:r>
          </w:p>
        </w:tc>
        <w:tc>
          <w:tcPr>
            <w:tcW w:w="6377" w:type="dxa"/>
          </w:tcPr>
          <w:p w14:paraId="78C3F489" w14:textId="77777777" w:rsidR="005B0C78" w:rsidRDefault="00F66729">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Pr>
                <w:rFonts w:ascii="Arial" w:eastAsia="Arial" w:hAnsi="Arial" w:cs="Arial"/>
                <w:sz w:val="18"/>
                <w:szCs w:val="18"/>
              </w:rPr>
              <w:t>Todo lo que por su contenido y alcance favorezca a sus intereses.</w:t>
            </w:r>
          </w:p>
        </w:tc>
      </w:tr>
      <w:tr w:rsidR="005B0C78" w14:paraId="3656B0D3" w14:textId="77777777" w:rsidTr="005B0C78">
        <w:trPr>
          <w:trHeight w:val="418"/>
        </w:trPr>
        <w:tc>
          <w:tcPr>
            <w:cnfStyle w:val="001000000000" w:firstRow="0" w:lastRow="0" w:firstColumn="1" w:lastColumn="0" w:oddVBand="0" w:evenVBand="0" w:oddHBand="0" w:evenHBand="0" w:firstRowFirstColumn="0" w:firstRowLastColumn="0" w:lastRowFirstColumn="0" w:lastRowLastColumn="0"/>
            <w:tcW w:w="499" w:type="dxa"/>
          </w:tcPr>
          <w:p w14:paraId="762FC63E" w14:textId="77777777" w:rsidR="005B0C78" w:rsidRDefault="00F66729">
            <w:pPr>
              <w:jc w:val="center"/>
              <w:rPr>
                <w:rFonts w:ascii="Arial" w:eastAsia="Arial" w:hAnsi="Arial" w:cs="Arial"/>
                <w:sz w:val="18"/>
                <w:szCs w:val="18"/>
              </w:rPr>
            </w:pPr>
            <w:r>
              <w:rPr>
                <w:rFonts w:ascii="Arial" w:eastAsia="Arial" w:hAnsi="Arial" w:cs="Arial"/>
                <w:sz w:val="18"/>
                <w:szCs w:val="18"/>
              </w:rPr>
              <w:t>2</w:t>
            </w:r>
          </w:p>
        </w:tc>
        <w:tc>
          <w:tcPr>
            <w:tcW w:w="2757" w:type="dxa"/>
          </w:tcPr>
          <w:p w14:paraId="21D531C2" w14:textId="77777777" w:rsidR="005B0C78" w:rsidRDefault="00F66729">
            <w:pPr>
              <w:cnfStyle w:val="000000000000" w:firstRow="0" w:lastRow="0" w:firstColumn="0" w:lastColumn="0" w:oddVBand="0" w:evenVBand="0" w:oddHBand="0" w:evenHBand="0" w:firstRowFirstColumn="0" w:firstRowLastColumn="0" w:lastRowFirstColumn="0" w:lastRowLastColumn="0"/>
              <w:rPr>
                <w:rFonts w:ascii="Arial" w:eastAsia="Arial" w:hAnsi="Arial" w:cs="Arial"/>
                <w:b/>
                <w:sz w:val="18"/>
                <w:szCs w:val="18"/>
              </w:rPr>
            </w:pPr>
            <w:r>
              <w:rPr>
                <w:rFonts w:ascii="Arial" w:eastAsia="Arial" w:hAnsi="Arial" w:cs="Arial"/>
                <w:b/>
                <w:sz w:val="18"/>
                <w:szCs w:val="18"/>
              </w:rPr>
              <w:t>Presuncional legal y humana</w:t>
            </w:r>
          </w:p>
        </w:tc>
        <w:tc>
          <w:tcPr>
            <w:tcW w:w="6377" w:type="dxa"/>
          </w:tcPr>
          <w:p w14:paraId="0AE2B56C" w14:textId="77777777" w:rsidR="005B0C78" w:rsidRDefault="00F66729">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Pr>
                <w:rFonts w:ascii="Arial" w:eastAsia="Arial" w:hAnsi="Arial" w:cs="Arial"/>
                <w:sz w:val="18"/>
                <w:szCs w:val="18"/>
              </w:rPr>
              <w:t>Todo lo que por su contenido y alcance favorezca a sus intereses.</w:t>
            </w:r>
          </w:p>
        </w:tc>
      </w:tr>
    </w:tbl>
    <w:p w14:paraId="36CA5828" w14:textId="77777777" w:rsidR="005B0C78" w:rsidRDefault="005B0C78">
      <w:pPr>
        <w:tabs>
          <w:tab w:val="left" w:pos="567"/>
        </w:tabs>
        <w:spacing w:line="360" w:lineRule="auto"/>
        <w:jc w:val="both"/>
        <w:rPr>
          <w:rFonts w:ascii="Arial" w:eastAsia="Arial" w:hAnsi="Arial" w:cs="Arial"/>
          <w:b/>
        </w:rPr>
      </w:pPr>
    </w:p>
    <w:p w14:paraId="0BA4D7A4" w14:textId="77777777" w:rsidR="005B0C78" w:rsidRDefault="00F66729">
      <w:pPr>
        <w:pBdr>
          <w:top w:val="nil"/>
          <w:left w:val="nil"/>
          <w:bottom w:val="nil"/>
          <w:right w:val="nil"/>
          <w:between w:val="nil"/>
        </w:pBdr>
        <w:tabs>
          <w:tab w:val="left" w:pos="567"/>
        </w:tabs>
        <w:spacing w:line="360" w:lineRule="auto"/>
        <w:jc w:val="both"/>
        <w:rPr>
          <w:color w:val="000000"/>
        </w:rPr>
      </w:pPr>
      <w:r>
        <w:rPr>
          <w:rFonts w:ascii="Arial" w:eastAsia="Arial" w:hAnsi="Arial" w:cs="Arial"/>
          <w:b/>
          <w:color w:val="000000"/>
          <w:sz w:val="24"/>
          <w:szCs w:val="24"/>
        </w:rPr>
        <w:t xml:space="preserve">3.3. Valoración de pruebas. </w:t>
      </w:r>
      <w:r>
        <w:rPr>
          <w:rFonts w:ascii="Arial" w:eastAsia="Arial" w:hAnsi="Arial" w:cs="Arial"/>
          <w:color w:val="000000"/>
          <w:sz w:val="24"/>
          <w:szCs w:val="24"/>
        </w:rPr>
        <w:t xml:space="preserve">Las pruebas antes descritas, se valoran </w:t>
      </w:r>
      <w:r>
        <w:rPr>
          <w:rFonts w:ascii="Arial" w:eastAsia="Arial" w:hAnsi="Arial" w:cs="Arial"/>
          <w:sz w:val="24"/>
          <w:szCs w:val="24"/>
        </w:rPr>
        <w:t>conforme al</w:t>
      </w:r>
      <w:r>
        <w:rPr>
          <w:rFonts w:ascii="Arial" w:eastAsia="Arial" w:hAnsi="Arial" w:cs="Arial"/>
          <w:color w:val="000000"/>
          <w:sz w:val="24"/>
          <w:szCs w:val="24"/>
        </w:rPr>
        <w:t xml:space="preserve"> Código Electoral.</w:t>
      </w:r>
      <w:r>
        <w:rPr>
          <w:rFonts w:ascii="Arial" w:eastAsia="Arial" w:hAnsi="Arial" w:cs="Arial"/>
          <w:color w:val="000000"/>
          <w:sz w:val="24"/>
          <w:szCs w:val="24"/>
          <w:vertAlign w:val="superscript"/>
        </w:rPr>
        <w:t xml:space="preserve"> </w:t>
      </w:r>
      <w:r>
        <w:rPr>
          <w:rFonts w:ascii="Arial" w:eastAsia="Arial" w:hAnsi="Arial" w:cs="Arial"/>
          <w:color w:val="000000"/>
          <w:sz w:val="24"/>
          <w:szCs w:val="24"/>
          <w:vertAlign w:val="superscript"/>
        </w:rPr>
        <w:footnoteReference w:id="7"/>
      </w:r>
    </w:p>
    <w:p w14:paraId="4DF171A3" w14:textId="77777777" w:rsidR="005B0C78" w:rsidRDefault="005B0C78">
      <w:pPr>
        <w:pBdr>
          <w:top w:val="nil"/>
          <w:left w:val="nil"/>
          <w:bottom w:val="nil"/>
          <w:right w:val="nil"/>
          <w:between w:val="nil"/>
        </w:pBdr>
        <w:rPr>
          <w:color w:val="000000"/>
        </w:rPr>
      </w:pPr>
    </w:p>
    <w:p w14:paraId="42A169DC" w14:textId="77777777" w:rsidR="005B0C78" w:rsidRDefault="00F66729">
      <w:pPr>
        <w:pBdr>
          <w:top w:val="nil"/>
          <w:left w:val="nil"/>
          <w:bottom w:val="nil"/>
          <w:right w:val="nil"/>
          <w:between w:val="nil"/>
        </w:pBdr>
        <w:tabs>
          <w:tab w:val="left" w:pos="426"/>
        </w:tabs>
        <w:spacing w:line="360" w:lineRule="auto"/>
        <w:ind w:right="36"/>
        <w:jc w:val="both"/>
        <w:rPr>
          <w:rFonts w:ascii="Arial" w:eastAsia="Arial" w:hAnsi="Arial" w:cs="Arial"/>
          <w:color w:val="000000"/>
          <w:sz w:val="24"/>
          <w:szCs w:val="24"/>
        </w:rPr>
      </w:pPr>
      <w:r>
        <w:rPr>
          <w:rFonts w:ascii="Arial" w:eastAsia="Arial" w:hAnsi="Arial" w:cs="Arial"/>
          <w:b/>
          <w:color w:val="000000"/>
          <w:sz w:val="24"/>
          <w:szCs w:val="24"/>
        </w:rPr>
        <w:t xml:space="preserve">4. Hechos acreditados. </w:t>
      </w:r>
      <w:r>
        <w:rPr>
          <w:rFonts w:ascii="Arial" w:eastAsia="Arial" w:hAnsi="Arial" w:cs="Arial"/>
          <w:color w:val="000000"/>
          <w:sz w:val="24"/>
          <w:szCs w:val="24"/>
        </w:rPr>
        <w:t>Los hechos relacionados con la controversia que han quedado acreditados, conforme a la relación de las pruebas, son los siguientes:</w:t>
      </w:r>
    </w:p>
    <w:p w14:paraId="4566E920" w14:textId="77777777" w:rsidR="005B0C78" w:rsidRDefault="005B0C78">
      <w:pPr>
        <w:pBdr>
          <w:top w:val="nil"/>
          <w:left w:val="nil"/>
          <w:bottom w:val="nil"/>
          <w:right w:val="nil"/>
          <w:between w:val="nil"/>
        </w:pBdr>
        <w:tabs>
          <w:tab w:val="left" w:pos="426"/>
        </w:tabs>
        <w:spacing w:line="360" w:lineRule="auto"/>
        <w:ind w:right="36"/>
        <w:jc w:val="both"/>
        <w:rPr>
          <w:rFonts w:ascii="Arial" w:eastAsia="Arial" w:hAnsi="Arial" w:cs="Arial"/>
          <w:color w:val="000000"/>
          <w:sz w:val="6"/>
          <w:szCs w:val="6"/>
        </w:rPr>
      </w:pPr>
    </w:p>
    <w:p w14:paraId="180A400D" w14:textId="77777777" w:rsidR="005B0C78" w:rsidRDefault="00F66729">
      <w:pPr>
        <w:numPr>
          <w:ilvl w:val="0"/>
          <w:numId w:val="3"/>
        </w:numPr>
        <w:pBdr>
          <w:top w:val="nil"/>
          <w:left w:val="nil"/>
          <w:bottom w:val="nil"/>
          <w:right w:val="nil"/>
          <w:between w:val="nil"/>
        </w:pBdr>
        <w:tabs>
          <w:tab w:val="left" w:pos="284"/>
        </w:tabs>
        <w:spacing w:line="360" w:lineRule="auto"/>
        <w:ind w:left="284" w:right="36" w:hanging="284"/>
        <w:jc w:val="both"/>
        <w:rPr>
          <w:color w:val="000000"/>
          <w:sz w:val="24"/>
          <w:szCs w:val="24"/>
        </w:rPr>
      </w:pPr>
      <w:r>
        <w:rPr>
          <w:rFonts w:ascii="Arial" w:eastAsia="Arial" w:hAnsi="Arial" w:cs="Arial"/>
          <w:color w:val="000000"/>
          <w:sz w:val="24"/>
          <w:szCs w:val="24"/>
        </w:rPr>
        <w:t>La calidad del ciudadano</w:t>
      </w:r>
      <w:r>
        <w:rPr>
          <w:rFonts w:ascii="Arial" w:eastAsia="Arial" w:hAnsi="Arial" w:cs="Arial"/>
          <w:sz w:val="24"/>
          <w:szCs w:val="24"/>
        </w:rPr>
        <w:t xml:space="preserve"> Israel Ángel Ramírez, como representante suplente del PAN y de la coalición “Va por Aguascalientes” ante el Consejo General. </w:t>
      </w:r>
    </w:p>
    <w:p w14:paraId="5C47FAE1" w14:textId="77777777" w:rsidR="005B0C78" w:rsidRDefault="00F66729">
      <w:pPr>
        <w:numPr>
          <w:ilvl w:val="0"/>
          <w:numId w:val="3"/>
        </w:numPr>
        <w:pBdr>
          <w:top w:val="nil"/>
          <w:left w:val="nil"/>
          <w:bottom w:val="nil"/>
          <w:right w:val="nil"/>
          <w:between w:val="nil"/>
        </w:pBdr>
        <w:tabs>
          <w:tab w:val="left" w:pos="284"/>
        </w:tabs>
        <w:spacing w:line="360" w:lineRule="auto"/>
        <w:ind w:left="284" w:right="36" w:hanging="284"/>
        <w:jc w:val="both"/>
        <w:rPr>
          <w:color w:val="000000"/>
          <w:sz w:val="24"/>
          <w:szCs w:val="24"/>
        </w:rPr>
      </w:pPr>
      <w:r>
        <w:rPr>
          <w:rFonts w:ascii="Arial" w:eastAsia="Arial" w:hAnsi="Arial" w:cs="Arial"/>
          <w:sz w:val="24"/>
          <w:szCs w:val="24"/>
        </w:rPr>
        <w:t>La calidad de Nora Ruvalcaba Gámez, como candidata de Morena a la gubernatura del estado para el actual proceso electoral.</w:t>
      </w:r>
    </w:p>
    <w:p w14:paraId="50706081" w14:textId="77777777" w:rsidR="005B0C78" w:rsidRDefault="00F66729">
      <w:pPr>
        <w:numPr>
          <w:ilvl w:val="0"/>
          <w:numId w:val="3"/>
        </w:numPr>
        <w:pBdr>
          <w:top w:val="nil"/>
          <w:left w:val="nil"/>
          <w:bottom w:val="nil"/>
          <w:right w:val="nil"/>
          <w:between w:val="nil"/>
        </w:pBdr>
        <w:tabs>
          <w:tab w:val="left" w:pos="284"/>
        </w:tabs>
        <w:spacing w:line="360" w:lineRule="auto"/>
        <w:ind w:left="284" w:right="36" w:hanging="284"/>
        <w:jc w:val="both"/>
        <w:rPr>
          <w:color w:val="000000"/>
          <w:sz w:val="24"/>
          <w:szCs w:val="24"/>
        </w:rPr>
      </w:pPr>
      <w:r>
        <w:rPr>
          <w:rFonts w:ascii="Arial" w:eastAsia="Arial" w:hAnsi="Arial" w:cs="Arial"/>
          <w:sz w:val="24"/>
          <w:szCs w:val="24"/>
        </w:rPr>
        <w:lastRenderedPageBreak/>
        <w:t xml:space="preserve">La calidad de Ricardo Barba Parra, como representante propietario de Morena ante el Consejo General. </w:t>
      </w:r>
    </w:p>
    <w:p w14:paraId="02331BBE" w14:textId="77777777" w:rsidR="005B0C78" w:rsidRDefault="00F66729">
      <w:pPr>
        <w:numPr>
          <w:ilvl w:val="0"/>
          <w:numId w:val="3"/>
        </w:numPr>
        <w:pBdr>
          <w:top w:val="nil"/>
          <w:left w:val="nil"/>
          <w:bottom w:val="nil"/>
          <w:right w:val="nil"/>
          <w:between w:val="nil"/>
        </w:pBdr>
        <w:tabs>
          <w:tab w:val="left" w:pos="284"/>
        </w:tabs>
        <w:spacing w:line="360" w:lineRule="auto"/>
        <w:ind w:left="284" w:right="36" w:hanging="284"/>
        <w:jc w:val="both"/>
        <w:rPr>
          <w:color w:val="000000"/>
          <w:sz w:val="24"/>
          <w:szCs w:val="24"/>
        </w:rPr>
      </w:pPr>
      <w:r>
        <w:rPr>
          <w:rFonts w:ascii="Arial" w:eastAsia="Arial" w:hAnsi="Arial" w:cs="Arial"/>
          <w:color w:val="000000"/>
          <w:sz w:val="24"/>
          <w:szCs w:val="24"/>
        </w:rPr>
        <w:t xml:space="preserve">La existencia de la publicación denunciada, misma que se difundió a través de los perfiles de Facebook y Twitter de la candidata cuestionada. </w:t>
      </w:r>
    </w:p>
    <w:p w14:paraId="7DBC0A8E" w14:textId="77777777" w:rsidR="005B0C78" w:rsidRDefault="005B0C78">
      <w:pPr>
        <w:pBdr>
          <w:top w:val="nil"/>
          <w:left w:val="nil"/>
          <w:bottom w:val="nil"/>
          <w:right w:val="nil"/>
          <w:between w:val="nil"/>
        </w:pBdr>
        <w:rPr>
          <w:color w:val="000000"/>
        </w:rPr>
      </w:pPr>
    </w:p>
    <w:p w14:paraId="31EDF52E" w14:textId="77777777" w:rsidR="005B0C78" w:rsidRDefault="00F66729">
      <w:pPr>
        <w:pBdr>
          <w:top w:val="nil"/>
          <w:left w:val="nil"/>
          <w:bottom w:val="nil"/>
          <w:right w:val="nil"/>
          <w:between w:val="nil"/>
        </w:pBdr>
        <w:tabs>
          <w:tab w:val="left" w:pos="426"/>
        </w:tabs>
        <w:spacing w:line="360" w:lineRule="auto"/>
        <w:ind w:right="36"/>
        <w:jc w:val="both"/>
        <w:rPr>
          <w:rFonts w:ascii="Arial" w:eastAsia="Arial" w:hAnsi="Arial" w:cs="Arial"/>
          <w:b/>
          <w:sz w:val="24"/>
          <w:szCs w:val="24"/>
        </w:rPr>
      </w:pPr>
      <w:r>
        <w:rPr>
          <w:rFonts w:ascii="Arial" w:eastAsia="Arial" w:hAnsi="Arial" w:cs="Arial"/>
          <w:b/>
          <w:sz w:val="24"/>
          <w:szCs w:val="24"/>
        </w:rPr>
        <w:t>VI. Análisis de fondo</w:t>
      </w:r>
    </w:p>
    <w:p w14:paraId="10E3BF67" w14:textId="77777777" w:rsidR="005B0C78" w:rsidRDefault="005B0C78">
      <w:pPr>
        <w:pBdr>
          <w:top w:val="nil"/>
          <w:left w:val="nil"/>
          <w:bottom w:val="nil"/>
          <w:right w:val="nil"/>
          <w:between w:val="nil"/>
        </w:pBdr>
        <w:rPr>
          <w:color w:val="000000"/>
          <w:sz w:val="14"/>
          <w:szCs w:val="14"/>
        </w:rPr>
      </w:pPr>
    </w:p>
    <w:p w14:paraId="0C329628" w14:textId="77777777" w:rsidR="005B0C78" w:rsidRDefault="00F66729">
      <w:pPr>
        <w:numPr>
          <w:ilvl w:val="0"/>
          <w:numId w:val="1"/>
        </w:numPr>
        <w:pBdr>
          <w:top w:val="nil"/>
          <w:left w:val="nil"/>
          <w:bottom w:val="nil"/>
          <w:right w:val="nil"/>
          <w:between w:val="nil"/>
        </w:pBdr>
        <w:tabs>
          <w:tab w:val="left" w:pos="426"/>
        </w:tabs>
        <w:spacing w:line="360" w:lineRule="auto"/>
        <w:ind w:left="0" w:right="36" w:firstLine="0"/>
        <w:jc w:val="both"/>
        <w:rPr>
          <w:b/>
          <w:color w:val="000000"/>
          <w:sz w:val="24"/>
          <w:szCs w:val="24"/>
        </w:rPr>
      </w:pPr>
      <w:r>
        <w:rPr>
          <w:rFonts w:ascii="Arial" w:eastAsia="Arial" w:hAnsi="Arial" w:cs="Arial"/>
          <w:b/>
          <w:color w:val="000000"/>
          <w:sz w:val="24"/>
          <w:szCs w:val="24"/>
        </w:rPr>
        <w:t xml:space="preserve">Planteamiento de la controversia. </w:t>
      </w:r>
      <w:r>
        <w:rPr>
          <w:rFonts w:ascii="Arial" w:eastAsia="Arial" w:hAnsi="Arial" w:cs="Arial"/>
          <w:color w:val="000000"/>
          <w:sz w:val="24"/>
          <w:szCs w:val="24"/>
        </w:rPr>
        <w:t>De conformidad con lo expuesto, este Tribunal considera que la controversia a definir consiste en determinar lo siguiente:</w:t>
      </w:r>
      <w:r>
        <w:rPr>
          <w:rFonts w:ascii="Arial" w:eastAsia="Arial" w:hAnsi="Arial" w:cs="Arial"/>
          <w:b/>
          <w:color w:val="000000"/>
          <w:sz w:val="24"/>
          <w:szCs w:val="24"/>
        </w:rPr>
        <w:t xml:space="preserve"> </w:t>
      </w:r>
    </w:p>
    <w:p w14:paraId="0BB737CE" w14:textId="77777777" w:rsidR="005B0C78" w:rsidRDefault="005B0C78">
      <w:pPr>
        <w:pBdr>
          <w:top w:val="nil"/>
          <w:left w:val="nil"/>
          <w:bottom w:val="nil"/>
          <w:right w:val="nil"/>
          <w:between w:val="nil"/>
        </w:pBdr>
        <w:rPr>
          <w:color w:val="000000"/>
          <w:sz w:val="14"/>
          <w:szCs w:val="14"/>
        </w:rPr>
      </w:pPr>
    </w:p>
    <w:p w14:paraId="0EE480F4" w14:textId="77777777" w:rsidR="005B0C78" w:rsidRDefault="00F66729">
      <w:pPr>
        <w:pBdr>
          <w:top w:val="nil"/>
          <w:left w:val="nil"/>
          <w:bottom w:val="nil"/>
          <w:right w:val="nil"/>
          <w:between w:val="nil"/>
        </w:pBdr>
        <w:tabs>
          <w:tab w:val="left" w:pos="426"/>
        </w:tabs>
        <w:spacing w:line="360" w:lineRule="auto"/>
        <w:ind w:right="36"/>
        <w:jc w:val="both"/>
        <w:rPr>
          <w:rFonts w:ascii="Arial" w:eastAsia="Arial" w:hAnsi="Arial" w:cs="Arial"/>
          <w:sz w:val="24"/>
          <w:szCs w:val="24"/>
        </w:rPr>
      </w:pPr>
      <w:r>
        <w:rPr>
          <w:rFonts w:ascii="Arial" w:eastAsia="Arial" w:hAnsi="Arial" w:cs="Arial"/>
          <w:b/>
          <w:i/>
          <w:sz w:val="24"/>
          <w:szCs w:val="24"/>
        </w:rPr>
        <w:t>i)</w:t>
      </w:r>
      <w:r>
        <w:rPr>
          <w:rFonts w:ascii="Arial" w:eastAsia="Arial" w:hAnsi="Arial" w:cs="Arial"/>
          <w:sz w:val="24"/>
          <w:szCs w:val="24"/>
        </w:rPr>
        <w:t xml:space="preserve"> ¿Si el contenido de la publicación denunciada, actualiza la infracción de </w:t>
      </w:r>
      <w:r>
        <w:rPr>
          <w:rFonts w:ascii="Arial" w:eastAsia="Arial" w:hAnsi="Arial" w:cs="Arial"/>
          <w:b/>
          <w:sz w:val="24"/>
          <w:szCs w:val="24"/>
        </w:rPr>
        <w:t>calumnia</w:t>
      </w:r>
      <w:r>
        <w:rPr>
          <w:rFonts w:ascii="Arial" w:eastAsia="Arial" w:hAnsi="Arial" w:cs="Arial"/>
          <w:sz w:val="24"/>
          <w:szCs w:val="24"/>
        </w:rPr>
        <w:t xml:space="preserve"> a partir de la imputación falsa de un hecho, cometida en perjuicio del PAN, de la coalición “Va por Aguascalientes” y su candidata María Teresa Jiménez Esquivel?</w:t>
      </w:r>
    </w:p>
    <w:p w14:paraId="6F33BD12" w14:textId="77777777" w:rsidR="005B0C78" w:rsidRDefault="005B0C78">
      <w:pPr>
        <w:pBdr>
          <w:top w:val="nil"/>
          <w:left w:val="nil"/>
          <w:bottom w:val="nil"/>
          <w:right w:val="nil"/>
          <w:between w:val="nil"/>
        </w:pBdr>
        <w:rPr>
          <w:color w:val="000000"/>
          <w:sz w:val="14"/>
          <w:szCs w:val="14"/>
        </w:rPr>
      </w:pPr>
    </w:p>
    <w:p w14:paraId="2EE950BA" w14:textId="77777777" w:rsidR="005B0C78" w:rsidRDefault="00F66729">
      <w:pPr>
        <w:pBdr>
          <w:top w:val="nil"/>
          <w:left w:val="nil"/>
          <w:bottom w:val="nil"/>
          <w:right w:val="nil"/>
          <w:between w:val="nil"/>
        </w:pBdr>
        <w:tabs>
          <w:tab w:val="left" w:pos="284"/>
        </w:tabs>
        <w:spacing w:line="360" w:lineRule="auto"/>
        <w:ind w:right="36"/>
        <w:jc w:val="both"/>
        <w:rPr>
          <w:rFonts w:ascii="Arial" w:eastAsia="Arial" w:hAnsi="Arial" w:cs="Arial"/>
          <w:b/>
          <w:sz w:val="24"/>
          <w:szCs w:val="24"/>
        </w:rPr>
      </w:pPr>
      <w:r>
        <w:rPr>
          <w:rFonts w:ascii="Arial" w:eastAsia="Arial" w:hAnsi="Arial" w:cs="Arial"/>
          <w:b/>
          <w:sz w:val="24"/>
          <w:szCs w:val="24"/>
          <w:u w:val="single"/>
        </w:rPr>
        <w:t>Aparatado I.</w:t>
      </w:r>
      <w:r>
        <w:rPr>
          <w:rFonts w:ascii="Arial" w:eastAsia="Arial" w:hAnsi="Arial" w:cs="Arial"/>
          <w:b/>
          <w:sz w:val="24"/>
          <w:szCs w:val="24"/>
        </w:rPr>
        <w:t xml:space="preserve"> Decisión. </w:t>
      </w:r>
    </w:p>
    <w:p w14:paraId="47CACCB5" w14:textId="77777777" w:rsidR="005B0C78" w:rsidRDefault="005B0C78">
      <w:pPr>
        <w:pBdr>
          <w:top w:val="nil"/>
          <w:left w:val="nil"/>
          <w:bottom w:val="nil"/>
          <w:right w:val="nil"/>
          <w:between w:val="nil"/>
        </w:pBdr>
        <w:rPr>
          <w:color w:val="000000"/>
        </w:rPr>
      </w:pPr>
    </w:p>
    <w:p w14:paraId="4A1C0D20" w14:textId="77777777" w:rsidR="005B0C78" w:rsidRDefault="00F66729">
      <w:pPr>
        <w:pBdr>
          <w:top w:val="nil"/>
          <w:left w:val="nil"/>
          <w:bottom w:val="nil"/>
          <w:right w:val="nil"/>
          <w:between w:val="nil"/>
        </w:pBdr>
        <w:tabs>
          <w:tab w:val="left" w:pos="284"/>
        </w:tabs>
        <w:spacing w:line="360" w:lineRule="auto"/>
        <w:ind w:right="36"/>
        <w:jc w:val="both"/>
        <w:rPr>
          <w:rFonts w:ascii="Arial" w:eastAsia="Arial" w:hAnsi="Arial" w:cs="Arial"/>
          <w:sz w:val="24"/>
          <w:szCs w:val="24"/>
        </w:rPr>
      </w:pPr>
      <w:r>
        <w:rPr>
          <w:rFonts w:ascii="Arial" w:eastAsia="Arial" w:hAnsi="Arial" w:cs="Arial"/>
          <w:sz w:val="24"/>
          <w:szCs w:val="24"/>
        </w:rPr>
        <w:t>Este Tribunal Electoral</w:t>
      </w:r>
      <w:r>
        <w:rPr>
          <w:rFonts w:ascii="Arial" w:eastAsia="Arial" w:hAnsi="Arial" w:cs="Arial"/>
          <w:b/>
          <w:sz w:val="24"/>
          <w:szCs w:val="24"/>
        </w:rPr>
        <w:t xml:space="preserve"> </w:t>
      </w:r>
      <w:r>
        <w:rPr>
          <w:rFonts w:ascii="Arial" w:eastAsia="Arial" w:hAnsi="Arial" w:cs="Arial"/>
          <w:sz w:val="24"/>
          <w:szCs w:val="24"/>
        </w:rPr>
        <w:t xml:space="preserve">estima que debe declararse: </w:t>
      </w:r>
      <w:r>
        <w:rPr>
          <w:rFonts w:ascii="Arial" w:eastAsia="Arial" w:hAnsi="Arial" w:cs="Arial"/>
          <w:b/>
          <w:i/>
          <w:sz w:val="24"/>
          <w:szCs w:val="24"/>
        </w:rPr>
        <w:t>a)</w:t>
      </w:r>
      <w:r>
        <w:rPr>
          <w:rFonts w:ascii="Arial" w:eastAsia="Arial" w:hAnsi="Arial" w:cs="Arial"/>
          <w:b/>
          <w:sz w:val="24"/>
          <w:szCs w:val="24"/>
        </w:rPr>
        <w:t xml:space="preserve"> </w:t>
      </w:r>
      <w:r>
        <w:rPr>
          <w:rFonts w:ascii="Arial" w:eastAsia="Arial" w:hAnsi="Arial" w:cs="Arial"/>
          <w:sz w:val="24"/>
          <w:szCs w:val="24"/>
        </w:rPr>
        <w:t xml:space="preserve">la </w:t>
      </w:r>
      <w:r>
        <w:rPr>
          <w:rFonts w:ascii="Arial" w:eastAsia="Arial" w:hAnsi="Arial" w:cs="Arial"/>
          <w:b/>
          <w:sz w:val="24"/>
          <w:szCs w:val="24"/>
        </w:rPr>
        <w:t xml:space="preserve">inexistencia </w:t>
      </w:r>
      <w:r>
        <w:rPr>
          <w:rFonts w:ascii="Arial" w:eastAsia="Arial" w:hAnsi="Arial" w:cs="Arial"/>
          <w:sz w:val="24"/>
          <w:szCs w:val="24"/>
        </w:rPr>
        <w:t xml:space="preserve">de la infracción de calumnia en perjuicio del Partido Acción Nacional y de su candidata, María Teresa Jiménez Esquivel, atribuida a la ciudadana Nora Ruvalcaba Gámez, candidata a la gubernatura del estado por el partido Morena, y, </w:t>
      </w:r>
      <w:r>
        <w:rPr>
          <w:rFonts w:ascii="Arial" w:eastAsia="Arial" w:hAnsi="Arial" w:cs="Arial"/>
          <w:b/>
          <w:i/>
          <w:sz w:val="24"/>
          <w:szCs w:val="24"/>
        </w:rPr>
        <w:t xml:space="preserve">b) </w:t>
      </w:r>
      <w:r>
        <w:rPr>
          <w:rFonts w:ascii="Arial" w:eastAsia="Arial" w:hAnsi="Arial" w:cs="Arial"/>
          <w:sz w:val="24"/>
          <w:szCs w:val="24"/>
        </w:rPr>
        <w:t xml:space="preserve">la inexistencia de la infracción de </w:t>
      </w:r>
      <w:r>
        <w:rPr>
          <w:rFonts w:ascii="Arial" w:eastAsia="Arial" w:hAnsi="Arial" w:cs="Arial"/>
          <w:i/>
          <w:sz w:val="24"/>
          <w:szCs w:val="24"/>
        </w:rPr>
        <w:t>culpa in vigilando</w:t>
      </w:r>
      <w:r>
        <w:rPr>
          <w:rFonts w:ascii="Arial" w:eastAsia="Arial" w:hAnsi="Arial" w:cs="Arial"/>
          <w:sz w:val="24"/>
          <w:szCs w:val="24"/>
        </w:rPr>
        <w:t xml:space="preserve"> atribuida al partido político Morena.</w:t>
      </w:r>
    </w:p>
    <w:p w14:paraId="31306881" w14:textId="77777777" w:rsidR="005B0C78" w:rsidRDefault="00F66729">
      <w:pPr>
        <w:spacing w:before="240" w:after="240" w:line="360" w:lineRule="auto"/>
        <w:jc w:val="both"/>
        <w:rPr>
          <w:rFonts w:ascii="Arial" w:eastAsia="Arial" w:hAnsi="Arial" w:cs="Arial"/>
          <w:b/>
          <w:sz w:val="24"/>
          <w:szCs w:val="24"/>
        </w:rPr>
      </w:pPr>
      <w:r>
        <w:rPr>
          <w:rFonts w:ascii="Arial" w:eastAsia="Arial" w:hAnsi="Arial" w:cs="Arial"/>
          <w:sz w:val="24"/>
          <w:szCs w:val="24"/>
        </w:rPr>
        <w:t xml:space="preserve">Ello, porque </w:t>
      </w:r>
      <w:r>
        <w:rPr>
          <w:rFonts w:ascii="Arial" w:eastAsia="Arial" w:hAnsi="Arial" w:cs="Arial"/>
          <w:b/>
          <w:sz w:val="24"/>
          <w:szCs w:val="24"/>
        </w:rPr>
        <w:t>este órgano jurisdiccional considera</w:t>
      </w:r>
      <w:r>
        <w:rPr>
          <w:rFonts w:ascii="Arial" w:eastAsia="Arial" w:hAnsi="Arial" w:cs="Arial"/>
          <w:sz w:val="24"/>
          <w:szCs w:val="24"/>
        </w:rPr>
        <w:t xml:space="preserve"> que del análisis de las expresiones cuestionadas, se advierte que estas </w:t>
      </w:r>
      <w:r>
        <w:rPr>
          <w:rFonts w:ascii="Arial" w:eastAsia="Arial" w:hAnsi="Arial" w:cs="Arial"/>
          <w:b/>
          <w:sz w:val="24"/>
          <w:szCs w:val="24"/>
        </w:rPr>
        <w:t>se trataron de críticas dirigidas a temas que forman parte de la gestión pública</w:t>
      </w:r>
      <w:r>
        <w:rPr>
          <w:rFonts w:ascii="Arial" w:eastAsia="Arial" w:hAnsi="Arial" w:cs="Arial"/>
          <w:sz w:val="24"/>
          <w:szCs w:val="24"/>
        </w:rPr>
        <w:t xml:space="preserve"> de la candidata quejosa cuando fungió como presidenta municipal de Aguascalientes que, a su vez, se encuentran permitidas en el contexto del debate político, al estar amparadas por el derecho de la libertad de expresión y, a su vez, el derecho de la ciudadanía a emitir un voto libre e informado, por lo cual no fue posible acreditar el elemento objetivo que exige la infracción de calumnia.</w:t>
      </w:r>
    </w:p>
    <w:p w14:paraId="2925FB93" w14:textId="77777777" w:rsidR="005B0C78" w:rsidRDefault="00F66729">
      <w:pPr>
        <w:spacing w:line="360" w:lineRule="auto"/>
        <w:jc w:val="both"/>
        <w:rPr>
          <w:rFonts w:ascii="Arial" w:eastAsia="Arial" w:hAnsi="Arial" w:cs="Arial"/>
          <w:b/>
          <w:sz w:val="24"/>
          <w:szCs w:val="24"/>
        </w:rPr>
      </w:pPr>
      <w:r>
        <w:rPr>
          <w:rFonts w:ascii="Arial" w:eastAsia="Arial" w:hAnsi="Arial" w:cs="Arial"/>
          <w:b/>
          <w:sz w:val="24"/>
          <w:szCs w:val="24"/>
          <w:u w:val="single"/>
        </w:rPr>
        <w:t>Aparatado II.</w:t>
      </w:r>
      <w:r>
        <w:rPr>
          <w:rFonts w:ascii="Arial" w:eastAsia="Arial" w:hAnsi="Arial" w:cs="Arial"/>
          <w:b/>
          <w:sz w:val="24"/>
          <w:szCs w:val="24"/>
        </w:rPr>
        <w:t xml:space="preserve"> Desarrollo y justificación de la decisión </w:t>
      </w:r>
    </w:p>
    <w:p w14:paraId="313100A8" w14:textId="77777777" w:rsidR="005B0C78" w:rsidRDefault="005B0C78">
      <w:pPr>
        <w:pBdr>
          <w:top w:val="nil"/>
          <w:left w:val="nil"/>
          <w:bottom w:val="nil"/>
          <w:right w:val="nil"/>
          <w:between w:val="nil"/>
        </w:pBdr>
        <w:rPr>
          <w:color w:val="000000"/>
        </w:rPr>
      </w:pPr>
    </w:p>
    <w:p w14:paraId="3FF30718" w14:textId="77777777" w:rsidR="005B0C78" w:rsidRDefault="00F66729">
      <w:pPr>
        <w:spacing w:line="360" w:lineRule="auto"/>
        <w:jc w:val="both"/>
        <w:rPr>
          <w:rFonts w:ascii="Arial" w:eastAsia="Arial" w:hAnsi="Arial" w:cs="Arial"/>
          <w:b/>
          <w:sz w:val="24"/>
          <w:szCs w:val="24"/>
        </w:rPr>
      </w:pPr>
      <w:r>
        <w:rPr>
          <w:rFonts w:ascii="Arial" w:eastAsia="Arial" w:hAnsi="Arial" w:cs="Arial"/>
          <w:b/>
          <w:sz w:val="24"/>
          <w:szCs w:val="24"/>
        </w:rPr>
        <w:t xml:space="preserve">1. Marco normativo </w:t>
      </w:r>
    </w:p>
    <w:p w14:paraId="69640A4B" w14:textId="77777777" w:rsidR="005B0C78" w:rsidRDefault="005B0C78">
      <w:pPr>
        <w:pBdr>
          <w:top w:val="nil"/>
          <w:left w:val="nil"/>
          <w:bottom w:val="nil"/>
          <w:right w:val="nil"/>
          <w:between w:val="nil"/>
        </w:pBdr>
        <w:rPr>
          <w:color w:val="000000"/>
        </w:rPr>
      </w:pPr>
    </w:p>
    <w:p w14:paraId="3DEBD2A3" w14:textId="77777777" w:rsidR="005B0C78" w:rsidRDefault="00F66729">
      <w:pPr>
        <w:numPr>
          <w:ilvl w:val="1"/>
          <w:numId w:val="4"/>
        </w:numPr>
        <w:pBdr>
          <w:top w:val="nil"/>
          <w:left w:val="nil"/>
          <w:bottom w:val="nil"/>
          <w:right w:val="nil"/>
          <w:between w:val="nil"/>
        </w:pBdr>
        <w:spacing w:line="360" w:lineRule="auto"/>
        <w:ind w:left="567" w:hanging="567"/>
        <w:jc w:val="both"/>
        <w:rPr>
          <w:rFonts w:ascii="Arial" w:eastAsia="Arial" w:hAnsi="Arial" w:cs="Arial"/>
          <w:b/>
          <w:color w:val="000000"/>
          <w:sz w:val="24"/>
          <w:szCs w:val="24"/>
        </w:rPr>
      </w:pPr>
      <w:r>
        <w:rPr>
          <w:rFonts w:ascii="Arial" w:eastAsia="Arial" w:hAnsi="Arial" w:cs="Arial"/>
          <w:b/>
          <w:color w:val="000000"/>
          <w:sz w:val="24"/>
          <w:szCs w:val="24"/>
        </w:rPr>
        <w:t>Marco normativo de calumnia.</w:t>
      </w:r>
    </w:p>
    <w:p w14:paraId="1AFC8691" w14:textId="77777777" w:rsidR="005B0C78" w:rsidRDefault="005B0C78">
      <w:pPr>
        <w:pBdr>
          <w:top w:val="nil"/>
          <w:left w:val="nil"/>
          <w:bottom w:val="nil"/>
          <w:right w:val="nil"/>
          <w:between w:val="nil"/>
        </w:pBdr>
        <w:rPr>
          <w:color w:val="000000"/>
        </w:rPr>
      </w:pPr>
    </w:p>
    <w:p w14:paraId="64C329DD" w14:textId="77777777" w:rsidR="005B0C78" w:rsidRDefault="00F66729">
      <w:pPr>
        <w:spacing w:line="360" w:lineRule="auto"/>
        <w:jc w:val="both"/>
      </w:pPr>
      <w:r>
        <w:rPr>
          <w:rFonts w:ascii="Arial" w:eastAsia="Arial" w:hAnsi="Arial" w:cs="Arial"/>
          <w:sz w:val="24"/>
          <w:szCs w:val="24"/>
        </w:rPr>
        <w:t>El artículo 6°, de la Constitución Federal</w:t>
      </w:r>
      <w:r>
        <w:rPr>
          <w:rFonts w:ascii="Arial" w:eastAsia="Arial" w:hAnsi="Arial" w:cs="Arial"/>
          <w:sz w:val="24"/>
          <w:szCs w:val="24"/>
          <w:vertAlign w:val="superscript"/>
        </w:rPr>
        <w:footnoteReference w:id="8"/>
      </w:r>
      <w:r>
        <w:rPr>
          <w:rFonts w:ascii="Arial" w:eastAsia="Arial" w:hAnsi="Arial" w:cs="Arial"/>
          <w:sz w:val="24"/>
          <w:szCs w:val="24"/>
        </w:rPr>
        <w:t xml:space="preserve"> establece que los supuestos en los cuales la libertad de expresión se encuentra limitada, son los siguientes: </w:t>
      </w:r>
      <w:r>
        <w:rPr>
          <w:rFonts w:ascii="Arial" w:eastAsia="Arial" w:hAnsi="Arial" w:cs="Arial"/>
          <w:b/>
          <w:i/>
          <w:sz w:val="24"/>
          <w:szCs w:val="24"/>
        </w:rPr>
        <w:t>a)</w:t>
      </w:r>
      <w:r>
        <w:rPr>
          <w:rFonts w:ascii="Arial" w:eastAsia="Arial" w:hAnsi="Arial" w:cs="Arial"/>
          <w:sz w:val="24"/>
          <w:szCs w:val="24"/>
        </w:rPr>
        <w:t xml:space="preserve"> cuando se ataque a la </w:t>
      </w:r>
      <w:r>
        <w:rPr>
          <w:rFonts w:ascii="Arial" w:eastAsia="Arial" w:hAnsi="Arial" w:cs="Arial"/>
          <w:sz w:val="24"/>
          <w:szCs w:val="24"/>
        </w:rPr>
        <w:lastRenderedPageBreak/>
        <w:t xml:space="preserve">moral, a la vida privada y los derechos de terceros, </w:t>
      </w:r>
      <w:r>
        <w:rPr>
          <w:rFonts w:ascii="Arial" w:eastAsia="Arial" w:hAnsi="Arial" w:cs="Arial"/>
          <w:b/>
          <w:i/>
          <w:sz w:val="24"/>
          <w:szCs w:val="24"/>
        </w:rPr>
        <w:t>b)</w:t>
      </w:r>
      <w:r>
        <w:rPr>
          <w:rFonts w:ascii="Arial" w:eastAsia="Arial" w:hAnsi="Arial" w:cs="Arial"/>
          <w:sz w:val="24"/>
          <w:szCs w:val="24"/>
        </w:rPr>
        <w:t xml:space="preserve"> cuando se provoque algún delito y/o, </w:t>
      </w:r>
      <w:r>
        <w:rPr>
          <w:rFonts w:ascii="Arial" w:eastAsia="Arial" w:hAnsi="Arial" w:cs="Arial"/>
          <w:b/>
          <w:i/>
          <w:sz w:val="24"/>
          <w:szCs w:val="24"/>
        </w:rPr>
        <w:t>c)</w:t>
      </w:r>
      <w:r>
        <w:rPr>
          <w:rFonts w:ascii="Arial" w:eastAsia="Arial" w:hAnsi="Arial" w:cs="Arial"/>
          <w:sz w:val="24"/>
          <w:szCs w:val="24"/>
        </w:rPr>
        <w:t xml:space="preserve"> se perturbe el orden público.</w:t>
      </w:r>
    </w:p>
    <w:p w14:paraId="2E29DE2D" w14:textId="77777777" w:rsidR="005B0C78" w:rsidRDefault="00F66729">
      <w:pPr>
        <w:spacing w:before="240" w:after="240" w:line="360" w:lineRule="auto"/>
        <w:jc w:val="both"/>
      </w:pPr>
      <w:r>
        <w:rPr>
          <w:rFonts w:ascii="Arial" w:eastAsia="Arial" w:hAnsi="Arial" w:cs="Arial"/>
          <w:sz w:val="24"/>
          <w:szCs w:val="24"/>
        </w:rPr>
        <w:t xml:space="preserve">De ahí que las limitaciones a la libertad de expresión tienen como finalidad: </w:t>
      </w:r>
      <w:r>
        <w:rPr>
          <w:rFonts w:ascii="Arial" w:eastAsia="Arial" w:hAnsi="Arial" w:cs="Arial"/>
          <w:b/>
          <w:i/>
          <w:sz w:val="24"/>
          <w:szCs w:val="24"/>
        </w:rPr>
        <w:t>i)</w:t>
      </w:r>
      <w:r>
        <w:rPr>
          <w:rFonts w:ascii="Arial" w:eastAsia="Arial" w:hAnsi="Arial" w:cs="Arial"/>
          <w:sz w:val="24"/>
          <w:szCs w:val="24"/>
        </w:rPr>
        <w:t xml:space="preserve"> el respeto a los derechos y reputación de los demás y, </w:t>
      </w:r>
      <w:r>
        <w:rPr>
          <w:rFonts w:ascii="Arial" w:eastAsia="Arial" w:hAnsi="Arial" w:cs="Arial"/>
          <w:b/>
          <w:i/>
          <w:sz w:val="24"/>
          <w:szCs w:val="24"/>
        </w:rPr>
        <w:t>ii)</w:t>
      </w:r>
      <w:r>
        <w:rPr>
          <w:rFonts w:ascii="Arial" w:eastAsia="Arial" w:hAnsi="Arial" w:cs="Arial"/>
          <w:sz w:val="24"/>
          <w:szCs w:val="24"/>
        </w:rPr>
        <w:t xml:space="preserve"> la protección a la seguridad nacional y el orden público.</w:t>
      </w:r>
    </w:p>
    <w:p w14:paraId="173D247D" w14:textId="77777777" w:rsidR="005B0C78" w:rsidRDefault="00F66729">
      <w:pPr>
        <w:spacing w:before="240" w:after="240" w:line="360" w:lineRule="auto"/>
        <w:jc w:val="both"/>
      </w:pPr>
      <w:r>
        <w:rPr>
          <w:rFonts w:ascii="Arial" w:eastAsia="Arial" w:hAnsi="Arial" w:cs="Arial"/>
          <w:sz w:val="24"/>
          <w:szCs w:val="24"/>
        </w:rPr>
        <w:t>A su vez, el artículo 41, Base II, apartado C</w:t>
      </w:r>
      <w:r>
        <w:rPr>
          <w:rFonts w:ascii="Arial" w:eastAsia="Arial" w:hAnsi="Arial" w:cs="Arial"/>
          <w:sz w:val="24"/>
          <w:szCs w:val="24"/>
          <w:vertAlign w:val="superscript"/>
        </w:rPr>
        <w:footnoteReference w:id="9"/>
      </w:r>
      <w:r>
        <w:rPr>
          <w:rFonts w:ascii="Arial" w:eastAsia="Arial" w:hAnsi="Arial" w:cs="Arial"/>
          <w:sz w:val="24"/>
          <w:szCs w:val="24"/>
        </w:rPr>
        <w:t xml:space="preserve"> del mismo ordenamiento, establece que los partidos políticos y candidatos deben abstenerse de difundir propaganda que calumnie a las personas o que cometan alguna infracción electoral.</w:t>
      </w:r>
    </w:p>
    <w:p w14:paraId="1FAD9578" w14:textId="77777777" w:rsidR="005B0C78" w:rsidRDefault="00F66729">
      <w:pPr>
        <w:spacing w:before="240" w:after="240" w:line="360" w:lineRule="auto"/>
        <w:jc w:val="both"/>
      </w:pPr>
      <w:r>
        <w:rPr>
          <w:rFonts w:ascii="Arial" w:eastAsia="Arial" w:hAnsi="Arial" w:cs="Arial"/>
          <w:sz w:val="24"/>
          <w:szCs w:val="24"/>
        </w:rPr>
        <w:t>Por otro lado, el artículo 471, segundo párrafo, de la LEGIPE</w:t>
      </w:r>
      <w:r>
        <w:rPr>
          <w:rFonts w:ascii="Arial" w:eastAsia="Arial" w:hAnsi="Arial" w:cs="Arial"/>
          <w:sz w:val="24"/>
          <w:szCs w:val="24"/>
          <w:vertAlign w:val="superscript"/>
        </w:rPr>
        <w:footnoteReference w:id="10"/>
      </w:r>
      <w:r>
        <w:rPr>
          <w:rFonts w:ascii="Arial" w:eastAsia="Arial" w:hAnsi="Arial" w:cs="Arial"/>
          <w:sz w:val="24"/>
          <w:szCs w:val="24"/>
        </w:rPr>
        <w:t xml:space="preserve"> establece que </w:t>
      </w:r>
      <w:r>
        <w:rPr>
          <w:rFonts w:ascii="Arial" w:eastAsia="Arial" w:hAnsi="Arial" w:cs="Arial"/>
          <w:b/>
          <w:sz w:val="24"/>
          <w:szCs w:val="24"/>
        </w:rPr>
        <w:t>la calumnia es la imputación de hechos o delitos falsos por parte de partidos políticos</w:t>
      </w:r>
      <w:r>
        <w:rPr>
          <w:rFonts w:ascii="Arial" w:eastAsia="Arial" w:hAnsi="Arial" w:cs="Arial"/>
          <w:sz w:val="24"/>
          <w:szCs w:val="24"/>
        </w:rPr>
        <w:t xml:space="preserve"> </w:t>
      </w:r>
      <w:r>
        <w:rPr>
          <w:rFonts w:ascii="Arial" w:eastAsia="Arial" w:hAnsi="Arial" w:cs="Arial"/>
          <w:b/>
          <w:sz w:val="24"/>
          <w:szCs w:val="24"/>
        </w:rPr>
        <w:t>o candidatos</w:t>
      </w:r>
      <w:r>
        <w:rPr>
          <w:rFonts w:ascii="Arial" w:eastAsia="Arial" w:hAnsi="Arial" w:cs="Arial"/>
          <w:sz w:val="24"/>
          <w:szCs w:val="24"/>
        </w:rPr>
        <w:t>, con impacto en un proceso electoral.</w:t>
      </w:r>
    </w:p>
    <w:p w14:paraId="614BF010" w14:textId="77777777" w:rsidR="005B0C78" w:rsidRDefault="00F66729">
      <w:pPr>
        <w:spacing w:before="240" w:after="240" w:line="360" w:lineRule="auto"/>
        <w:jc w:val="both"/>
      </w:pPr>
      <w:r>
        <w:rPr>
          <w:rFonts w:ascii="Arial" w:eastAsia="Arial" w:hAnsi="Arial" w:cs="Arial"/>
          <w:sz w:val="24"/>
          <w:szCs w:val="24"/>
        </w:rPr>
        <w:t>En tal sentido, la SCJN</w:t>
      </w:r>
      <w:r>
        <w:rPr>
          <w:rFonts w:ascii="Arial" w:eastAsia="Arial" w:hAnsi="Arial" w:cs="Arial"/>
          <w:sz w:val="24"/>
          <w:szCs w:val="24"/>
          <w:vertAlign w:val="superscript"/>
        </w:rPr>
        <w:footnoteReference w:id="11"/>
      </w:r>
      <w:r>
        <w:rPr>
          <w:rFonts w:ascii="Arial" w:eastAsia="Arial" w:hAnsi="Arial" w:cs="Arial"/>
          <w:sz w:val="24"/>
          <w:szCs w:val="24"/>
        </w:rPr>
        <w:t xml:space="preserve"> estableció que para poder acreditar la calumnia es necesario que se cumplan dos elementos, estos son: </w:t>
      </w:r>
      <w:r>
        <w:rPr>
          <w:rFonts w:ascii="Arial" w:eastAsia="Arial" w:hAnsi="Arial" w:cs="Arial"/>
          <w:b/>
          <w:i/>
          <w:sz w:val="24"/>
          <w:szCs w:val="24"/>
        </w:rPr>
        <w:t>a)</w:t>
      </w:r>
      <w:r>
        <w:rPr>
          <w:rFonts w:ascii="Arial" w:eastAsia="Arial" w:hAnsi="Arial" w:cs="Arial"/>
          <w:b/>
          <w:sz w:val="24"/>
          <w:szCs w:val="24"/>
        </w:rPr>
        <w:t xml:space="preserve"> personal</w:t>
      </w:r>
      <w:r>
        <w:rPr>
          <w:rFonts w:ascii="Arial" w:eastAsia="Arial" w:hAnsi="Arial" w:cs="Arial"/>
          <w:sz w:val="24"/>
          <w:szCs w:val="24"/>
        </w:rPr>
        <w:t xml:space="preserve">, que implica valorar al sujeto que fue denunciado que, por lo general, solo pueden ser sancionados por calumnia electoral los partidos políticos, las coaliciones y las </w:t>
      </w:r>
      <w:r>
        <w:rPr>
          <w:rFonts w:ascii="Arial" w:eastAsia="Arial" w:hAnsi="Arial" w:cs="Arial"/>
          <w:b/>
          <w:sz w:val="24"/>
          <w:szCs w:val="24"/>
        </w:rPr>
        <w:t>candidaturas</w:t>
      </w:r>
      <w:r>
        <w:rPr>
          <w:rFonts w:ascii="Arial" w:eastAsia="Arial" w:hAnsi="Arial" w:cs="Arial"/>
          <w:sz w:val="24"/>
          <w:szCs w:val="24"/>
        </w:rPr>
        <w:t xml:space="preserve">, </w:t>
      </w:r>
      <w:r>
        <w:rPr>
          <w:rFonts w:ascii="Arial" w:eastAsia="Arial" w:hAnsi="Arial" w:cs="Arial"/>
          <w:b/>
          <w:i/>
          <w:sz w:val="24"/>
          <w:szCs w:val="24"/>
        </w:rPr>
        <w:t>b)</w:t>
      </w:r>
      <w:r>
        <w:rPr>
          <w:rFonts w:ascii="Arial" w:eastAsia="Arial" w:hAnsi="Arial" w:cs="Arial"/>
          <w:sz w:val="24"/>
          <w:szCs w:val="24"/>
        </w:rPr>
        <w:t xml:space="preserve"> el</w:t>
      </w:r>
      <w:r>
        <w:rPr>
          <w:rFonts w:ascii="Arial" w:eastAsia="Arial" w:hAnsi="Arial" w:cs="Arial"/>
          <w:b/>
          <w:sz w:val="24"/>
          <w:szCs w:val="24"/>
        </w:rPr>
        <w:t xml:space="preserve"> objetivo, </w:t>
      </w:r>
      <w:r>
        <w:rPr>
          <w:rFonts w:ascii="Arial" w:eastAsia="Arial" w:hAnsi="Arial" w:cs="Arial"/>
          <w:sz w:val="24"/>
          <w:szCs w:val="24"/>
        </w:rPr>
        <w:t xml:space="preserve">es decir, que exista una imputación de hechos o delitos falsos y, </w:t>
      </w:r>
      <w:r>
        <w:rPr>
          <w:rFonts w:ascii="Arial" w:eastAsia="Arial" w:hAnsi="Arial" w:cs="Arial"/>
          <w:b/>
          <w:sz w:val="24"/>
          <w:szCs w:val="24"/>
        </w:rPr>
        <w:t>c</w:t>
      </w:r>
      <w:r>
        <w:rPr>
          <w:rFonts w:ascii="Arial" w:eastAsia="Arial" w:hAnsi="Arial" w:cs="Arial"/>
          <w:b/>
          <w:i/>
          <w:sz w:val="24"/>
          <w:szCs w:val="24"/>
        </w:rPr>
        <w:t xml:space="preserve">) </w:t>
      </w:r>
      <w:r>
        <w:rPr>
          <w:rFonts w:ascii="Arial" w:eastAsia="Arial" w:hAnsi="Arial" w:cs="Arial"/>
          <w:sz w:val="24"/>
          <w:szCs w:val="24"/>
        </w:rPr>
        <w:t>el elemento</w:t>
      </w:r>
      <w:r>
        <w:rPr>
          <w:rFonts w:ascii="Arial" w:eastAsia="Arial" w:hAnsi="Arial" w:cs="Arial"/>
          <w:b/>
          <w:sz w:val="24"/>
          <w:szCs w:val="24"/>
        </w:rPr>
        <w:t xml:space="preserve"> subjetivo</w:t>
      </w:r>
      <w:r>
        <w:rPr>
          <w:rFonts w:ascii="Arial" w:eastAsia="Arial" w:hAnsi="Arial" w:cs="Arial"/>
          <w:sz w:val="24"/>
          <w:szCs w:val="24"/>
        </w:rPr>
        <w:t>, que implica que quien realiza la imputación sepa que los hechos y delitos son falsos.</w:t>
      </w:r>
    </w:p>
    <w:p w14:paraId="39457CFD" w14:textId="77777777" w:rsidR="005B0C78" w:rsidRDefault="00F66729">
      <w:pPr>
        <w:spacing w:before="240" w:after="240" w:line="360" w:lineRule="auto"/>
        <w:jc w:val="both"/>
      </w:pPr>
      <w:r>
        <w:rPr>
          <w:rFonts w:ascii="Arial" w:eastAsia="Arial" w:hAnsi="Arial" w:cs="Arial"/>
          <w:sz w:val="24"/>
          <w:szCs w:val="24"/>
        </w:rPr>
        <w:t xml:space="preserve">Por su parte, la Sala Superior estableció dos elementos adicionales para poder acreditar tal infracción y, en su caso, sancionar la calumnia. Estos son: </w:t>
      </w:r>
      <w:r>
        <w:rPr>
          <w:rFonts w:ascii="Arial" w:eastAsia="Arial" w:hAnsi="Arial" w:cs="Arial"/>
          <w:b/>
          <w:i/>
          <w:sz w:val="24"/>
          <w:szCs w:val="24"/>
        </w:rPr>
        <w:t>i)</w:t>
      </w:r>
      <w:r>
        <w:rPr>
          <w:rFonts w:ascii="Arial" w:eastAsia="Arial" w:hAnsi="Arial" w:cs="Arial"/>
          <w:sz w:val="24"/>
          <w:szCs w:val="24"/>
        </w:rPr>
        <w:t xml:space="preserve"> que las expresiones tengan un </w:t>
      </w:r>
      <w:r>
        <w:rPr>
          <w:rFonts w:ascii="Arial" w:eastAsia="Arial" w:hAnsi="Arial" w:cs="Arial"/>
          <w:b/>
          <w:sz w:val="24"/>
          <w:szCs w:val="24"/>
        </w:rPr>
        <w:t>impacto en el proceso</w:t>
      </w:r>
      <w:r>
        <w:rPr>
          <w:rFonts w:ascii="Arial" w:eastAsia="Arial" w:hAnsi="Arial" w:cs="Arial"/>
          <w:sz w:val="24"/>
          <w:szCs w:val="24"/>
        </w:rPr>
        <w:t xml:space="preserve"> electoral y; </w:t>
      </w:r>
      <w:r>
        <w:rPr>
          <w:rFonts w:ascii="Arial" w:eastAsia="Arial" w:hAnsi="Arial" w:cs="Arial"/>
          <w:b/>
          <w:i/>
          <w:sz w:val="24"/>
          <w:szCs w:val="24"/>
        </w:rPr>
        <w:t>ii)</w:t>
      </w:r>
      <w:r>
        <w:rPr>
          <w:rFonts w:ascii="Arial" w:eastAsia="Arial" w:hAnsi="Arial" w:cs="Arial"/>
          <w:sz w:val="24"/>
          <w:szCs w:val="24"/>
        </w:rPr>
        <w:t xml:space="preserve"> que las expresiones se hubiesen realizado de </w:t>
      </w:r>
      <w:r>
        <w:rPr>
          <w:rFonts w:ascii="Arial" w:eastAsia="Arial" w:hAnsi="Arial" w:cs="Arial"/>
          <w:b/>
          <w:sz w:val="24"/>
          <w:szCs w:val="24"/>
        </w:rPr>
        <w:t>forma maliciosa</w:t>
      </w:r>
      <w:r>
        <w:rPr>
          <w:rFonts w:ascii="Arial" w:eastAsia="Arial" w:hAnsi="Arial" w:cs="Arial"/>
          <w:sz w:val="24"/>
          <w:szCs w:val="24"/>
        </w:rPr>
        <w:t>. Asimismo, sostuvo que al establecer las expresiones que presuntamente constituyen calumnia no solo deben ser analizadas por su contenido, sino también en su contexto.</w:t>
      </w:r>
      <w:r>
        <w:rPr>
          <w:rFonts w:ascii="Arial" w:eastAsia="Arial" w:hAnsi="Arial" w:cs="Arial"/>
          <w:sz w:val="24"/>
          <w:szCs w:val="24"/>
          <w:vertAlign w:val="superscript"/>
        </w:rPr>
        <w:footnoteReference w:id="12"/>
      </w:r>
    </w:p>
    <w:p w14:paraId="39D8D452" w14:textId="77777777" w:rsidR="005B0C78" w:rsidRDefault="00F66729">
      <w:pPr>
        <w:spacing w:before="240" w:after="240" w:line="360" w:lineRule="auto"/>
        <w:jc w:val="both"/>
      </w:pPr>
      <w:r>
        <w:rPr>
          <w:rFonts w:ascii="Arial" w:eastAsia="Arial" w:hAnsi="Arial" w:cs="Arial"/>
          <w:sz w:val="24"/>
          <w:szCs w:val="24"/>
        </w:rPr>
        <w:t xml:space="preserve">De lo anterior, podemos concluir que </w:t>
      </w:r>
      <w:r>
        <w:rPr>
          <w:rFonts w:ascii="Arial" w:eastAsia="Arial" w:hAnsi="Arial" w:cs="Arial"/>
          <w:b/>
          <w:sz w:val="24"/>
          <w:szCs w:val="24"/>
        </w:rPr>
        <w:t>la restricción a la libertad de expresión en el ámbito electoral, es constitucional</w:t>
      </w:r>
      <w:r>
        <w:rPr>
          <w:rFonts w:ascii="Arial" w:eastAsia="Arial" w:hAnsi="Arial" w:cs="Arial"/>
          <w:sz w:val="24"/>
          <w:szCs w:val="24"/>
        </w:rPr>
        <w:t xml:space="preserve">. Pues dicha restricción no limita la libre circulación de crítica, ya que </w:t>
      </w:r>
      <w:r>
        <w:rPr>
          <w:rFonts w:ascii="Arial" w:eastAsia="Arial" w:hAnsi="Arial" w:cs="Arial"/>
          <w:b/>
          <w:sz w:val="24"/>
          <w:szCs w:val="24"/>
        </w:rPr>
        <w:t>incluso permite expresiones severas, vehementes, molestas o perturbadoras</w:t>
      </w:r>
      <w:r>
        <w:rPr>
          <w:rFonts w:ascii="Arial" w:eastAsia="Arial" w:hAnsi="Arial" w:cs="Arial"/>
          <w:sz w:val="24"/>
          <w:szCs w:val="24"/>
        </w:rPr>
        <w:t>.</w:t>
      </w:r>
    </w:p>
    <w:p w14:paraId="4E562288" w14:textId="77777777" w:rsidR="005B0C78" w:rsidRDefault="00F66729">
      <w:pPr>
        <w:spacing w:before="240" w:after="240" w:line="360" w:lineRule="auto"/>
        <w:jc w:val="both"/>
      </w:pPr>
      <w:r>
        <w:rPr>
          <w:rFonts w:ascii="Arial" w:eastAsia="Arial" w:hAnsi="Arial" w:cs="Arial"/>
          <w:b/>
          <w:sz w:val="24"/>
          <w:szCs w:val="24"/>
        </w:rPr>
        <w:lastRenderedPageBreak/>
        <w:t>1.2.</w:t>
      </w:r>
      <w:r>
        <w:rPr>
          <w:sz w:val="14"/>
          <w:szCs w:val="14"/>
        </w:rPr>
        <w:t xml:space="preserve">     </w:t>
      </w:r>
      <w:r>
        <w:rPr>
          <w:rFonts w:ascii="Arial" w:eastAsia="Arial" w:hAnsi="Arial" w:cs="Arial"/>
          <w:b/>
          <w:sz w:val="24"/>
          <w:szCs w:val="24"/>
        </w:rPr>
        <w:t>Marco normativo de la libertad de expresión en las redes sociales.</w:t>
      </w:r>
    </w:p>
    <w:p w14:paraId="5977A5F4" w14:textId="77777777" w:rsidR="005B0C78" w:rsidRDefault="00F66729">
      <w:pPr>
        <w:spacing w:before="240" w:after="240" w:line="360" w:lineRule="auto"/>
        <w:jc w:val="both"/>
      </w:pPr>
      <w:r>
        <w:rPr>
          <w:rFonts w:ascii="Arial" w:eastAsia="Arial" w:hAnsi="Arial" w:cs="Arial"/>
          <w:sz w:val="24"/>
          <w:szCs w:val="24"/>
        </w:rPr>
        <w:t>Las redes sociales constituyen una herramienta útil para general la comunicación social, ya que permite a un número indefinido de personas, a fin de que puedan acceder, compartir e intercambiar información, de manera global, instantánea y a un bajo costo.</w:t>
      </w:r>
    </w:p>
    <w:p w14:paraId="5E2666B8" w14:textId="77777777" w:rsidR="005B0C78" w:rsidRDefault="00F66729">
      <w:pPr>
        <w:spacing w:before="240" w:after="240" w:line="360" w:lineRule="auto"/>
        <w:jc w:val="both"/>
      </w:pPr>
      <w:r>
        <w:rPr>
          <w:rFonts w:ascii="Arial" w:eastAsia="Arial" w:hAnsi="Arial" w:cs="Arial"/>
          <w:sz w:val="24"/>
          <w:szCs w:val="24"/>
        </w:rPr>
        <w:t>Además, este medio de comunicación tiene la ventaja de que la comunicación no es unidireccional, esto es, que los usuarios pueden interactuar de diferentes maneras y con varias personas a la vez. Por otro lado, las redes sociales son el medio idóneo para que las personas ejerzan de manera plena sus derechos a la libertad de expresión, opinión, asociación y reunión.</w:t>
      </w:r>
    </w:p>
    <w:p w14:paraId="023F7BF6" w14:textId="77777777" w:rsidR="005B0C78" w:rsidRDefault="00F66729">
      <w:pPr>
        <w:spacing w:before="240" w:after="240" w:line="360" w:lineRule="auto"/>
        <w:jc w:val="both"/>
      </w:pPr>
      <w:r>
        <w:rPr>
          <w:rFonts w:ascii="Arial" w:eastAsia="Arial" w:hAnsi="Arial" w:cs="Arial"/>
          <w:sz w:val="24"/>
          <w:szCs w:val="24"/>
        </w:rPr>
        <w:t xml:space="preserve">Igualmente, tales medios fungen como un medio de comunicación masivo que </w:t>
      </w:r>
      <w:r>
        <w:rPr>
          <w:rFonts w:ascii="Arial" w:eastAsia="Arial" w:hAnsi="Arial" w:cs="Arial"/>
          <w:b/>
          <w:sz w:val="24"/>
          <w:szCs w:val="24"/>
        </w:rPr>
        <w:t>permite a los usuarios tener un debate amplio y robusto</w:t>
      </w:r>
      <w:r>
        <w:rPr>
          <w:rFonts w:ascii="Arial" w:eastAsia="Arial" w:hAnsi="Arial" w:cs="Arial"/>
          <w:sz w:val="24"/>
          <w:szCs w:val="24"/>
        </w:rPr>
        <w:t xml:space="preserve">, en el que los usuarios </w:t>
      </w:r>
      <w:r>
        <w:rPr>
          <w:rFonts w:ascii="Arial" w:eastAsia="Arial" w:hAnsi="Arial" w:cs="Arial"/>
          <w:b/>
          <w:sz w:val="24"/>
          <w:szCs w:val="24"/>
        </w:rPr>
        <w:t>intercambien ideas y opiniones, positivas o negativas</w:t>
      </w:r>
      <w:r>
        <w:rPr>
          <w:rFonts w:ascii="Arial" w:eastAsia="Arial" w:hAnsi="Arial" w:cs="Arial"/>
          <w:sz w:val="24"/>
          <w:szCs w:val="24"/>
        </w:rPr>
        <w:t>, de manera ágil y fluida. Por ende, las redes sociales se vuelven un vehículo de suma importancia para la democracia.</w:t>
      </w:r>
      <w:r>
        <w:t xml:space="preserve"> </w:t>
      </w:r>
    </w:p>
    <w:p w14:paraId="58833B0C" w14:textId="77777777" w:rsidR="005B0C78" w:rsidRDefault="00F66729">
      <w:pPr>
        <w:spacing w:before="240" w:line="360" w:lineRule="auto"/>
        <w:jc w:val="both"/>
        <w:rPr>
          <w:rFonts w:ascii="Arial" w:eastAsia="Arial" w:hAnsi="Arial" w:cs="Arial"/>
          <w:sz w:val="24"/>
          <w:szCs w:val="24"/>
        </w:rPr>
      </w:pPr>
      <w:r>
        <w:rPr>
          <w:rFonts w:ascii="Arial" w:eastAsia="Arial" w:hAnsi="Arial" w:cs="Arial"/>
          <w:sz w:val="24"/>
          <w:szCs w:val="24"/>
        </w:rPr>
        <w:t xml:space="preserve">De lo anterior es posible concluir que, si bien los contenidos en las redes sociales pueden ser susceptibles de constituir una infracción en materia electoral, también lo es que la </w:t>
      </w:r>
      <w:r>
        <w:rPr>
          <w:rFonts w:ascii="Arial" w:eastAsia="Arial" w:hAnsi="Arial" w:cs="Arial"/>
          <w:b/>
          <w:sz w:val="24"/>
          <w:szCs w:val="24"/>
        </w:rPr>
        <w:t>libertad de expresión a través de redes sociales goza, en principio, de una presunción de espontaneidad</w:t>
      </w:r>
      <w:r>
        <w:rPr>
          <w:rFonts w:ascii="Arial" w:eastAsia="Arial" w:hAnsi="Arial" w:cs="Arial"/>
          <w:sz w:val="24"/>
          <w:szCs w:val="24"/>
        </w:rPr>
        <w:t>, es decir, que la difusión de mensajes, videos, fotografías o cualquier elemento audiovisual cuenta con una protección amplia.</w:t>
      </w:r>
    </w:p>
    <w:p w14:paraId="3D7D1B6C" w14:textId="77777777" w:rsidR="005B0C78" w:rsidRDefault="005B0C78">
      <w:pPr>
        <w:pBdr>
          <w:top w:val="nil"/>
          <w:left w:val="nil"/>
          <w:bottom w:val="nil"/>
          <w:right w:val="nil"/>
          <w:between w:val="nil"/>
        </w:pBdr>
        <w:tabs>
          <w:tab w:val="left" w:pos="284"/>
        </w:tabs>
        <w:ind w:right="36"/>
        <w:jc w:val="both"/>
        <w:rPr>
          <w:rFonts w:ascii="Arial" w:eastAsia="Arial" w:hAnsi="Arial" w:cs="Arial"/>
          <w:sz w:val="24"/>
          <w:szCs w:val="24"/>
        </w:rPr>
      </w:pPr>
    </w:p>
    <w:p w14:paraId="0391C379" w14:textId="77777777" w:rsidR="005B0C78" w:rsidRDefault="00F66729">
      <w:pPr>
        <w:pBdr>
          <w:top w:val="nil"/>
          <w:left w:val="nil"/>
          <w:bottom w:val="nil"/>
          <w:right w:val="nil"/>
          <w:between w:val="nil"/>
        </w:pBdr>
        <w:tabs>
          <w:tab w:val="left" w:pos="284"/>
        </w:tabs>
        <w:spacing w:line="360" w:lineRule="auto"/>
        <w:ind w:right="36"/>
        <w:jc w:val="both"/>
        <w:rPr>
          <w:rFonts w:ascii="Arial" w:eastAsia="Arial" w:hAnsi="Arial" w:cs="Arial"/>
          <w:b/>
          <w:color w:val="000000"/>
          <w:sz w:val="24"/>
          <w:szCs w:val="24"/>
        </w:rPr>
      </w:pPr>
      <w:r>
        <w:rPr>
          <w:rFonts w:ascii="Arial" w:eastAsia="Arial" w:hAnsi="Arial" w:cs="Arial"/>
          <w:b/>
          <w:color w:val="000000"/>
          <w:sz w:val="24"/>
          <w:szCs w:val="24"/>
        </w:rPr>
        <w:t>2. Caso Concreto</w:t>
      </w:r>
    </w:p>
    <w:p w14:paraId="0A04A624" w14:textId="77777777" w:rsidR="005B0C78" w:rsidRDefault="005B0C78">
      <w:pPr>
        <w:pBdr>
          <w:top w:val="nil"/>
          <w:left w:val="nil"/>
          <w:bottom w:val="nil"/>
          <w:right w:val="nil"/>
          <w:between w:val="nil"/>
        </w:pBdr>
        <w:rPr>
          <w:color w:val="000000"/>
        </w:rPr>
      </w:pPr>
    </w:p>
    <w:p w14:paraId="6F667ADB" w14:textId="77777777" w:rsidR="005B0C78" w:rsidRDefault="00F66729">
      <w:pPr>
        <w:spacing w:line="360" w:lineRule="auto"/>
        <w:jc w:val="both"/>
        <w:rPr>
          <w:rFonts w:ascii="Arial" w:eastAsia="Arial" w:hAnsi="Arial" w:cs="Arial"/>
          <w:sz w:val="24"/>
          <w:szCs w:val="24"/>
        </w:rPr>
      </w:pPr>
      <w:r>
        <w:rPr>
          <w:rFonts w:ascii="Arial" w:eastAsia="Arial" w:hAnsi="Arial" w:cs="Arial"/>
          <w:sz w:val="24"/>
          <w:szCs w:val="24"/>
        </w:rPr>
        <w:t xml:space="preserve">El PAN, en el contexto del proceso electoral 2021-2022 en el que se renueva a la gubernatura de Aguascalientes, presentó una queja ante el Instituto Local en contra de Nora Ruvalcaba Gámez, en su calidad de candidata por Morena, y del propio instituto político porque, a su parecer, la primera cometió calumnia en perjuicio del propio instituto político y de su candidata María Teresa Jiménez Esquivel, a partir de la realización de una publicación difundida en los perfiles de Facebook y Twitter de la candidata cuestionada, en el cual se realizaron una serie de expresiones que consistieron en la imputación de una serie de hechos falsos. </w:t>
      </w:r>
    </w:p>
    <w:p w14:paraId="49842436" w14:textId="77777777" w:rsidR="005B0C78" w:rsidRDefault="005B0C78">
      <w:pPr>
        <w:pBdr>
          <w:top w:val="nil"/>
          <w:left w:val="nil"/>
          <w:bottom w:val="nil"/>
          <w:right w:val="nil"/>
          <w:between w:val="nil"/>
        </w:pBdr>
        <w:rPr>
          <w:color w:val="000000"/>
        </w:rPr>
      </w:pPr>
    </w:p>
    <w:p w14:paraId="6D6E00CF" w14:textId="77777777" w:rsidR="005B0C78" w:rsidRDefault="00F66729">
      <w:pPr>
        <w:spacing w:line="360" w:lineRule="auto"/>
        <w:jc w:val="both"/>
        <w:rPr>
          <w:rFonts w:ascii="Arial" w:eastAsia="Arial" w:hAnsi="Arial" w:cs="Arial"/>
          <w:sz w:val="24"/>
          <w:szCs w:val="24"/>
        </w:rPr>
      </w:pPr>
      <w:r>
        <w:rPr>
          <w:rFonts w:ascii="Arial" w:eastAsia="Arial" w:hAnsi="Arial" w:cs="Arial"/>
          <w:sz w:val="24"/>
          <w:szCs w:val="24"/>
        </w:rPr>
        <w:t xml:space="preserve">El mensaje cuestionado es el siguiente: </w:t>
      </w:r>
    </w:p>
    <w:p w14:paraId="3021F332" w14:textId="77777777" w:rsidR="005B0C78" w:rsidRDefault="005B0C78">
      <w:pPr>
        <w:pBdr>
          <w:top w:val="nil"/>
          <w:left w:val="nil"/>
          <w:bottom w:val="nil"/>
          <w:right w:val="nil"/>
          <w:between w:val="nil"/>
        </w:pBdr>
        <w:rPr>
          <w:color w:val="000000"/>
        </w:rPr>
      </w:pPr>
    </w:p>
    <w:p w14:paraId="217B9185" w14:textId="77777777" w:rsidR="005B0C78" w:rsidRDefault="00F66729" w:rsidP="00233ED4">
      <w:pPr>
        <w:pBdr>
          <w:top w:val="nil"/>
          <w:left w:val="nil"/>
          <w:bottom w:val="nil"/>
          <w:right w:val="nil"/>
          <w:between w:val="nil"/>
        </w:pBdr>
        <w:tabs>
          <w:tab w:val="left" w:pos="7797"/>
        </w:tabs>
        <w:ind w:left="1276" w:right="1750"/>
        <w:jc w:val="both"/>
        <w:rPr>
          <w:rFonts w:ascii="Arial" w:eastAsia="Arial" w:hAnsi="Arial" w:cs="Arial"/>
          <w:i/>
          <w:sz w:val="22"/>
          <w:szCs w:val="22"/>
        </w:rPr>
      </w:pPr>
      <w:r>
        <w:rPr>
          <w:rFonts w:ascii="Arial" w:eastAsia="Arial" w:hAnsi="Arial" w:cs="Arial"/>
          <w:sz w:val="22"/>
          <w:szCs w:val="22"/>
        </w:rPr>
        <w:t>TÍTULO DE LA PUBLICACIÓN:</w:t>
      </w:r>
      <w:r>
        <w:rPr>
          <w:rFonts w:ascii="Arial" w:eastAsia="Arial" w:hAnsi="Arial" w:cs="Arial"/>
          <w:i/>
          <w:sz w:val="22"/>
          <w:szCs w:val="22"/>
        </w:rPr>
        <w:t xml:space="preserve"> “Hoy el PAN pide paneles solares gratuitos, claro, para seguir llenándose los bolsillos. Para muestra Aguascalientes y </w:t>
      </w:r>
      <w:r>
        <w:rPr>
          <w:rFonts w:ascii="Arial" w:eastAsia="Arial" w:hAnsi="Arial" w:cs="Arial"/>
          <w:b/>
          <w:i/>
          <w:sz w:val="22"/>
          <w:szCs w:val="22"/>
        </w:rPr>
        <w:t>28 MIL MILLONES de pesos tirados a la basura por la candidata del PRIAN Teresa Jiménez</w:t>
      </w:r>
      <w:r>
        <w:rPr>
          <w:rFonts w:ascii="Arial" w:eastAsia="Arial" w:hAnsi="Arial" w:cs="Arial"/>
          <w:i/>
          <w:sz w:val="22"/>
          <w:szCs w:val="22"/>
        </w:rPr>
        <w:t xml:space="preserve">.” </w:t>
      </w:r>
    </w:p>
    <w:p w14:paraId="1C8A5251" w14:textId="77777777" w:rsidR="005B0C78" w:rsidRDefault="005B0C78" w:rsidP="00233ED4">
      <w:pPr>
        <w:pBdr>
          <w:top w:val="nil"/>
          <w:left w:val="nil"/>
          <w:bottom w:val="nil"/>
          <w:right w:val="nil"/>
          <w:between w:val="nil"/>
        </w:pBdr>
        <w:tabs>
          <w:tab w:val="left" w:pos="7797"/>
        </w:tabs>
        <w:ind w:left="1276" w:right="1750"/>
        <w:jc w:val="both"/>
        <w:rPr>
          <w:rFonts w:ascii="Arial" w:eastAsia="Arial" w:hAnsi="Arial" w:cs="Arial"/>
          <w:sz w:val="22"/>
          <w:szCs w:val="22"/>
        </w:rPr>
      </w:pPr>
    </w:p>
    <w:p w14:paraId="0184AD58" w14:textId="77777777" w:rsidR="005B0C78" w:rsidRDefault="00F66729" w:rsidP="00233ED4">
      <w:pPr>
        <w:pBdr>
          <w:top w:val="nil"/>
          <w:left w:val="nil"/>
          <w:bottom w:val="nil"/>
          <w:right w:val="nil"/>
          <w:between w:val="nil"/>
        </w:pBdr>
        <w:tabs>
          <w:tab w:val="left" w:pos="7797"/>
        </w:tabs>
        <w:ind w:left="1276" w:right="1750"/>
        <w:jc w:val="both"/>
        <w:rPr>
          <w:rFonts w:ascii="Arial" w:eastAsia="Arial" w:hAnsi="Arial" w:cs="Arial"/>
          <w:i/>
          <w:sz w:val="22"/>
          <w:szCs w:val="22"/>
        </w:rPr>
      </w:pPr>
      <w:r>
        <w:rPr>
          <w:rFonts w:ascii="Arial" w:eastAsia="Arial" w:hAnsi="Arial" w:cs="Arial"/>
          <w:sz w:val="22"/>
          <w:szCs w:val="22"/>
        </w:rPr>
        <w:lastRenderedPageBreak/>
        <w:t>CONTENIDO DEL VIDEO:</w:t>
      </w:r>
      <w:r>
        <w:rPr>
          <w:rFonts w:ascii="Arial" w:eastAsia="Arial" w:hAnsi="Arial" w:cs="Arial"/>
          <w:i/>
          <w:sz w:val="22"/>
          <w:szCs w:val="22"/>
        </w:rPr>
        <w:t xml:space="preserve"> “Vine a conocer otro de los </w:t>
      </w:r>
      <w:r>
        <w:rPr>
          <w:rFonts w:ascii="Arial" w:eastAsia="Arial" w:hAnsi="Arial" w:cs="Arial"/>
          <w:b/>
          <w:i/>
          <w:sz w:val="22"/>
          <w:szCs w:val="22"/>
        </w:rPr>
        <w:t>emblemas de la corrupción de Teresa Jiménez</w:t>
      </w:r>
      <w:r>
        <w:rPr>
          <w:rFonts w:ascii="Arial" w:eastAsia="Arial" w:hAnsi="Arial" w:cs="Arial"/>
          <w:i/>
          <w:sz w:val="22"/>
          <w:szCs w:val="22"/>
        </w:rPr>
        <w:t xml:space="preserve">, </w:t>
      </w:r>
      <w:r>
        <w:rPr>
          <w:rFonts w:ascii="Arial" w:eastAsia="Arial" w:hAnsi="Arial" w:cs="Arial"/>
          <w:b/>
          <w:i/>
          <w:sz w:val="22"/>
          <w:szCs w:val="22"/>
        </w:rPr>
        <w:t>el parque de energía solar que no produce energía</w:t>
      </w:r>
      <w:r>
        <w:rPr>
          <w:rFonts w:ascii="Arial" w:eastAsia="Arial" w:hAnsi="Arial" w:cs="Arial"/>
          <w:i/>
          <w:sz w:val="22"/>
          <w:szCs w:val="22"/>
        </w:rPr>
        <w:t>. [...]</w:t>
      </w:r>
    </w:p>
    <w:p w14:paraId="59FABA1F" w14:textId="77777777" w:rsidR="005B0C78" w:rsidRDefault="00F66729" w:rsidP="00233ED4">
      <w:pPr>
        <w:tabs>
          <w:tab w:val="left" w:pos="7797"/>
        </w:tabs>
        <w:ind w:left="1276" w:right="1750"/>
        <w:jc w:val="both"/>
        <w:rPr>
          <w:rFonts w:ascii="Arial" w:eastAsia="Arial" w:hAnsi="Arial" w:cs="Arial"/>
          <w:sz w:val="22"/>
          <w:szCs w:val="22"/>
        </w:rPr>
      </w:pPr>
      <w:r>
        <w:rPr>
          <w:rFonts w:ascii="Arial" w:eastAsia="Arial" w:hAnsi="Arial" w:cs="Arial"/>
          <w:sz w:val="22"/>
          <w:szCs w:val="22"/>
        </w:rPr>
        <w:t>Teresa Jiménez, te lo digo de frente, las cuentas no te cuadran.</w:t>
      </w:r>
      <w:r>
        <w:rPr>
          <w:rFonts w:ascii="Arial" w:eastAsia="Arial" w:hAnsi="Arial" w:cs="Arial"/>
          <w:b/>
          <w:sz w:val="22"/>
          <w:szCs w:val="22"/>
        </w:rPr>
        <w:t xml:space="preserve"> Este proyecto que le entregaste a tu amiga Jovita Morín</w:t>
      </w:r>
      <w:r>
        <w:rPr>
          <w:rFonts w:ascii="Arial" w:eastAsia="Arial" w:hAnsi="Arial" w:cs="Arial"/>
          <w:sz w:val="22"/>
          <w:szCs w:val="22"/>
        </w:rPr>
        <w:t>, accionista de Next Energy, nos costó veintiocho mil millones de pesos, cuando generar electricidad por treinta años sólo cuesta cuatrocientos veinte millones.</w:t>
      </w:r>
    </w:p>
    <w:p w14:paraId="02C3171A" w14:textId="77777777" w:rsidR="005B0C78" w:rsidRDefault="00F66729" w:rsidP="00233ED4">
      <w:pPr>
        <w:tabs>
          <w:tab w:val="left" w:pos="7797"/>
        </w:tabs>
        <w:ind w:left="1276" w:right="1750"/>
        <w:jc w:val="both"/>
        <w:rPr>
          <w:rFonts w:ascii="Arial" w:eastAsia="Arial" w:hAnsi="Arial" w:cs="Arial"/>
          <w:color w:val="555555"/>
          <w:sz w:val="22"/>
          <w:szCs w:val="22"/>
        </w:rPr>
      </w:pPr>
      <w:r>
        <w:rPr>
          <w:rFonts w:ascii="Arial" w:eastAsia="Arial" w:hAnsi="Arial" w:cs="Arial"/>
          <w:sz w:val="22"/>
          <w:szCs w:val="22"/>
        </w:rPr>
        <w:t>La corrupción engendra más corrupción. [...]</w:t>
      </w:r>
      <w:r>
        <w:rPr>
          <w:rFonts w:ascii="Arial" w:eastAsia="Arial" w:hAnsi="Arial" w:cs="Arial"/>
          <w:color w:val="000000"/>
          <w:sz w:val="22"/>
          <w:szCs w:val="22"/>
        </w:rPr>
        <w:t>”</w:t>
      </w:r>
    </w:p>
    <w:p w14:paraId="323B3397" w14:textId="77777777" w:rsidR="00233ED4" w:rsidRPr="00233ED4" w:rsidRDefault="00233ED4">
      <w:pPr>
        <w:spacing w:before="240" w:after="240" w:line="360" w:lineRule="auto"/>
        <w:ind w:right="40"/>
        <w:jc w:val="both"/>
        <w:rPr>
          <w:rFonts w:ascii="Arial" w:eastAsia="Arial" w:hAnsi="Arial" w:cs="Arial"/>
          <w:b/>
        </w:rPr>
      </w:pPr>
    </w:p>
    <w:p w14:paraId="1159E53D" w14:textId="4C45F0FF" w:rsidR="005B0C78" w:rsidRDefault="00F66729">
      <w:pPr>
        <w:spacing w:before="240" w:after="240" w:line="360" w:lineRule="auto"/>
        <w:ind w:right="40"/>
        <w:jc w:val="both"/>
        <w:rPr>
          <w:rFonts w:ascii="Arial" w:eastAsia="Arial" w:hAnsi="Arial" w:cs="Arial"/>
          <w:b/>
          <w:sz w:val="24"/>
          <w:szCs w:val="24"/>
        </w:rPr>
      </w:pPr>
      <w:r>
        <w:rPr>
          <w:rFonts w:ascii="Arial" w:eastAsia="Arial" w:hAnsi="Arial" w:cs="Arial"/>
          <w:b/>
          <w:sz w:val="24"/>
          <w:szCs w:val="24"/>
        </w:rPr>
        <w:t>3. Valoración</w:t>
      </w:r>
    </w:p>
    <w:p w14:paraId="40BC0FC2" w14:textId="77777777" w:rsidR="005B0C78" w:rsidRDefault="00F66729">
      <w:pPr>
        <w:spacing w:before="240" w:line="360" w:lineRule="auto"/>
        <w:jc w:val="both"/>
        <w:rPr>
          <w:rFonts w:ascii="Arial" w:eastAsia="Arial" w:hAnsi="Arial" w:cs="Arial"/>
          <w:sz w:val="24"/>
          <w:szCs w:val="24"/>
        </w:rPr>
      </w:pPr>
      <w:r>
        <w:rPr>
          <w:rFonts w:ascii="Arial" w:eastAsia="Arial" w:hAnsi="Arial" w:cs="Arial"/>
          <w:sz w:val="24"/>
          <w:szCs w:val="24"/>
        </w:rPr>
        <w:t xml:space="preserve">Este Tribunal Electoral considera que a partir de una análisis contextual en el cual surgieron las expresiones cuestionadas, es posible concluir que, distinto a lo que refiere la parte denunciante, </w:t>
      </w:r>
      <w:r>
        <w:rPr>
          <w:rFonts w:ascii="Arial" w:eastAsia="Arial" w:hAnsi="Arial" w:cs="Arial"/>
          <w:b/>
          <w:sz w:val="24"/>
          <w:szCs w:val="24"/>
        </w:rPr>
        <w:t>tales comentarios</w:t>
      </w:r>
      <w:r>
        <w:rPr>
          <w:rFonts w:ascii="Arial" w:eastAsia="Arial" w:hAnsi="Arial" w:cs="Arial"/>
          <w:sz w:val="24"/>
          <w:szCs w:val="24"/>
        </w:rPr>
        <w:t xml:space="preserve"> </w:t>
      </w:r>
      <w:r>
        <w:rPr>
          <w:rFonts w:ascii="Arial" w:eastAsia="Arial" w:hAnsi="Arial" w:cs="Arial"/>
          <w:b/>
          <w:sz w:val="24"/>
          <w:szCs w:val="24"/>
        </w:rPr>
        <w:t xml:space="preserve">no constituyeron calumnia </w:t>
      </w:r>
      <w:r>
        <w:rPr>
          <w:rFonts w:ascii="Arial" w:eastAsia="Arial" w:hAnsi="Arial" w:cs="Arial"/>
          <w:sz w:val="24"/>
          <w:szCs w:val="24"/>
        </w:rPr>
        <w:t xml:space="preserve">en contra del partido político denunciante ni de su candidata, pues no se logró advertir la existencia de una imputación de un delito o hecho falso atribuido a tales sujetos, sino que de tal análisis, es posible asumir que </w:t>
      </w:r>
      <w:r>
        <w:rPr>
          <w:rFonts w:ascii="Arial" w:eastAsia="Arial" w:hAnsi="Arial" w:cs="Arial"/>
          <w:b/>
          <w:sz w:val="24"/>
          <w:szCs w:val="24"/>
        </w:rPr>
        <w:t>se trataron de críticas dirigidas a temas que forman parte de la gestión pública</w:t>
      </w:r>
      <w:r>
        <w:rPr>
          <w:rFonts w:ascii="Arial" w:eastAsia="Arial" w:hAnsi="Arial" w:cs="Arial"/>
          <w:sz w:val="24"/>
          <w:szCs w:val="24"/>
        </w:rPr>
        <w:t xml:space="preserve"> que, a su vez, se encuentran permitidas en el contexto del debate político, por lo cual no fue posible acreditar el elemento objetivo que exige la infracción de calumnia.</w:t>
      </w:r>
    </w:p>
    <w:p w14:paraId="09B5519B" w14:textId="77777777" w:rsidR="005B0C78" w:rsidRDefault="00F66729">
      <w:pPr>
        <w:spacing w:before="240" w:line="360" w:lineRule="auto"/>
        <w:jc w:val="both"/>
        <w:rPr>
          <w:rFonts w:ascii="Arial" w:eastAsia="Arial" w:hAnsi="Arial" w:cs="Arial"/>
          <w:sz w:val="24"/>
          <w:szCs w:val="24"/>
        </w:rPr>
      </w:pPr>
      <w:r>
        <w:rPr>
          <w:rFonts w:ascii="Arial" w:eastAsia="Arial" w:hAnsi="Arial" w:cs="Arial"/>
          <w:sz w:val="24"/>
          <w:szCs w:val="24"/>
        </w:rPr>
        <w:t xml:space="preserve">De ahí que, con independencia de que la parte denunciada no hubiese contado con algún sustento probatorio para emitir tales opiniones y críticas, ello no es motivo para acreditar la malicia efectiva -elemento subjetivo-, pues, como ya se refirió, el hecho de que se trataran de </w:t>
      </w:r>
      <w:r>
        <w:rPr>
          <w:rFonts w:ascii="Arial" w:eastAsia="Arial" w:hAnsi="Arial" w:cs="Arial"/>
          <w:b/>
          <w:sz w:val="24"/>
          <w:szCs w:val="24"/>
        </w:rPr>
        <w:t>críticas severas en contra del supuesto manejo de recursos públicos de la candidata</w:t>
      </w:r>
      <w:r>
        <w:rPr>
          <w:rFonts w:ascii="Arial" w:eastAsia="Arial" w:hAnsi="Arial" w:cs="Arial"/>
          <w:sz w:val="24"/>
          <w:szCs w:val="24"/>
        </w:rPr>
        <w:t xml:space="preserve"> denunciante cuando fungió como gobernante, en particular, el parque de energía solar, demuestra que se trató de un tema que forma parte del interés público.</w:t>
      </w:r>
    </w:p>
    <w:p w14:paraId="0C086FC5" w14:textId="77777777" w:rsidR="005B0C78" w:rsidRDefault="00F66729">
      <w:pPr>
        <w:spacing w:before="240" w:line="360" w:lineRule="auto"/>
        <w:jc w:val="both"/>
        <w:rPr>
          <w:rFonts w:ascii="Arial" w:eastAsia="Arial" w:hAnsi="Arial" w:cs="Arial"/>
          <w:sz w:val="24"/>
          <w:szCs w:val="24"/>
        </w:rPr>
      </w:pPr>
      <w:r>
        <w:rPr>
          <w:rFonts w:ascii="Arial" w:eastAsia="Arial" w:hAnsi="Arial" w:cs="Arial"/>
          <w:sz w:val="24"/>
          <w:szCs w:val="24"/>
        </w:rPr>
        <w:t xml:space="preserve">Lo anterior, al tratarse de temáticas relacionadas con la transparencia, rendición de cuentas y lucha contra la corrupción de las y los servidores públicos, quienes cuentan con un </w:t>
      </w:r>
      <w:r>
        <w:rPr>
          <w:rFonts w:ascii="Arial" w:eastAsia="Arial" w:hAnsi="Arial" w:cs="Arial"/>
          <w:b/>
          <w:sz w:val="24"/>
          <w:szCs w:val="24"/>
        </w:rPr>
        <w:t>margen de tolerancia más amplio</w:t>
      </w:r>
      <w:r>
        <w:rPr>
          <w:rFonts w:ascii="Arial" w:eastAsia="Arial" w:hAnsi="Arial" w:cs="Arial"/>
          <w:sz w:val="24"/>
          <w:szCs w:val="24"/>
        </w:rPr>
        <w:t>, de ahí que tales expresiones se encuentren permitidas por el derecho a la libertad de expresión en materia político electoral.</w:t>
      </w:r>
    </w:p>
    <w:p w14:paraId="3AB47E7B" w14:textId="77777777" w:rsidR="005B0C78" w:rsidRDefault="00F66729">
      <w:pPr>
        <w:spacing w:before="240" w:line="360" w:lineRule="auto"/>
        <w:jc w:val="both"/>
        <w:rPr>
          <w:rFonts w:ascii="Arial" w:eastAsia="Arial" w:hAnsi="Arial" w:cs="Arial"/>
          <w:sz w:val="24"/>
          <w:szCs w:val="24"/>
        </w:rPr>
      </w:pPr>
      <w:r>
        <w:rPr>
          <w:rFonts w:ascii="Arial" w:eastAsia="Arial" w:hAnsi="Arial" w:cs="Arial"/>
          <w:sz w:val="24"/>
          <w:szCs w:val="24"/>
        </w:rPr>
        <w:t xml:space="preserve">Al respecto, debe tomarse en cuenta que de acuerdo a la línea jurisprudencial emitida por la SCJN y reiterada por la Sala Superior, para analizar los hechos que posiblemente puedan constituir calumnia, es necesario estudiarlos a través de los elementos siguientes: </w:t>
      </w:r>
      <w:r>
        <w:rPr>
          <w:rFonts w:ascii="Arial" w:eastAsia="Arial" w:hAnsi="Arial" w:cs="Arial"/>
          <w:b/>
          <w:i/>
          <w:sz w:val="24"/>
          <w:szCs w:val="24"/>
        </w:rPr>
        <w:t>a)</w:t>
      </w:r>
      <w:r>
        <w:rPr>
          <w:rFonts w:ascii="Arial" w:eastAsia="Arial" w:hAnsi="Arial" w:cs="Arial"/>
          <w:sz w:val="24"/>
          <w:szCs w:val="24"/>
        </w:rPr>
        <w:t xml:space="preserve"> </w:t>
      </w:r>
      <w:r>
        <w:rPr>
          <w:rFonts w:ascii="Arial" w:eastAsia="Arial" w:hAnsi="Arial" w:cs="Arial"/>
          <w:b/>
          <w:i/>
          <w:sz w:val="24"/>
          <w:szCs w:val="24"/>
        </w:rPr>
        <w:t>personal</w:t>
      </w:r>
      <w:r>
        <w:rPr>
          <w:rFonts w:ascii="Arial" w:eastAsia="Arial" w:hAnsi="Arial" w:cs="Arial"/>
          <w:b/>
          <w:sz w:val="24"/>
          <w:szCs w:val="24"/>
        </w:rPr>
        <w:t>:</w:t>
      </w:r>
      <w:r>
        <w:rPr>
          <w:rFonts w:ascii="Arial" w:eastAsia="Arial" w:hAnsi="Arial" w:cs="Arial"/>
          <w:sz w:val="24"/>
          <w:szCs w:val="24"/>
        </w:rPr>
        <w:t xml:space="preserve"> entendido como el sujeto que fue denunciado -sólo pueden ser sancionados por calumnia electoral los partidos políticos, coaliciones y </w:t>
      </w:r>
      <w:r>
        <w:rPr>
          <w:rFonts w:ascii="Arial" w:eastAsia="Arial" w:hAnsi="Arial" w:cs="Arial"/>
          <w:b/>
          <w:sz w:val="24"/>
          <w:szCs w:val="24"/>
          <w:u w:val="single"/>
        </w:rPr>
        <w:t>candidaturas</w:t>
      </w:r>
      <w:r>
        <w:rPr>
          <w:rFonts w:ascii="Arial" w:eastAsia="Arial" w:hAnsi="Arial" w:cs="Arial"/>
          <w:sz w:val="24"/>
          <w:szCs w:val="24"/>
        </w:rPr>
        <w:t xml:space="preserve">-, </w:t>
      </w:r>
      <w:r>
        <w:rPr>
          <w:rFonts w:ascii="Arial" w:eastAsia="Arial" w:hAnsi="Arial" w:cs="Arial"/>
          <w:b/>
          <w:i/>
          <w:sz w:val="24"/>
          <w:szCs w:val="24"/>
        </w:rPr>
        <w:t>b)</w:t>
      </w:r>
      <w:r>
        <w:rPr>
          <w:rFonts w:ascii="Arial" w:eastAsia="Arial" w:hAnsi="Arial" w:cs="Arial"/>
          <w:sz w:val="24"/>
          <w:szCs w:val="24"/>
        </w:rPr>
        <w:t xml:space="preserve"> </w:t>
      </w:r>
      <w:r>
        <w:rPr>
          <w:rFonts w:ascii="Arial" w:eastAsia="Arial" w:hAnsi="Arial" w:cs="Arial"/>
          <w:b/>
          <w:sz w:val="24"/>
          <w:szCs w:val="24"/>
        </w:rPr>
        <w:t xml:space="preserve">objetivo: </w:t>
      </w:r>
      <w:r>
        <w:rPr>
          <w:rFonts w:ascii="Arial" w:eastAsia="Arial" w:hAnsi="Arial" w:cs="Arial"/>
          <w:sz w:val="24"/>
          <w:szCs w:val="24"/>
        </w:rPr>
        <w:t xml:space="preserve">es decir, que exista la imputación de algún hecho o delito falso y, </w:t>
      </w:r>
      <w:r>
        <w:rPr>
          <w:rFonts w:ascii="Arial" w:eastAsia="Arial" w:hAnsi="Arial" w:cs="Arial"/>
          <w:b/>
          <w:i/>
          <w:sz w:val="24"/>
          <w:szCs w:val="24"/>
        </w:rPr>
        <w:t xml:space="preserve">c) </w:t>
      </w:r>
      <w:r>
        <w:rPr>
          <w:rFonts w:ascii="Arial" w:eastAsia="Arial" w:hAnsi="Arial" w:cs="Arial"/>
          <w:b/>
          <w:sz w:val="24"/>
          <w:szCs w:val="24"/>
        </w:rPr>
        <w:t>subjetivo:</w:t>
      </w:r>
      <w:r>
        <w:rPr>
          <w:rFonts w:ascii="Arial" w:eastAsia="Arial" w:hAnsi="Arial" w:cs="Arial"/>
          <w:sz w:val="24"/>
          <w:szCs w:val="24"/>
        </w:rPr>
        <w:t xml:space="preserve"> a sabiendas que el hecho o delito que se imputa es falso.</w:t>
      </w:r>
    </w:p>
    <w:p w14:paraId="39650B14" w14:textId="77777777" w:rsidR="005B0C78" w:rsidRDefault="00F66729">
      <w:pPr>
        <w:spacing w:before="240" w:line="360" w:lineRule="auto"/>
        <w:jc w:val="both"/>
        <w:rPr>
          <w:rFonts w:ascii="Arial" w:eastAsia="Arial" w:hAnsi="Arial" w:cs="Arial"/>
          <w:sz w:val="24"/>
          <w:szCs w:val="24"/>
        </w:rPr>
      </w:pPr>
      <w:r>
        <w:rPr>
          <w:rFonts w:ascii="Arial" w:eastAsia="Arial" w:hAnsi="Arial" w:cs="Arial"/>
          <w:sz w:val="24"/>
          <w:szCs w:val="24"/>
        </w:rPr>
        <w:lastRenderedPageBreak/>
        <w:t>Ante ello, si bien en el presente caso se logró acreditar el elemento personal de la infracción en cuestión, ya que es un hecho no controvertido que a quien se le atribuye la imputación de calumnia es a la candidata Nora Ruvalcaba Gámez, quien es postulada por Morena para el proceso electoral (2021-2022) en el que se renovará la gubernatura de Aguascalientes.</w:t>
      </w:r>
    </w:p>
    <w:p w14:paraId="7466C24C" w14:textId="77777777" w:rsidR="005B0C78" w:rsidRDefault="00F66729">
      <w:pPr>
        <w:spacing w:before="240" w:after="240" w:line="360" w:lineRule="auto"/>
        <w:jc w:val="both"/>
        <w:rPr>
          <w:rFonts w:ascii="Arial" w:eastAsia="Arial" w:hAnsi="Arial" w:cs="Arial"/>
          <w:b/>
          <w:sz w:val="24"/>
          <w:szCs w:val="24"/>
        </w:rPr>
      </w:pPr>
      <w:r>
        <w:rPr>
          <w:rFonts w:ascii="Arial" w:eastAsia="Arial" w:hAnsi="Arial" w:cs="Arial"/>
          <w:sz w:val="24"/>
          <w:szCs w:val="24"/>
        </w:rPr>
        <w:t xml:space="preserve">No obstante, también es cierto que, como ya se adelantó, </w:t>
      </w:r>
      <w:r>
        <w:rPr>
          <w:rFonts w:ascii="Arial" w:eastAsia="Arial" w:hAnsi="Arial" w:cs="Arial"/>
          <w:b/>
          <w:sz w:val="24"/>
          <w:szCs w:val="24"/>
        </w:rPr>
        <w:t>el elemento objetivo</w:t>
      </w:r>
      <w:r>
        <w:rPr>
          <w:rFonts w:ascii="Arial" w:eastAsia="Arial" w:hAnsi="Arial" w:cs="Arial"/>
          <w:sz w:val="24"/>
          <w:szCs w:val="24"/>
        </w:rPr>
        <w:t xml:space="preserve"> que exige la imputación de algún hecho o delito falso, </w:t>
      </w:r>
      <w:r>
        <w:rPr>
          <w:rFonts w:ascii="Arial" w:eastAsia="Arial" w:hAnsi="Arial" w:cs="Arial"/>
          <w:b/>
          <w:sz w:val="24"/>
          <w:szCs w:val="24"/>
        </w:rPr>
        <w:t>no se acreditó</w:t>
      </w:r>
      <w:r>
        <w:rPr>
          <w:rFonts w:ascii="Arial" w:eastAsia="Arial" w:hAnsi="Arial" w:cs="Arial"/>
          <w:sz w:val="24"/>
          <w:szCs w:val="24"/>
        </w:rPr>
        <w:t xml:space="preserve">, pues además de que los comentarios que se cuestionan no contienen tal imputación -delito o hecho falso-, también debe tomarse en cuenta que </w:t>
      </w:r>
      <w:r>
        <w:rPr>
          <w:rFonts w:ascii="Arial" w:eastAsia="Arial" w:hAnsi="Arial" w:cs="Arial"/>
          <w:b/>
          <w:sz w:val="24"/>
          <w:szCs w:val="24"/>
        </w:rPr>
        <w:t>las expresiones únicamente estuvieron encaminadas en cuestionar acciones concretas de la administración pública municipal.</w:t>
      </w:r>
    </w:p>
    <w:p w14:paraId="2538DB1E" w14:textId="77777777" w:rsidR="005B0C78" w:rsidRDefault="00F66729">
      <w:pPr>
        <w:spacing w:before="240" w:after="240" w:line="360" w:lineRule="auto"/>
        <w:jc w:val="both"/>
        <w:rPr>
          <w:rFonts w:ascii="Arial" w:eastAsia="Arial" w:hAnsi="Arial" w:cs="Arial"/>
          <w:sz w:val="24"/>
          <w:szCs w:val="24"/>
        </w:rPr>
      </w:pPr>
      <w:r>
        <w:rPr>
          <w:rFonts w:ascii="Arial" w:eastAsia="Arial" w:hAnsi="Arial" w:cs="Arial"/>
          <w:sz w:val="24"/>
          <w:szCs w:val="24"/>
        </w:rPr>
        <w:t xml:space="preserve">Esto es así, porque del análisis contextual de tal mensaje es posible identificar que se trató de una publicación en las redes sociales de Facebook y Twitter, con el encabezado siguiente: </w:t>
      </w:r>
      <w:r>
        <w:rPr>
          <w:rFonts w:ascii="Arial" w:eastAsia="Arial" w:hAnsi="Arial" w:cs="Arial"/>
          <w:i/>
          <w:sz w:val="22"/>
          <w:szCs w:val="22"/>
        </w:rPr>
        <w:t xml:space="preserve">“Hoy el PAN pide paneles solares gratuitos, claro, para seguir llenándose los bolsillos. Para muestra Aguascalientes y </w:t>
      </w:r>
      <w:r>
        <w:rPr>
          <w:rFonts w:ascii="Arial" w:eastAsia="Arial" w:hAnsi="Arial" w:cs="Arial"/>
          <w:b/>
          <w:i/>
          <w:sz w:val="22"/>
          <w:szCs w:val="22"/>
        </w:rPr>
        <w:t>28 MIL MILLONES de pesos tirados a la basura por la candidata del PRIAN Teresa Jiménez</w:t>
      </w:r>
      <w:r>
        <w:rPr>
          <w:rFonts w:ascii="Arial" w:eastAsia="Arial" w:hAnsi="Arial" w:cs="Arial"/>
          <w:i/>
          <w:sz w:val="22"/>
          <w:szCs w:val="22"/>
        </w:rPr>
        <w:t>.”</w:t>
      </w:r>
    </w:p>
    <w:p w14:paraId="113ACAF8" w14:textId="77777777" w:rsidR="005B0C78" w:rsidRDefault="00F66729">
      <w:pPr>
        <w:spacing w:before="240" w:after="240" w:line="360" w:lineRule="auto"/>
        <w:jc w:val="both"/>
        <w:rPr>
          <w:rFonts w:ascii="Arial" w:eastAsia="Arial" w:hAnsi="Arial" w:cs="Arial"/>
          <w:sz w:val="24"/>
          <w:szCs w:val="24"/>
        </w:rPr>
      </w:pPr>
      <w:r>
        <w:rPr>
          <w:rFonts w:ascii="Arial" w:eastAsia="Arial" w:hAnsi="Arial" w:cs="Arial"/>
          <w:sz w:val="24"/>
          <w:szCs w:val="24"/>
        </w:rPr>
        <w:t xml:space="preserve">Asimismo, del contenido del video se advierte que, en esencia, las expresiones más severas son: </w:t>
      </w:r>
      <w:r>
        <w:rPr>
          <w:rFonts w:ascii="Arial" w:eastAsia="Arial" w:hAnsi="Arial" w:cs="Arial"/>
          <w:b/>
          <w:i/>
          <w:sz w:val="24"/>
          <w:szCs w:val="24"/>
        </w:rPr>
        <w:t>i)</w:t>
      </w:r>
      <w:r>
        <w:rPr>
          <w:rFonts w:ascii="Arial" w:eastAsia="Arial" w:hAnsi="Arial" w:cs="Arial"/>
          <w:sz w:val="24"/>
          <w:szCs w:val="24"/>
        </w:rPr>
        <w:t xml:space="preserve"> </w:t>
      </w:r>
      <w:r>
        <w:rPr>
          <w:rFonts w:ascii="Arial" w:eastAsia="Arial" w:hAnsi="Arial" w:cs="Arial"/>
          <w:i/>
          <w:sz w:val="22"/>
          <w:szCs w:val="22"/>
        </w:rPr>
        <w:t xml:space="preserve">“Vine a conocer otro de los </w:t>
      </w:r>
      <w:r>
        <w:rPr>
          <w:rFonts w:ascii="Arial" w:eastAsia="Arial" w:hAnsi="Arial" w:cs="Arial"/>
          <w:b/>
          <w:i/>
          <w:sz w:val="22"/>
          <w:szCs w:val="22"/>
        </w:rPr>
        <w:t>emblemas de la corrupción de Teresa Jiménez</w:t>
      </w:r>
      <w:r>
        <w:rPr>
          <w:rFonts w:ascii="Arial" w:eastAsia="Arial" w:hAnsi="Arial" w:cs="Arial"/>
          <w:i/>
          <w:sz w:val="22"/>
          <w:szCs w:val="22"/>
        </w:rPr>
        <w:t xml:space="preserve">, </w:t>
      </w:r>
      <w:r>
        <w:rPr>
          <w:rFonts w:ascii="Arial" w:eastAsia="Arial" w:hAnsi="Arial" w:cs="Arial"/>
          <w:b/>
          <w:i/>
          <w:sz w:val="22"/>
          <w:szCs w:val="22"/>
        </w:rPr>
        <w:t>el parque de energía solar que no produce energía</w:t>
      </w:r>
      <w:r>
        <w:rPr>
          <w:rFonts w:ascii="Arial" w:eastAsia="Arial" w:hAnsi="Arial" w:cs="Arial"/>
          <w:i/>
          <w:sz w:val="22"/>
          <w:szCs w:val="22"/>
        </w:rPr>
        <w:t xml:space="preserve">”; </w:t>
      </w:r>
      <w:r>
        <w:rPr>
          <w:rFonts w:ascii="Arial" w:eastAsia="Arial" w:hAnsi="Arial" w:cs="Arial"/>
          <w:b/>
          <w:i/>
          <w:sz w:val="24"/>
          <w:szCs w:val="24"/>
        </w:rPr>
        <w:t>ii)</w:t>
      </w:r>
      <w:r>
        <w:rPr>
          <w:rFonts w:ascii="Arial" w:eastAsia="Arial" w:hAnsi="Arial" w:cs="Arial"/>
          <w:i/>
          <w:sz w:val="22"/>
          <w:szCs w:val="22"/>
        </w:rPr>
        <w:t xml:space="preserve"> “</w:t>
      </w:r>
      <w:r>
        <w:rPr>
          <w:rFonts w:ascii="Arial" w:eastAsia="Arial" w:hAnsi="Arial" w:cs="Arial"/>
          <w:sz w:val="22"/>
          <w:szCs w:val="22"/>
        </w:rPr>
        <w:t>Teresa Jiménez, te lo digo de frente, las cuentas no te cuadran.</w:t>
      </w:r>
      <w:r>
        <w:rPr>
          <w:rFonts w:ascii="Arial" w:eastAsia="Arial" w:hAnsi="Arial" w:cs="Arial"/>
          <w:b/>
          <w:sz w:val="22"/>
          <w:szCs w:val="22"/>
        </w:rPr>
        <w:t xml:space="preserve"> Este proyecto que le entregaste a tu amiga Jovita Morín</w:t>
      </w:r>
      <w:r>
        <w:rPr>
          <w:rFonts w:ascii="Arial" w:eastAsia="Arial" w:hAnsi="Arial" w:cs="Arial"/>
          <w:sz w:val="22"/>
          <w:szCs w:val="22"/>
        </w:rPr>
        <w:t>, accionista de Next Energy, nos costó veintiocho mil millones de pesos, cuando generar electricidad por treinta años sólo cuesta cuatrocientos veinte millones. La corrupción engendra más corrupción. [...]”</w:t>
      </w:r>
    </w:p>
    <w:p w14:paraId="178940FF" w14:textId="77777777" w:rsidR="005B0C78" w:rsidRDefault="00F66729">
      <w:pPr>
        <w:spacing w:before="240" w:line="360" w:lineRule="auto"/>
        <w:jc w:val="both"/>
        <w:rPr>
          <w:rFonts w:ascii="Arial" w:eastAsia="Arial" w:hAnsi="Arial" w:cs="Arial"/>
          <w:sz w:val="24"/>
          <w:szCs w:val="24"/>
        </w:rPr>
      </w:pPr>
      <w:r>
        <w:rPr>
          <w:rFonts w:ascii="Arial" w:eastAsia="Arial" w:hAnsi="Arial" w:cs="Arial"/>
          <w:sz w:val="24"/>
          <w:szCs w:val="24"/>
        </w:rPr>
        <w:t>Por lo expuesto, es posible concluir que tal publicación versó en una opinión de la candidata a partir de un testimonio en relación con el parque de energía solar que supuestamente implementó la administración pública municipal y, a su vez, cuestionó el gasto que conllevó su construcción y, por tanto, a su juicio, explica la poca eficiencia que tuvo el parque en relación con el supuesto presupuesto derogado.</w:t>
      </w:r>
    </w:p>
    <w:p w14:paraId="078F3342" w14:textId="77777777" w:rsidR="005B0C78" w:rsidRDefault="00F66729">
      <w:pPr>
        <w:spacing w:before="240" w:after="240" w:line="360" w:lineRule="auto"/>
        <w:jc w:val="both"/>
        <w:rPr>
          <w:rFonts w:ascii="Arial" w:eastAsia="Arial" w:hAnsi="Arial" w:cs="Arial"/>
          <w:sz w:val="24"/>
          <w:szCs w:val="24"/>
        </w:rPr>
      </w:pPr>
      <w:r>
        <w:rPr>
          <w:rFonts w:ascii="Arial" w:eastAsia="Arial" w:hAnsi="Arial" w:cs="Arial"/>
          <w:sz w:val="24"/>
          <w:szCs w:val="24"/>
        </w:rPr>
        <w:t>Esto, porque ha sido criterio de la Sala Superior que el material de propaganda que contenga críticas, opiniones o posicionamientos respecto a los partidos políticos, a sus candidaturas o gobiernos, implica un espectro de permisibilidad más amplio en relación al contenido y la intensidad del debate que se genere a consecuencia de tal discusión, pues este se incrementa cuando se trata de temas de carácter público y de interés general.</w:t>
      </w:r>
      <w:r>
        <w:rPr>
          <w:rFonts w:ascii="Arial" w:eastAsia="Arial" w:hAnsi="Arial" w:cs="Arial"/>
          <w:sz w:val="24"/>
          <w:szCs w:val="24"/>
          <w:vertAlign w:val="superscript"/>
        </w:rPr>
        <w:footnoteReference w:id="13"/>
      </w:r>
    </w:p>
    <w:p w14:paraId="1BAE1C6F" w14:textId="77777777" w:rsidR="005B0C78" w:rsidRDefault="00F66729">
      <w:pPr>
        <w:spacing w:before="240" w:after="240" w:line="360" w:lineRule="auto"/>
        <w:jc w:val="both"/>
        <w:rPr>
          <w:rFonts w:ascii="Arial" w:eastAsia="Arial" w:hAnsi="Arial" w:cs="Arial"/>
          <w:sz w:val="24"/>
          <w:szCs w:val="24"/>
        </w:rPr>
      </w:pPr>
      <w:r>
        <w:rPr>
          <w:rFonts w:ascii="Arial" w:eastAsia="Arial" w:hAnsi="Arial" w:cs="Arial"/>
          <w:sz w:val="24"/>
          <w:szCs w:val="24"/>
        </w:rPr>
        <w:t xml:space="preserve">En tal sentido, estimó que las críticas al desempeño del ejercicio de cargos públicos y logros de gobiernos se utilizan frecuentemente en los discursos políticos y, además, son críticas </w:t>
      </w:r>
      <w:r>
        <w:rPr>
          <w:rFonts w:ascii="Arial" w:eastAsia="Arial" w:hAnsi="Arial" w:cs="Arial"/>
          <w:sz w:val="24"/>
          <w:szCs w:val="24"/>
        </w:rPr>
        <w:lastRenderedPageBreak/>
        <w:t>válidas por parte de los partidos políticos entre sí, así como de los cargos públicos que desempeñan o desempeñaron sus contrincantes.</w:t>
      </w:r>
    </w:p>
    <w:p w14:paraId="01857D4F" w14:textId="77777777" w:rsidR="005B0C78" w:rsidRDefault="00F66729">
      <w:pPr>
        <w:spacing w:before="240" w:line="360" w:lineRule="auto"/>
        <w:jc w:val="both"/>
        <w:rPr>
          <w:rFonts w:ascii="Arial" w:eastAsia="Arial" w:hAnsi="Arial" w:cs="Arial"/>
          <w:sz w:val="24"/>
          <w:szCs w:val="24"/>
        </w:rPr>
      </w:pPr>
      <w:r>
        <w:rPr>
          <w:rFonts w:ascii="Arial" w:eastAsia="Arial" w:hAnsi="Arial" w:cs="Arial"/>
          <w:sz w:val="24"/>
          <w:szCs w:val="24"/>
        </w:rPr>
        <w:t xml:space="preserve">Así, ha señalado que </w:t>
      </w:r>
      <w:r>
        <w:rPr>
          <w:rFonts w:ascii="Arial" w:eastAsia="Arial" w:hAnsi="Arial" w:cs="Arial"/>
          <w:b/>
          <w:sz w:val="24"/>
          <w:szCs w:val="24"/>
        </w:rPr>
        <w:t>las opiniones o críticas</w:t>
      </w:r>
      <w:r>
        <w:rPr>
          <w:rFonts w:ascii="Arial" w:eastAsia="Arial" w:hAnsi="Arial" w:cs="Arial"/>
          <w:sz w:val="24"/>
          <w:szCs w:val="24"/>
        </w:rPr>
        <w:t xml:space="preserve"> de las o los contendientes de un proceso comicial, </w:t>
      </w:r>
      <w:r>
        <w:rPr>
          <w:rFonts w:ascii="Arial" w:eastAsia="Arial" w:hAnsi="Arial" w:cs="Arial"/>
          <w:b/>
          <w:sz w:val="24"/>
          <w:szCs w:val="24"/>
        </w:rPr>
        <w:t>no pueden ni deben desincentivarse</w:t>
      </w:r>
      <w:r>
        <w:rPr>
          <w:rFonts w:ascii="Arial" w:eastAsia="Arial" w:hAnsi="Arial" w:cs="Arial"/>
          <w:sz w:val="24"/>
          <w:szCs w:val="24"/>
        </w:rPr>
        <w:t>, sino que, por el contrario, deben permitirse con la finalidad de enriquecer el debate político respecto de temas de interés público, como en el caso lo son, la creación y operación de un proyecto de la candidata durante su pasada administración, particularmente, la creación de un parque eléctrico en el estado y, a su vez, el uso y destino de los recursos públicos que se emplearon para ello.</w:t>
      </w:r>
    </w:p>
    <w:p w14:paraId="7924EEE7" w14:textId="77777777" w:rsidR="005B0C78" w:rsidRDefault="00F66729">
      <w:pPr>
        <w:spacing w:before="240" w:line="360" w:lineRule="auto"/>
        <w:jc w:val="both"/>
        <w:rPr>
          <w:rFonts w:ascii="Arial" w:eastAsia="Arial" w:hAnsi="Arial" w:cs="Arial"/>
          <w:sz w:val="24"/>
          <w:szCs w:val="24"/>
        </w:rPr>
      </w:pPr>
      <w:r>
        <w:rPr>
          <w:rFonts w:ascii="Arial" w:eastAsia="Arial" w:hAnsi="Arial" w:cs="Arial"/>
          <w:sz w:val="24"/>
          <w:szCs w:val="24"/>
        </w:rPr>
        <w:t xml:space="preserve">De ahí que la discusión de dichas problemáticas encuentre </w:t>
      </w:r>
      <w:r>
        <w:rPr>
          <w:rFonts w:ascii="Arial" w:eastAsia="Arial" w:hAnsi="Arial" w:cs="Arial"/>
          <w:b/>
          <w:sz w:val="24"/>
          <w:szCs w:val="24"/>
        </w:rPr>
        <w:t>amparo en el derecho de la libertad de expresión</w:t>
      </w:r>
      <w:r>
        <w:rPr>
          <w:rFonts w:ascii="Arial" w:eastAsia="Arial" w:hAnsi="Arial" w:cs="Arial"/>
          <w:sz w:val="24"/>
          <w:szCs w:val="24"/>
        </w:rPr>
        <w:t xml:space="preserve">, tanto en su dimensión individual como colectiva, privilegiando, a su vez, el </w:t>
      </w:r>
      <w:r>
        <w:rPr>
          <w:rFonts w:ascii="Arial" w:eastAsia="Arial" w:hAnsi="Arial" w:cs="Arial"/>
          <w:b/>
          <w:sz w:val="24"/>
          <w:szCs w:val="24"/>
        </w:rPr>
        <w:t xml:space="preserve">derecho de la sociedad a recibir información </w:t>
      </w:r>
      <w:r>
        <w:rPr>
          <w:rFonts w:ascii="Arial" w:eastAsia="Arial" w:hAnsi="Arial" w:cs="Arial"/>
          <w:sz w:val="24"/>
          <w:szCs w:val="24"/>
        </w:rPr>
        <w:t>y enterarse de los cuestionamientos y posturas de los partidos políticos y candidaturas participantes en un proceso comicial hacia temas de interés general para la ciudadanía hidrocálida.</w:t>
      </w:r>
    </w:p>
    <w:p w14:paraId="18EDFE65" w14:textId="77777777" w:rsidR="005B0C78" w:rsidRDefault="00F66729">
      <w:pPr>
        <w:spacing w:before="240" w:after="240" w:line="360" w:lineRule="auto"/>
        <w:jc w:val="both"/>
        <w:rPr>
          <w:rFonts w:ascii="Arial" w:eastAsia="Arial" w:hAnsi="Arial" w:cs="Arial"/>
          <w:sz w:val="24"/>
          <w:szCs w:val="24"/>
        </w:rPr>
      </w:pPr>
      <w:r>
        <w:rPr>
          <w:rFonts w:ascii="Arial" w:eastAsia="Arial" w:hAnsi="Arial" w:cs="Arial"/>
          <w:sz w:val="24"/>
          <w:szCs w:val="24"/>
        </w:rPr>
        <w:t>Lo anterior, también encuadra dentro de las permisiones otorgadas a las y los sujetos políticos en cuanto a posibilidad de emitir propaganda no sólo propositiva, sino también de crítica y contraste de acciones de los gobiernos, lo cual, no puede considerarse como una afectación al debate público, sino que, por el contrario lo enriquece al permitir que la recurrente pueda refutar tales manifestaciones, permitiendo la formación de una opinión pública libre y, por ende, abona a una cultura democrática.</w:t>
      </w:r>
      <w:r>
        <w:rPr>
          <w:rFonts w:ascii="Arial" w:eastAsia="Arial" w:hAnsi="Arial" w:cs="Arial"/>
          <w:sz w:val="24"/>
          <w:szCs w:val="24"/>
          <w:vertAlign w:val="superscript"/>
        </w:rPr>
        <w:footnoteReference w:id="14"/>
      </w:r>
    </w:p>
    <w:p w14:paraId="7D452C0C" w14:textId="77777777" w:rsidR="005B0C78" w:rsidRDefault="00F66729">
      <w:pPr>
        <w:spacing w:before="240" w:line="360" w:lineRule="auto"/>
        <w:jc w:val="both"/>
        <w:rPr>
          <w:rFonts w:ascii="Arial" w:eastAsia="Arial" w:hAnsi="Arial" w:cs="Arial"/>
          <w:sz w:val="24"/>
          <w:szCs w:val="24"/>
        </w:rPr>
      </w:pPr>
      <w:r>
        <w:rPr>
          <w:rFonts w:ascii="Arial" w:eastAsia="Arial" w:hAnsi="Arial" w:cs="Arial"/>
          <w:sz w:val="24"/>
          <w:szCs w:val="24"/>
        </w:rPr>
        <w:t>No obstante, dicha Sala también ha establecido que se consideran temas de interés público aquellas opiniones emitidas sobre asuntos en los cuales la ciudadanía tiene un interés legítimo de mantenerse informada, de conocer lo que incide en el funcionamiento del Estado, o que afecta derechos e intereses generales que le acarrean consecuencias importantes.</w:t>
      </w:r>
      <w:r>
        <w:rPr>
          <w:rFonts w:ascii="Arial" w:eastAsia="Arial" w:hAnsi="Arial" w:cs="Arial"/>
          <w:sz w:val="24"/>
          <w:szCs w:val="24"/>
          <w:vertAlign w:val="superscript"/>
        </w:rPr>
        <w:footnoteReference w:id="15"/>
      </w:r>
      <w:r>
        <w:rPr>
          <w:rFonts w:ascii="Arial" w:eastAsia="Arial" w:hAnsi="Arial" w:cs="Arial"/>
          <w:sz w:val="24"/>
          <w:szCs w:val="24"/>
        </w:rPr>
        <w:t xml:space="preserve"> </w:t>
      </w:r>
    </w:p>
    <w:p w14:paraId="61B7D3E0" w14:textId="77777777" w:rsidR="005B0C78" w:rsidRDefault="00F66729">
      <w:pPr>
        <w:spacing w:before="240" w:after="240" w:line="360" w:lineRule="auto"/>
        <w:jc w:val="both"/>
        <w:rPr>
          <w:rFonts w:ascii="Arial" w:eastAsia="Arial" w:hAnsi="Arial" w:cs="Arial"/>
          <w:sz w:val="24"/>
          <w:szCs w:val="24"/>
        </w:rPr>
      </w:pPr>
      <w:r>
        <w:rPr>
          <w:rFonts w:ascii="Arial" w:eastAsia="Arial" w:hAnsi="Arial" w:cs="Arial"/>
          <w:sz w:val="24"/>
          <w:szCs w:val="24"/>
        </w:rPr>
        <w:t>Por tanto, este Tribunal Electoral concluye que las manifestaciones de opiniones y críticas dirigidas hacia un gobierno están amparadas por el derecho fundamental de la libertad de expresión, incluso si estas pudieran resultar chocantes, ofensivas, incómodas o perturbadoras, sin que puedan sujetarse a un parámetro de veracidad, dada su naturaleza (crítica o juicio de valor).</w:t>
      </w:r>
    </w:p>
    <w:p w14:paraId="64481A9B" w14:textId="6DEED253" w:rsidR="005B0C78" w:rsidRDefault="00F66729">
      <w:pPr>
        <w:spacing w:before="240" w:after="240" w:line="360" w:lineRule="auto"/>
        <w:jc w:val="both"/>
        <w:rPr>
          <w:rFonts w:ascii="Arial" w:eastAsia="Arial" w:hAnsi="Arial" w:cs="Arial"/>
          <w:sz w:val="24"/>
          <w:szCs w:val="24"/>
        </w:rPr>
      </w:pPr>
      <w:r>
        <w:rPr>
          <w:rFonts w:ascii="Arial" w:eastAsia="Arial" w:hAnsi="Arial" w:cs="Arial"/>
          <w:sz w:val="24"/>
          <w:szCs w:val="24"/>
        </w:rPr>
        <w:lastRenderedPageBreak/>
        <w:t xml:space="preserve">De ahí que sea posible asumir que, en el caso, </w:t>
      </w:r>
      <w:r>
        <w:rPr>
          <w:rFonts w:ascii="Arial" w:eastAsia="Arial" w:hAnsi="Arial" w:cs="Arial"/>
          <w:b/>
          <w:sz w:val="24"/>
          <w:szCs w:val="24"/>
        </w:rPr>
        <w:t>las manifestaciones denunciadas no tienen contenido calumnioso</w:t>
      </w:r>
      <w:r>
        <w:rPr>
          <w:rFonts w:ascii="Arial" w:eastAsia="Arial" w:hAnsi="Arial" w:cs="Arial"/>
          <w:sz w:val="24"/>
          <w:szCs w:val="24"/>
        </w:rPr>
        <w:t xml:space="preserve"> en perjuicio de la parte denunciante y, en consecuencia, es inexistente la infracción denunciada.</w:t>
      </w:r>
    </w:p>
    <w:p w14:paraId="09CFC372" w14:textId="77777777" w:rsidR="001A1762" w:rsidRPr="00000B6B" w:rsidRDefault="001A1762" w:rsidP="001A1762">
      <w:pPr>
        <w:spacing w:line="360" w:lineRule="auto"/>
        <w:jc w:val="both"/>
        <w:rPr>
          <w:rFonts w:ascii="Arial" w:eastAsia="Arial" w:hAnsi="Arial" w:cs="Arial"/>
          <w:sz w:val="24"/>
          <w:szCs w:val="24"/>
        </w:rPr>
      </w:pPr>
      <w:r>
        <w:rPr>
          <w:rFonts w:ascii="Arial" w:eastAsia="Arial" w:hAnsi="Arial" w:cs="Arial"/>
          <w:sz w:val="24"/>
          <w:szCs w:val="24"/>
        </w:rPr>
        <w:t>Ahora bien, e</w:t>
      </w:r>
      <w:r w:rsidRPr="00000B6B">
        <w:rPr>
          <w:rFonts w:ascii="Arial" w:eastAsia="Arial" w:hAnsi="Arial" w:cs="Arial"/>
          <w:sz w:val="24"/>
          <w:szCs w:val="24"/>
        </w:rPr>
        <w:t xml:space="preserve">n atención a la pretensión del promovente encaminada a demostrar que la calumnia es en perjuicio de la colación en su conjunto, debe tomarse en cuenta que el marco normativo en materia de calumnia establece como presupuesto procesal que para su presentación </w:t>
      </w:r>
      <w:r w:rsidRPr="00000B6B">
        <w:rPr>
          <w:rFonts w:ascii="Arial" w:eastAsia="Arial" w:hAnsi="Arial" w:cs="Arial"/>
          <w:b/>
          <w:bCs/>
          <w:sz w:val="24"/>
          <w:szCs w:val="24"/>
        </w:rPr>
        <w:t>debe comparecer la parte que se considera afectada</w:t>
      </w:r>
      <w:r w:rsidRPr="00000B6B">
        <w:rPr>
          <w:rFonts w:ascii="Arial" w:eastAsia="Arial" w:hAnsi="Arial" w:cs="Arial"/>
          <w:sz w:val="24"/>
          <w:szCs w:val="24"/>
        </w:rPr>
        <w:t xml:space="preserve">, por lo cual, en todo caso, debieron comparecer los partidos políticos coaligantes </w:t>
      </w:r>
      <w:r w:rsidRPr="00000B6B">
        <w:rPr>
          <w:rFonts w:ascii="Arial" w:eastAsia="Arial" w:hAnsi="Arial" w:cs="Arial"/>
          <w:b/>
          <w:bCs/>
          <w:sz w:val="24"/>
          <w:szCs w:val="24"/>
        </w:rPr>
        <w:t>en lo individual.</w:t>
      </w:r>
      <w:r w:rsidRPr="00000B6B">
        <w:rPr>
          <w:rFonts w:ascii="Arial" w:eastAsia="Arial" w:hAnsi="Arial" w:cs="Arial"/>
          <w:sz w:val="24"/>
          <w:szCs w:val="24"/>
        </w:rPr>
        <w:t xml:space="preserve"> </w:t>
      </w:r>
    </w:p>
    <w:p w14:paraId="0289AE6E" w14:textId="77777777" w:rsidR="001A1762" w:rsidRDefault="001A1762" w:rsidP="001A1762">
      <w:pPr>
        <w:pStyle w:val="Sinespaciado"/>
        <w:rPr>
          <w:rFonts w:eastAsia="Arial"/>
        </w:rPr>
      </w:pPr>
    </w:p>
    <w:p w14:paraId="76F56668" w14:textId="77777777" w:rsidR="001A1762" w:rsidRPr="00000B6B" w:rsidRDefault="001A1762" w:rsidP="001A1762">
      <w:pPr>
        <w:spacing w:line="360" w:lineRule="auto"/>
        <w:jc w:val="both"/>
        <w:rPr>
          <w:rFonts w:ascii="Arial" w:eastAsia="Arial" w:hAnsi="Arial" w:cs="Arial"/>
          <w:sz w:val="24"/>
          <w:szCs w:val="24"/>
        </w:rPr>
      </w:pPr>
      <w:r w:rsidRPr="00000B6B">
        <w:rPr>
          <w:rFonts w:ascii="Arial" w:eastAsia="Arial" w:hAnsi="Arial" w:cs="Arial"/>
          <w:sz w:val="24"/>
          <w:szCs w:val="24"/>
        </w:rPr>
        <w:t xml:space="preserve">Asimismo, debe tomarse en cuenta que la Sala Superior ha sostenido que los partidos políticos sí tienen legitimación activa para cuestionar la calumnia en contra de las candidaturas que postulan en atención al estrecho vínculo que existe entre estos. </w:t>
      </w:r>
    </w:p>
    <w:p w14:paraId="3F66A9AE" w14:textId="77777777" w:rsidR="001A1762" w:rsidRDefault="001A1762" w:rsidP="001A1762">
      <w:pPr>
        <w:pStyle w:val="Sinespaciado"/>
        <w:rPr>
          <w:rFonts w:eastAsia="Arial"/>
        </w:rPr>
      </w:pPr>
    </w:p>
    <w:p w14:paraId="7E07BC4D" w14:textId="0FB189FB" w:rsidR="001A1762" w:rsidRDefault="001A1762" w:rsidP="001A1762">
      <w:pPr>
        <w:spacing w:line="360" w:lineRule="auto"/>
        <w:jc w:val="both"/>
        <w:rPr>
          <w:rFonts w:ascii="Arial" w:eastAsia="Arial" w:hAnsi="Arial" w:cs="Arial"/>
          <w:sz w:val="24"/>
          <w:szCs w:val="24"/>
        </w:rPr>
      </w:pPr>
      <w:r w:rsidRPr="00000B6B">
        <w:rPr>
          <w:rFonts w:ascii="Arial" w:eastAsia="Arial" w:hAnsi="Arial" w:cs="Arial"/>
          <w:sz w:val="24"/>
          <w:szCs w:val="24"/>
        </w:rPr>
        <w:t>De ahí que no sea viable acreditar la calumnia en contra de la coalición en conjunto, sino que como se explicó, el análisis debe hacerse en lo individual, tal y como se aborda en el desarrollo de la presente resolución.</w:t>
      </w:r>
    </w:p>
    <w:p w14:paraId="3D318B2B" w14:textId="77777777" w:rsidR="005B0C78" w:rsidRDefault="00F66729">
      <w:pPr>
        <w:numPr>
          <w:ilvl w:val="0"/>
          <w:numId w:val="5"/>
        </w:numPr>
        <w:pBdr>
          <w:top w:val="nil"/>
          <w:left w:val="nil"/>
          <w:bottom w:val="nil"/>
          <w:right w:val="nil"/>
          <w:between w:val="nil"/>
        </w:pBdr>
        <w:spacing w:after="240" w:line="360" w:lineRule="auto"/>
        <w:ind w:left="0" w:firstLine="0"/>
        <w:jc w:val="both"/>
        <w:rPr>
          <w:rFonts w:ascii="Arial" w:eastAsia="Arial" w:hAnsi="Arial" w:cs="Arial"/>
          <w:color w:val="000000"/>
          <w:sz w:val="24"/>
          <w:szCs w:val="24"/>
        </w:rPr>
      </w:pPr>
      <w:r>
        <w:rPr>
          <w:rFonts w:ascii="Arial" w:eastAsia="Arial" w:hAnsi="Arial" w:cs="Arial"/>
          <w:b/>
          <w:color w:val="000000"/>
          <w:sz w:val="24"/>
          <w:szCs w:val="24"/>
          <w:u w:val="single"/>
        </w:rPr>
        <w:t>Culpa in vigilando.</w:t>
      </w:r>
      <w:r>
        <w:rPr>
          <w:rFonts w:ascii="Arial" w:eastAsia="Arial" w:hAnsi="Arial" w:cs="Arial"/>
          <w:color w:val="000000"/>
          <w:sz w:val="24"/>
          <w:szCs w:val="24"/>
        </w:rPr>
        <w:t xml:space="preserve"> </w:t>
      </w:r>
      <w:r>
        <w:rPr>
          <w:rFonts w:ascii="Arial" w:eastAsia="Arial" w:hAnsi="Arial" w:cs="Arial"/>
          <w:sz w:val="24"/>
          <w:szCs w:val="24"/>
        </w:rPr>
        <w:t>Este órgano jurisdiccional estima que, dado que no se acreditó la infracción denunciada en contra de la candidata a la gubernatura del estado, Nora Ruvalcaba Gómez, debe desestimarse la responsabilidad imputada a Morena.</w:t>
      </w:r>
    </w:p>
    <w:p w14:paraId="30B4C8D0" w14:textId="77777777" w:rsidR="005B0C78" w:rsidRDefault="00F66729">
      <w:pPr>
        <w:spacing w:line="360" w:lineRule="auto"/>
        <w:jc w:val="center"/>
        <w:rPr>
          <w:rFonts w:ascii="Arial" w:eastAsia="Arial" w:hAnsi="Arial" w:cs="Arial"/>
          <w:b/>
          <w:sz w:val="24"/>
          <w:szCs w:val="24"/>
        </w:rPr>
      </w:pPr>
      <w:r>
        <w:rPr>
          <w:rFonts w:ascii="Arial" w:eastAsia="Arial" w:hAnsi="Arial" w:cs="Arial"/>
          <w:b/>
          <w:sz w:val="24"/>
          <w:szCs w:val="24"/>
        </w:rPr>
        <w:t>VI. Resolutivos:</w:t>
      </w:r>
    </w:p>
    <w:p w14:paraId="2288A563" w14:textId="77777777" w:rsidR="005B0C78" w:rsidRDefault="005B0C78">
      <w:pPr>
        <w:pBdr>
          <w:top w:val="nil"/>
          <w:left w:val="nil"/>
          <w:bottom w:val="nil"/>
          <w:right w:val="nil"/>
          <w:between w:val="nil"/>
        </w:pBdr>
        <w:rPr>
          <w:color w:val="000000"/>
        </w:rPr>
      </w:pPr>
    </w:p>
    <w:p w14:paraId="6F3D87ED" w14:textId="77777777" w:rsidR="005B0C78" w:rsidRDefault="00F66729">
      <w:pPr>
        <w:spacing w:line="360" w:lineRule="auto"/>
        <w:jc w:val="both"/>
        <w:rPr>
          <w:rFonts w:ascii="Arial" w:eastAsia="Arial" w:hAnsi="Arial" w:cs="Arial"/>
          <w:sz w:val="24"/>
          <w:szCs w:val="24"/>
        </w:rPr>
      </w:pPr>
      <w:r>
        <w:rPr>
          <w:rFonts w:ascii="Arial" w:eastAsia="Arial" w:hAnsi="Arial" w:cs="Arial"/>
          <w:b/>
          <w:sz w:val="24"/>
          <w:szCs w:val="24"/>
        </w:rPr>
        <w:t xml:space="preserve">Primero. </w:t>
      </w:r>
      <w:r>
        <w:rPr>
          <w:rFonts w:ascii="Arial" w:eastAsia="Arial" w:hAnsi="Arial" w:cs="Arial"/>
          <w:sz w:val="24"/>
          <w:szCs w:val="24"/>
        </w:rPr>
        <w:t xml:space="preserve">Se declara la </w:t>
      </w:r>
      <w:r>
        <w:rPr>
          <w:rFonts w:ascii="Arial" w:eastAsia="Arial" w:hAnsi="Arial" w:cs="Arial"/>
          <w:b/>
          <w:sz w:val="24"/>
          <w:szCs w:val="24"/>
        </w:rPr>
        <w:t xml:space="preserve">inexistencia </w:t>
      </w:r>
      <w:r>
        <w:rPr>
          <w:rFonts w:ascii="Arial" w:eastAsia="Arial" w:hAnsi="Arial" w:cs="Arial"/>
          <w:sz w:val="24"/>
          <w:szCs w:val="24"/>
        </w:rPr>
        <w:t>de</w:t>
      </w:r>
      <w:r>
        <w:rPr>
          <w:rFonts w:ascii="Arial" w:eastAsia="Arial" w:hAnsi="Arial" w:cs="Arial"/>
          <w:b/>
          <w:sz w:val="24"/>
          <w:szCs w:val="24"/>
        </w:rPr>
        <w:t xml:space="preserve"> </w:t>
      </w:r>
      <w:r>
        <w:rPr>
          <w:rFonts w:ascii="Arial" w:eastAsia="Arial" w:hAnsi="Arial" w:cs="Arial"/>
          <w:sz w:val="24"/>
          <w:szCs w:val="24"/>
        </w:rPr>
        <w:t>la infracción atribuida a Nora Ruvalcaba Gámez.</w:t>
      </w:r>
    </w:p>
    <w:p w14:paraId="26947B72" w14:textId="77777777" w:rsidR="005B0C78" w:rsidRDefault="005B0C78">
      <w:pPr>
        <w:pBdr>
          <w:top w:val="nil"/>
          <w:left w:val="nil"/>
          <w:bottom w:val="nil"/>
          <w:right w:val="nil"/>
          <w:between w:val="nil"/>
        </w:pBdr>
        <w:rPr>
          <w:color w:val="000000"/>
        </w:rPr>
      </w:pPr>
    </w:p>
    <w:p w14:paraId="29509111" w14:textId="77777777" w:rsidR="005B0C78" w:rsidRDefault="00F66729">
      <w:pPr>
        <w:spacing w:line="360" w:lineRule="auto"/>
        <w:jc w:val="both"/>
        <w:rPr>
          <w:rFonts w:ascii="Arial" w:eastAsia="Arial" w:hAnsi="Arial" w:cs="Arial"/>
          <w:sz w:val="24"/>
          <w:szCs w:val="24"/>
        </w:rPr>
      </w:pPr>
      <w:r>
        <w:rPr>
          <w:rFonts w:ascii="Arial" w:eastAsia="Arial" w:hAnsi="Arial" w:cs="Arial"/>
          <w:b/>
          <w:sz w:val="24"/>
          <w:szCs w:val="24"/>
        </w:rPr>
        <w:t>Segundo.</w:t>
      </w:r>
      <w:r>
        <w:rPr>
          <w:rFonts w:ascii="Arial" w:eastAsia="Arial" w:hAnsi="Arial" w:cs="Arial"/>
          <w:sz w:val="24"/>
          <w:szCs w:val="24"/>
        </w:rPr>
        <w:t xml:space="preserve"> Se declara la </w:t>
      </w:r>
      <w:r>
        <w:rPr>
          <w:rFonts w:ascii="Arial" w:eastAsia="Arial" w:hAnsi="Arial" w:cs="Arial"/>
          <w:b/>
          <w:sz w:val="24"/>
          <w:szCs w:val="24"/>
        </w:rPr>
        <w:t xml:space="preserve">inexistencia </w:t>
      </w:r>
      <w:r>
        <w:rPr>
          <w:rFonts w:ascii="Arial" w:eastAsia="Arial" w:hAnsi="Arial" w:cs="Arial"/>
          <w:sz w:val="24"/>
          <w:szCs w:val="24"/>
        </w:rPr>
        <w:t xml:space="preserve">de la infracción consistente en </w:t>
      </w:r>
      <w:r>
        <w:rPr>
          <w:rFonts w:ascii="Arial" w:eastAsia="Arial" w:hAnsi="Arial" w:cs="Arial"/>
          <w:b/>
          <w:i/>
          <w:sz w:val="24"/>
          <w:szCs w:val="24"/>
        </w:rPr>
        <w:t>culpa in vigilando</w:t>
      </w:r>
      <w:r>
        <w:rPr>
          <w:rFonts w:ascii="Arial" w:eastAsia="Arial" w:hAnsi="Arial" w:cs="Arial"/>
          <w:sz w:val="24"/>
          <w:szCs w:val="24"/>
        </w:rPr>
        <w:t xml:space="preserve"> atribuida al partido político Morena.</w:t>
      </w:r>
    </w:p>
    <w:p w14:paraId="12DA0C0D" w14:textId="77777777" w:rsidR="005B0C78" w:rsidRDefault="005B0C78">
      <w:pPr>
        <w:pBdr>
          <w:top w:val="nil"/>
          <w:left w:val="nil"/>
          <w:bottom w:val="nil"/>
          <w:right w:val="nil"/>
          <w:between w:val="nil"/>
        </w:pBdr>
        <w:rPr>
          <w:color w:val="000000"/>
        </w:rPr>
      </w:pPr>
    </w:p>
    <w:p w14:paraId="520CFE27" w14:textId="052768B8" w:rsidR="005B0C78" w:rsidRDefault="00F66729" w:rsidP="001A1762">
      <w:pPr>
        <w:rPr>
          <w:rFonts w:ascii="Arial" w:eastAsia="Arial" w:hAnsi="Arial" w:cs="Arial"/>
          <w:b/>
          <w:color w:val="000000"/>
          <w:sz w:val="24"/>
          <w:szCs w:val="24"/>
        </w:rPr>
      </w:pPr>
      <w:r>
        <w:rPr>
          <w:rFonts w:ascii="Arial" w:eastAsia="Arial" w:hAnsi="Arial" w:cs="Arial"/>
          <w:b/>
          <w:color w:val="000000"/>
          <w:sz w:val="24"/>
          <w:szCs w:val="24"/>
        </w:rPr>
        <w:t xml:space="preserve">Notifíquese. </w:t>
      </w:r>
    </w:p>
    <w:p w14:paraId="577EF72F" w14:textId="77777777" w:rsidR="005B0C78" w:rsidRDefault="005B0C78">
      <w:pPr>
        <w:pBdr>
          <w:top w:val="nil"/>
          <w:left w:val="nil"/>
          <w:bottom w:val="nil"/>
          <w:right w:val="nil"/>
          <w:between w:val="nil"/>
        </w:pBdr>
        <w:rPr>
          <w:color w:val="000000"/>
        </w:rPr>
      </w:pPr>
    </w:p>
    <w:p w14:paraId="3CDD97D2" w14:textId="77777777" w:rsidR="005B0C78" w:rsidRDefault="00F66729">
      <w:pPr>
        <w:pBdr>
          <w:top w:val="nil"/>
          <w:left w:val="nil"/>
          <w:bottom w:val="nil"/>
          <w:right w:val="nil"/>
          <w:between w:val="nil"/>
        </w:pBdr>
        <w:tabs>
          <w:tab w:val="left" w:pos="0"/>
          <w:tab w:val="left" w:pos="426"/>
        </w:tabs>
        <w:spacing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Así lo resolvió el Tribunal Electoral del Estado de Aguascalientes, por unanimidad de votos de las </w:t>
      </w:r>
      <w:r>
        <w:rPr>
          <w:rFonts w:ascii="Arial" w:eastAsia="Arial" w:hAnsi="Arial" w:cs="Arial"/>
          <w:sz w:val="24"/>
          <w:szCs w:val="24"/>
        </w:rPr>
        <w:t xml:space="preserve">Magistradas y el </w:t>
      </w:r>
      <w:r>
        <w:rPr>
          <w:rFonts w:ascii="Arial" w:eastAsia="Arial" w:hAnsi="Arial" w:cs="Arial"/>
          <w:color w:val="000000"/>
          <w:sz w:val="24"/>
          <w:szCs w:val="24"/>
        </w:rPr>
        <w:t>Magistrado en funciones que lo integran, ante el Secretario General de Acuerdos, quien autoriza y da fe.</w:t>
      </w:r>
    </w:p>
    <w:p w14:paraId="1C1633A6" w14:textId="77777777" w:rsidR="005B0C78" w:rsidRDefault="005B0C78">
      <w:pPr>
        <w:pBdr>
          <w:top w:val="nil"/>
          <w:left w:val="nil"/>
          <w:bottom w:val="nil"/>
          <w:right w:val="nil"/>
          <w:between w:val="nil"/>
        </w:pBdr>
        <w:tabs>
          <w:tab w:val="left" w:pos="0"/>
          <w:tab w:val="left" w:pos="426"/>
        </w:tabs>
        <w:spacing w:line="360" w:lineRule="auto"/>
        <w:jc w:val="both"/>
        <w:rPr>
          <w:rFonts w:ascii="Arial" w:eastAsia="Arial" w:hAnsi="Arial" w:cs="Arial"/>
          <w:color w:val="000000"/>
          <w:sz w:val="24"/>
          <w:szCs w:val="24"/>
        </w:rPr>
      </w:pPr>
    </w:p>
    <w:p w14:paraId="1AC83169" w14:textId="77777777" w:rsidR="005B0C78" w:rsidRDefault="005B0C78">
      <w:pPr>
        <w:pBdr>
          <w:top w:val="nil"/>
          <w:left w:val="nil"/>
          <w:bottom w:val="nil"/>
          <w:right w:val="nil"/>
          <w:between w:val="nil"/>
        </w:pBdr>
        <w:rPr>
          <w:color w:val="000000"/>
        </w:rPr>
      </w:pPr>
    </w:p>
    <w:tbl>
      <w:tblPr>
        <w:tblStyle w:val="ae"/>
        <w:tblW w:w="9120" w:type="dxa"/>
        <w:jc w:val="center"/>
        <w:tblInd w:w="0" w:type="dxa"/>
        <w:tblLayout w:type="fixed"/>
        <w:tblLook w:val="0400" w:firstRow="0" w:lastRow="0" w:firstColumn="0" w:lastColumn="0" w:noHBand="0" w:noVBand="1"/>
      </w:tblPr>
      <w:tblGrid>
        <w:gridCol w:w="4559"/>
        <w:gridCol w:w="4561"/>
      </w:tblGrid>
      <w:tr w:rsidR="005B0C78" w14:paraId="00DA8DE9" w14:textId="77777777">
        <w:trPr>
          <w:trHeight w:val="1211"/>
          <w:jc w:val="center"/>
        </w:trPr>
        <w:tc>
          <w:tcPr>
            <w:tcW w:w="9120" w:type="dxa"/>
            <w:gridSpan w:val="2"/>
          </w:tcPr>
          <w:p w14:paraId="0D1C5546" w14:textId="77777777" w:rsidR="005B0C78" w:rsidRDefault="00F66729">
            <w:pPr>
              <w:spacing w:line="360" w:lineRule="auto"/>
              <w:jc w:val="center"/>
              <w:rPr>
                <w:rFonts w:ascii="Arial" w:eastAsia="Arial" w:hAnsi="Arial" w:cs="Arial"/>
                <w:b/>
                <w:color w:val="000000"/>
                <w:sz w:val="24"/>
                <w:szCs w:val="24"/>
              </w:rPr>
            </w:pPr>
            <w:bookmarkStart w:id="5" w:name="_heading=h.3znysh7" w:colFirst="0" w:colLast="0"/>
            <w:bookmarkEnd w:id="5"/>
            <w:r>
              <w:rPr>
                <w:rFonts w:ascii="Arial" w:eastAsia="Arial" w:hAnsi="Arial" w:cs="Arial"/>
                <w:b/>
                <w:color w:val="000000"/>
                <w:sz w:val="24"/>
                <w:szCs w:val="24"/>
              </w:rPr>
              <w:t>MAGISTRADA PRESIDENTA</w:t>
            </w:r>
          </w:p>
          <w:p w14:paraId="130026E3" w14:textId="77777777" w:rsidR="005B0C78" w:rsidRDefault="005B0C78">
            <w:pPr>
              <w:pBdr>
                <w:top w:val="nil"/>
                <w:left w:val="nil"/>
                <w:bottom w:val="nil"/>
                <w:right w:val="nil"/>
                <w:between w:val="nil"/>
              </w:pBdr>
              <w:rPr>
                <w:color w:val="000000"/>
                <w:sz w:val="24"/>
                <w:szCs w:val="24"/>
              </w:rPr>
            </w:pPr>
          </w:p>
          <w:p w14:paraId="07E09EBF" w14:textId="77777777" w:rsidR="005B0C78" w:rsidRDefault="00F66729">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CLAUDIA ELOISA DÍAZ DE LEÓN GONZÁLEZ</w:t>
            </w:r>
          </w:p>
          <w:p w14:paraId="4F36B56A" w14:textId="77777777" w:rsidR="005B0C78" w:rsidRDefault="005B0C78">
            <w:pPr>
              <w:spacing w:line="360" w:lineRule="auto"/>
              <w:jc w:val="center"/>
              <w:rPr>
                <w:rFonts w:ascii="Arial" w:eastAsia="Arial" w:hAnsi="Arial" w:cs="Arial"/>
                <w:b/>
                <w:color w:val="000000"/>
                <w:sz w:val="24"/>
                <w:szCs w:val="24"/>
              </w:rPr>
            </w:pPr>
          </w:p>
        </w:tc>
      </w:tr>
      <w:tr w:rsidR="005B0C78" w14:paraId="0734C667" w14:textId="77777777">
        <w:trPr>
          <w:trHeight w:val="1549"/>
          <w:jc w:val="center"/>
        </w:trPr>
        <w:tc>
          <w:tcPr>
            <w:tcW w:w="4559" w:type="dxa"/>
          </w:tcPr>
          <w:p w14:paraId="5B82D46C" w14:textId="77777777" w:rsidR="005B0C78" w:rsidRDefault="00F66729">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lastRenderedPageBreak/>
              <w:t>MAGISTRADA</w:t>
            </w:r>
          </w:p>
          <w:p w14:paraId="451C1697" w14:textId="77777777" w:rsidR="005B0C78" w:rsidRDefault="005B0C78">
            <w:pPr>
              <w:pBdr>
                <w:top w:val="nil"/>
                <w:left w:val="nil"/>
                <w:bottom w:val="nil"/>
                <w:right w:val="nil"/>
                <w:between w:val="nil"/>
              </w:pBdr>
              <w:rPr>
                <w:color w:val="000000"/>
                <w:sz w:val="24"/>
                <w:szCs w:val="24"/>
              </w:rPr>
            </w:pPr>
          </w:p>
          <w:p w14:paraId="619B7E9D" w14:textId="77777777" w:rsidR="005B0C78" w:rsidRDefault="00F66729">
            <w:pPr>
              <w:jc w:val="center"/>
              <w:rPr>
                <w:rFonts w:ascii="Arial" w:eastAsia="Arial" w:hAnsi="Arial" w:cs="Arial"/>
                <w:b/>
                <w:color w:val="000000"/>
                <w:sz w:val="24"/>
                <w:szCs w:val="24"/>
              </w:rPr>
            </w:pPr>
            <w:r>
              <w:rPr>
                <w:rFonts w:ascii="Arial" w:eastAsia="Arial" w:hAnsi="Arial" w:cs="Arial"/>
                <w:b/>
                <w:color w:val="000000"/>
                <w:sz w:val="24"/>
                <w:szCs w:val="24"/>
              </w:rPr>
              <w:t xml:space="preserve">LAURA HORTENSIA </w:t>
            </w:r>
          </w:p>
          <w:p w14:paraId="25552C1F" w14:textId="77777777" w:rsidR="005B0C78" w:rsidRDefault="00F66729">
            <w:pPr>
              <w:jc w:val="center"/>
              <w:rPr>
                <w:rFonts w:ascii="Arial" w:eastAsia="Arial" w:hAnsi="Arial" w:cs="Arial"/>
                <w:b/>
                <w:color w:val="000000"/>
                <w:sz w:val="24"/>
                <w:szCs w:val="24"/>
              </w:rPr>
            </w:pPr>
            <w:r>
              <w:rPr>
                <w:rFonts w:ascii="Arial" w:eastAsia="Arial" w:hAnsi="Arial" w:cs="Arial"/>
                <w:b/>
                <w:color w:val="000000"/>
                <w:sz w:val="24"/>
                <w:szCs w:val="24"/>
              </w:rPr>
              <w:t>LLAMAS HERNÁNDEZ</w:t>
            </w:r>
          </w:p>
        </w:tc>
        <w:tc>
          <w:tcPr>
            <w:tcW w:w="4561" w:type="dxa"/>
          </w:tcPr>
          <w:p w14:paraId="4F8A67FE" w14:textId="77777777" w:rsidR="005B0C78" w:rsidRDefault="00F66729">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 xml:space="preserve">MAGISTRADO </w:t>
            </w:r>
          </w:p>
          <w:p w14:paraId="0BC46719" w14:textId="77777777" w:rsidR="005B0C78" w:rsidRDefault="005B0C78">
            <w:pPr>
              <w:rPr>
                <w:sz w:val="28"/>
                <w:szCs w:val="28"/>
              </w:rPr>
            </w:pPr>
          </w:p>
          <w:p w14:paraId="08B3EC2C" w14:textId="77777777" w:rsidR="005B0C78" w:rsidRDefault="00F66729">
            <w:pPr>
              <w:jc w:val="center"/>
              <w:rPr>
                <w:rFonts w:ascii="Arial" w:eastAsia="Arial" w:hAnsi="Arial" w:cs="Arial"/>
                <w:b/>
                <w:color w:val="000000"/>
                <w:sz w:val="24"/>
                <w:szCs w:val="24"/>
              </w:rPr>
            </w:pPr>
            <w:r>
              <w:rPr>
                <w:rFonts w:ascii="Arial" w:eastAsia="Arial" w:hAnsi="Arial" w:cs="Arial"/>
                <w:b/>
                <w:color w:val="000000"/>
                <w:sz w:val="24"/>
                <w:szCs w:val="24"/>
              </w:rPr>
              <w:t xml:space="preserve">HÉCTOR SALVADOR </w:t>
            </w:r>
          </w:p>
          <w:p w14:paraId="79780F66" w14:textId="77777777" w:rsidR="005B0C78" w:rsidRDefault="00F66729">
            <w:pPr>
              <w:jc w:val="center"/>
              <w:rPr>
                <w:rFonts w:ascii="Arial" w:eastAsia="Arial" w:hAnsi="Arial" w:cs="Arial"/>
                <w:b/>
                <w:color w:val="000000"/>
                <w:sz w:val="24"/>
                <w:szCs w:val="24"/>
              </w:rPr>
            </w:pPr>
            <w:r>
              <w:rPr>
                <w:rFonts w:ascii="Arial" w:eastAsia="Arial" w:hAnsi="Arial" w:cs="Arial"/>
                <w:b/>
                <w:color w:val="000000"/>
                <w:sz w:val="24"/>
                <w:szCs w:val="24"/>
              </w:rPr>
              <w:t>HERNÁNDEZ GALLEGOS</w:t>
            </w:r>
          </w:p>
          <w:p w14:paraId="0DF3BDD5" w14:textId="77777777" w:rsidR="005B0C78" w:rsidRDefault="005B0C78">
            <w:pPr>
              <w:jc w:val="center"/>
              <w:rPr>
                <w:rFonts w:ascii="Arial" w:eastAsia="Arial" w:hAnsi="Arial" w:cs="Arial"/>
                <w:b/>
                <w:color w:val="000000"/>
                <w:sz w:val="24"/>
                <w:szCs w:val="24"/>
              </w:rPr>
            </w:pPr>
          </w:p>
          <w:p w14:paraId="5AC65EEE" w14:textId="77777777" w:rsidR="005B0C78" w:rsidRDefault="005B0C78">
            <w:pPr>
              <w:rPr>
                <w:sz w:val="24"/>
                <w:szCs w:val="24"/>
              </w:rPr>
            </w:pPr>
          </w:p>
        </w:tc>
      </w:tr>
      <w:tr w:rsidR="005B0C78" w14:paraId="1093CE03" w14:textId="77777777">
        <w:trPr>
          <w:jc w:val="center"/>
        </w:trPr>
        <w:tc>
          <w:tcPr>
            <w:tcW w:w="9120" w:type="dxa"/>
            <w:gridSpan w:val="2"/>
          </w:tcPr>
          <w:p w14:paraId="0EAC0D27" w14:textId="77777777" w:rsidR="005B0C78" w:rsidRDefault="00F66729">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 xml:space="preserve">SECRETARIO GENERAL DE ACUERDOS </w:t>
            </w:r>
          </w:p>
          <w:p w14:paraId="79813954" w14:textId="77777777" w:rsidR="005B0C78" w:rsidRDefault="005B0C78">
            <w:pPr>
              <w:pBdr>
                <w:top w:val="nil"/>
                <w:left w:val="nil"/>
                <w:bottom w:val="nil"/>
                <w:right w:val="nil"/>
                <w:between w:val="nil"/>
              </w:pBdr>
              <w:rPr>
                <w:color w:val="000000"/>
                <w:sz w:val="24"/>
                <w:szCs w:val="24"/>
              </w:rPr>
            </w:pPr>
          </w:p>
          <w:p w14:paraId="6D813324" w14:textId="77777777" w:rsidR="005B0C78" w:rsidRDefault="00F66729">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 xml:space="preserve">JESUS OCIEL BAENA SAUCEDO </w:t>
            </w:r>
          </w:p>
        </w:tc>
      </w:tr>
    </w:tbl>
    <w:p w14:paraId="11530C27" w14:textId="77777777" w:rsidR="005B0C78" w:rsidRDefault="005B0C78">
      <w:pPr>
        <w:spacing w:line="360" w:lineRule="auto"/>
        <w:rPr>
          <w:rFonts w:ascii="Arial" w:eastAsia="Arial" w:hAnsi="Arial" w:cs="Arial"/>
          <w:sz w:val="24"/>
          <w:szCs w:val="24"/>
        </w:rPr>
      </w:pPr>
    </w:p>
    <w:p w14:paraId="3A05FD73" w14:textId="77777777" w:rsidR="005B0C78" w:rsidRDefault="005B0C78">
      <w:pPr>
        <w:spacing w:before="240" w:after="240" w:line="360" w:lineRule="auto"/>
        <w:jc w:val="both"/>
        <w:rPr>
          <w:highlight w:val="yellow"/>
        </w:rPr>
      </w:pPr>
    </w:p>
    <w:sectPr w:rsidR="005B0C78">
      <w:headerReference w:type="even" r:id="rId21"/>
      <w:headerReference w:type="default" r:id="rId22"/>
      <w:footerReference w:type="even" r:id="rId23"/>
      <w:footerReference w:type="default" r:id="rId24"/>
      <w:headerReference w:type="first" r:id="rId25"/>
      <w:footerReference w:type="first" r:id="rId26"/>
      <w:pgSz w:w="12240" w:h="20160"/>
      <w:pgMar w:top="2268" w:right="1134" w:bottom="1276" w:left="1418"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6A3F15" w14:textId="77777777" w:rsidR="005420BD" w:rsidRDefault="005420BD">
      <w:r>
        <w:separator/>
      </w:r>
    </w:p>
  </w:endnote>
  <w:endnote w:type="continuationSeparator" w:id="0">
    <w:p w14:paraId="4114E986" w14:textId="77777777" w:rsidR="005420BD" w:rsidRDefault="005420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0B7F7D" w14:textId="77777777" w:rsidR="005B0C78" w:rsidRDefault="005B0C78">
    <w:pPr>
      <w:pBdr>
        <w:top w:val="nil"/>
        <w:left w:val="nil"/>
        <w:bottom w:val="nil"/>
        <w:right w:val="nil"/>
        <w:between w:val="nil"/>
      </w:pBdr>
      <w:tabs>
        <w:tab w:val="center" w:pos="4419"/>
        <w:tab w:val="right" w:pos="8838"/>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7740EB" w14:textId="77777777" w:rsidR="005B0C78" w:rsidRDefault="005B0C78">
    <w:pPr>
      <w:pBdr>
        <w:top w:val="nil"/>
        <w:left w:val="nil"/>
        <w:bottom w:val="nil"/>
        <w:right w:val="nil"/>
        <w:between w:val="nil"/>
      </w:pBdr>
      <w:tabs>
        <w:tab w:val="center" w:pos="4419"/>
        <w:tab w:val="right" w:pos="8838"/>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49F226" w14:textId="77777777" w:rsidR="005B0C78" w:rsidRDefault="005B0C78">
    <w:pPr>
      <w:pBdr>
        <w:top w:val="nil"/>
        <w:left w:val="nil"/>
        <w:bottom w:val="nil"/>
        <w:right w:val="nil"/>
        <w:between w:val="nil"/>
      </w:pBdr>
      <w:tabs>
        <w:tab w:val="center" w:pos="4419"/>
        <w:tab w:val="right" w:pos="8838"/>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D442EF" w14:textId="77777777" w:rsidR="005420BD" w:rsidRDefault="005420BD">
      <w:r>
        <w:separator/>
      </w:r>
    </w:p>
  </w:footnote>
  <w:footnote w:type="continuationSeparator" w:id="0">
    <w:p w14:paraId="3294E069" w14:textId="77777777" w:rsidR="005420BD" w:rsidRDefault="005420BD">
      <w:r>
        <w:continuationSeparator/>
      </w:r>
    </w:p>
  </w:footnote>
  <w:footnote w:id="1">
    <w:p w14:paraId="06169593" w14:textId="77777777" w:rsidR="005B0C78" w:rsidRDefault="00F66729">
      <w:pPr>
        <w:pBdr>
          <w:top w:val="nil"/>
          <w:left w:val="nil"/>
          <w:bottom w:val="nil"/>
          <w:right w:val="nil"/>
          <w:between w:val="nil"/>
        </w:pBdr>
        <w:jc w:val="both"/>
        <w:rPr>
          <w:rFonts w:ascii="Arial" w:eastAsia="Arial" w:hAnsi="Arial" w:cs="Arial"/>
          <w:color w:val="000000"/>
        </w:rPr>
      </w:pPr>
      <w:r>
        <w:rPr>
          <w:vertAlign w:val="superscript"/>
        </w:rPr>
        <w:footnoteRef/>
      </w:r>
      <w:r>
        <w:rPr>
          <w:rFonts w:ascii="Arial" w:eastAsia="Arial" w:hAnsi="Arial" w:cs="Arial"/>
          <w:color w:val="000000"/>
        </w:rPr>
        <w:t xml:space="preserve"> Encargado de despacho de la secretaría de estudio de la ponencia II.</w:t>
      </w:r>
    </w:p>
  </w:footnote>
  <w:footnote w:id="2">
    <w:p w14:paraId="2B74D12A" w14:textId="77777777" w:rsidR="005B0C78" w:rsidRDefault="00F66729">
      <w:pPr>
        <w:jc w:val="both"/>
        <w:rPr>
          <w:rFonts w:ascii="Arial" w:eastAsia="Arial" w:hAnsi="Arial" w:cs="Arial"/>
        </w:rPr>
      </w:pPr>
      <w:r>
        <w:rPr>
          <w:vertAlign w:val="superscript"/>
        </w:rPr>
        <w:footnoteRef/>
      </w:r>
      <w:r>
        <w:rPr>
          <w:rFonts w:ascii="Arial" w:eastAsia="Arial" w:hAnsi="Arial" w:cs="Arial"/>
        </w:rPr>
        <w:t xml:space="preserve"> Todas las fechas corresponden al 2022, salvo precisión en contrario.</w:t>
      </w:r>
    </w:p>
  </w:footnote>
  <w:footnote w:id="3">
    <w:p w14:paraId="3B890AE8" w14:textId="77777777" w:rsidR="005B0C78" w:rsidRDefault="00F66729">
      <w:pPr>
        <w:jc w:val="both"/>
        <w:rPr>
          <w:rFonts w:ascii="Arial" w:eastAsia="Arial" w:hAnsi="Arial" w:cs="Arial"/>
        </w:rPr>
      </w:pPr>
      <w:r>
        <w:rPr>
          <w:vertAlign w:val="superscript"/>
        </w:rPr>
        <w:footnoteRef/>
      </w:r>
      <w:r>
        <w:rPr>
          <w:rFonts w:ascii="Arial" w:eastAsia="Arial" w:hAnsi="Arial" w:cs="Arial"/>
        </w:rPr>
        <w:t xml:space="preserve"> </w:t>
      </w:r>
      <w:r>
        <w:rPr>
          <w:rFonts w:ascii="Arial" w:eastAsia="Arial" w:hAnsi="Arial" w:cs="Arial"/>
          <w:i/>
        </w:rPr>
        <w:t>Precampaña</w:t>
      </w:r>
      <w:r>
        <w:rPr>
          <w:rFonts w:ascii="Arial" w:eastAsia="Arial" w:hAnsi="Arial" w:cs="Arial"/>
        </w:rPr>
        <w:t xml:space="preserve">: Del 2 de enero al 10 de febrero; Intercampaña: Del 11 de febrero al 2 de abril; </w:t>
      </w:r>
      <w:r>
        <w:rPr>
          <w:rFonts w:ascii="Arial" w:eastAsia="Arial" w:hAnsi="Arial" w:cs="Arial"/>
          <w:i/>
        </w:rPr>
        <w:t>Campaña</w:t>
      </w:r>
      <w:r>
        <w:rPr>
          <w:rFonts w:ascii="Arial" w:eastAsia="Arial" w:hAnsi="Arial" w:cs="Arial"/>
        </w:rPr>
        <w:t xml:space="preserve">: Del 3 de abril al 1 de junio; </w:t>
      </w:r>
      <w:r>
        <w:rPr>
          <w:rFonts w:ascii="Arial" w:eastAsia="Arial" w:hAnsi="Arial" w:cs="Arial"/>
          <w:i/>
        </w:rPr>
        <w:t>Veda Electoral</w:t>
      </w:r>
      <w:r>
        <w:rPr>
          <w:rFonts w:ascii="Arial" w:eastAsia="Arial" w:hAnsi="Arial" w:cs="Arial"/>
        </w:rPr>
        <w:t xml:space="preserve">: Tres días antes de la Jornada Electoral; </w:t>
      </w:r>
      <w:r>
        <w:rPr>
          <w:rFonts w:ascii="Arial" w:eastAsia="Arial" w:hAnsi="Arial" w:cs="Arial"/>
          <w:i/>
        </w:rPr>
        <w:t>Jornada Electoral</w:t>
      </w:r>
      <w:r>
        <w:rPr>
          <w:rFonts w:ascii="Arial" w:eastAsia="Arial" w:hAnsi="Arial" w:cs="Arial"/>
        </w:rPr>
        <w:t>: El 5 de junio.</w:t>
      </w:r>
    </w:p>
  </w:footnote>
  <w:footnote w:id="4">
    <w:p w14:paraId="1374272C" w14:textId="77777777" w:rsidR="005B0C78" w:rsidRDefault="00F66729">
      <w:pPr>
        <w:jc w:val="both"/>
        <w:rPr>
          <w:rFonts w:ascii="Arial" w:eastAsia="Arial" w:hAnsi="Arial" w:cs="Arial"/>
        </w:rPr>
      </w:pPr>
      <w:r>
        <w:rPr>
          <w:vertAlign w:val="superscript"/>
        </w:rPr>
        <w:footnoteRef/>
      </w:r>
      <w:r>
        <w:rPr>
          <w:rFonts w:ascii="Arial" w:eastAsia="Arial" w:hAnsi="Arial" w:cs="Arial"/>
        </w:rPr>
        <w:t xml:space="preserve"> Tal como se prevé en el artículo 274, fracción IV, del Código Electoral.</w:t>
      </w:r>
    </w:p>
  </w:footnote>
  <w:footnote w:id="5">
    <w:p w14:paraId="6A0F81FF" w14:textId="77777777" w:rsidR="005B0C78" w:rsidRDefault="00F66729">
      <w:pPr>
        <w:jc w:val="both"/>
        <w:rPr>
          <w:rFonts w:ascii="Arial" w:eastAsia="Arial" w:hAnsi="Arial" w:cs="Arial"/>
        </w:rPr>
      </w:pPr>
      <w:r>
        <w:rPr>
          <w:vertAlign w:val="superscript"/>
        </w:rPr>
        <w:footnoteRef/>
      </w:r>
      <w:r>
        <w:rPr>
          <w:rFonts w:ascii="Arial" w:eastAsia="Arial" w:hAnsi="Arial" w:cs="Arial"/>
        </w:rPr>
        <w:t xml:space="preserve"> Véase la resolución SUP-AG-142/2021. </w:t>
      </w:r>
    </w:p>
  </w:footnote>
  <w:footnote w:id="6">
    <w:p w14:paraId="6FFB0A9F" w14:textId="77777777" w:rsidR="005B0C78" w:rsidRDefault="00F66729">
      <w:pPr>
        <w:jc w:val="both"/>
        <w:rPr>
          <w:rFonts w:ascii="Arial" w:eastAsia="Arial" w:hAnsi="Arial" w:cs="Arial"/>
        </w:rPr>
      </w:pPr>
      <w:r>
        <w:rPr>
          <w:vertAlign w:val="superscript"/>
        </w:rPr>
        <w:footnoteRef/>
      </w:r>
      <w:r>
        <w:rPr>
          <w:rFonts w:ascii="Arial" w:eastAsia="Arial" w:hAnsi="Arial" w:cs="Arial"/>
        </w:rPr>
        <w:t xml:space="preserve"> Artículo 270.- La denuncia deberá ser presentada ante la Secretaría Ejecutiva, para que ésta la examine junto con las pruebas aportadas. La denuncia será desechada de plano por la Secretaría Ejecutiva, sin prevención alguna, cuando: […]</w:t>
      </w:r>
    </w:p>
    <w:p w14:paraId="0CD360B0" w14:textId="77777777" w:rsidR="005B0C78" w:rsidRDefault="00F66729">
      <w:pPr>
        <w:jc w:val="both"/>
        <w:rPr>
          <w:rFonts w:ascii="Arial" w:eastAsia="Arial" w:hAnsi="Arial" w:cs="Arial"/>
        </w:rPr>
      </w:pPr>
      <w:r>
        <w:rPr>
          <w:rFonts w:ascii="Arial" w:eastAsia="Arial" w:hAnsi="Arial" w:cs="Arial"/>
        </w:rPr>
        <w:t>II. Los hechos denunciados no constituyan una violación en materia de propaganda político-electivo;</w:t>
      </w:r>
    </w:p>
    <w:p w14:paraId="2430FB35" w14:textId="77777777" w:rsidR="005B0C78" w:rsidRDefault="00F66729">
      <w:pPr>
        <w:jc w:val="both"/>
        <w:rPr>
          <w:rFonts w:ascii="Arial" w:eastAsia="Arial" w:hAnsi="Arial" w:cs="Arial"/>
        </w:rPr>
      </w:pPr>
      <w:r>
        <w:rPr>
          <w:rFonts w:ascii="Arial" w:eastAsia="Arial" w:hAnsi="Arial" w:cs="Arial"/>
        </w:rPr>
        <w:t>III. El denunciante no aporte ni ofrezca prueba alguna de sus dichos; […]</w:t>
      </w:r>
    </w:p>
    <w:p w14:paraId="0621EDBC" w14:textId="77777777" w:rsidR="005B0C78" w:rsidRDefault="00F66729">
      <w:pPr>
        <w:jc w:val="both"/>
        <w:rPr>
          <w:rFonts w:ascii="Arial" w:eastAsia="Arial" w:hAnsi="Arial" w:cs="Arial"/>
        </w:rPr>
      </w:pPr>
      <w:r>
        <w:rPr>
          <w:rFonts w:ascii="Arial" w:eastAsia="Arial" w:hAnsi="Arial" w:cs="Arial"/>
        </w:rPr>
        <w:t>V. La denuncia sea evidentemente frívola. […]</w:t>
      </w:r>
    </w:p>
    <w:p w14:paraId="5EA9F1BA" w14:textId="77777777" w:rsidR="005B0C78" w:rsidRDefault="005B0C78">
      <w:pPr>
        <w:rPr>
          <w:rFonts w:ascii="Arial" w:eastAsia="Arial" w:hAnsi="Arial" w:cs="Arial"/>
        </w:rPr>
      </w:pPr>
    </w:p>
  </w:footnote>
  <w:footnote w:id="7">
    <w:p w14:paraId="38AB61C2" w14:textId="77777777" w:rsidR="005B0C78" w:rsidRDefault="00F66729">
      <w:pPr>
        <w:pBdr>
          <w:top w:val="nil"/>
          <w:left w:val="nil"/>
          <w:bottom w:val="nil"/>
          <w:right w:val="nil"/>
          <w:between w:val="nil"/>
        </w:pBdr>
        <w:jc w:val="both"/>
        <w:rPr>
          <w:rFonts w:ascii="Arial" w:eastAsia="Arial" w:hAnsi="Arial" w:cs="Arial"/>
          <w:i/>
          <w:color w:val="000000"/>
        </w:rPr>
      </w:pPr>
      <w:r>
        <w:rPr>
          <w:vertAlign w:val="superscript"/>
        </w:rPr>
        <w:footnoteRef/>
      </w:r>
      <w:r>
        <w:rPr>
          <w:rFonts w:ascii="Arial" w:eastAsia="Arial" w:hAnsi="Arial" w:cs="Arial"/>
          <w:color w:val="000000"/>
        </w:rPr>
        <w:t xml:space="preserve"> - </w:t>
      </w:r>
      <w:r>
        <w:rPr>
          <w:rFonts w:ascii="Arial" w:eastAsia="Arial" w:hAnsi="Arial" w:cs="Arial"/>
          <w:i/>
          <w:color w:val="000000"/>
        </w:rPr>
        <w:t xml:space="preserve">Prueba técnica: </w:t>
      </w:r>
      <w:r>
        <w:rPr>
          <w:rFonts w:ascii="Arial" w:eastAsia="Arial" w:hAnsi="Arial" w:cs="Arial"/>
          <w:color w:val="000000"/>
        </w:rPr>
        <w:t> De acuerdo con el artículo 256, tercer párrafo, del Código Electoral, las documentales privadas, técnicas, periciales, e instrumental de actuaciones, así como aquellas en las que un fedatario haga constar las declaraciones de alguna persona debidamente identificada, sólo harán prueba plena cuando a juicio del órgano competente para resolver, generen convicción sobre la veracidad de los hechos alegados, al concatenarse con los demás elementos que obren en el expediente, las afirmaciones de las partes, la verdad conocida y el recto raciocinio de la relación que guardan entre sí.</w:t>
      </w:r>
    </w:p>
    <w:p w14:paraId="21D22C9D" w14:textId="77777777" w:rsidR="005B0C78" w:rsidRDefault="00F66729">
      <w:pPr>
        <w:pBdr>
          <w:top w:val="nil"/>
          <w:left w:val="nil"/>
          <w:bottom w:val="nil"/>
          <w:right w:val="nil"/>
          <w:between w:val="nil"/>
        </w:pBdr>
        <w:jc w:val="both"/>
        <w:rPr>
          <w:rFonts w:ascii="Arial" w:eastAsia="Arial" w:hAnsi="Arial" w:cs="Arial"/>
          <w:color w:val="000000"/>
        </w:rPr>
      </w:pPr>
      <w:r>
        <w:rPr>
          <w:rFonts w:ascii="Arial" w:eastAsia="Arial" w:hAnsi="Arial" w:cs="Arial"/>
          <w:i/>
          <w:color w:val="000000"/>
        </w:rPr>
        <w:t>-  Documental pública:</w:t>
      </w:r>
      <w:r>
        <w:rPr>
          <w:rFonts w:ascii="Arial" w:eastAsia="Arial" w:hAnsi="Arial" w:cs="Arial"/>
          <w:color w:val="000000"/>
        </w:rPr>
        <w:t xml:space="preserve"> De conformidad con el artículo 256, segundo párrafo del Código Electoral; Las documentales públicas tendrán valor probatorio pleno, salvo prueba en contrario respecto de su autenticidad o de la veracidad de los hechos a que se refieran. </w:t>
      </w:r>
    </w:p>
    <w:p w14:paraId="17065469" w14:textId="77777777" w:rsidR="005B0C78" w:rsidRDefault="00F66729">
      <w:pPr>
        <w:pBdr>
          <w:top w:val="nil"/>
          <w:left w:val="nil"/>
          <w:bottom w:val="nil"/>
          <w:right w:val="nil"/>
          <w:between w:val="nil"/>
        </w:pBdr>
        <w:jc w:val="both"/>
        <w:rPr>
          <w:rFonts w:ascii="Arial" w:eastAsia="Arial" w:hAnsi="Arial" w:cs="Arial"/>
          <w:color w:val="000000"/>
        </w:rPr>
      </w:pPr>
      <w:r>
        <w:rPr>
          <w:rFonts w:ascii="Arial" w:eastAsia="Arial" w:hAnsi="Arial" w:cs="Arial"/>
          <w:i/>
          <w:color w:val="000000"/>
        </w:rPr>
        <w:t>- Presuncional e instrumental de actuaciones:</w:t>
      </w:r>
      <w:r>
        <w:rPr>
          <w:rFonts w:ascii="Arial" w:eastAsia="Arial" w:hAnsi="Arial" w:cs="Arial"/>
          <w:color w:val="000000"/>
        </w:rPr>
        <w:t xml:space="preserve"> 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p w14:paraId="68E0FDA9" w14:textId="77777777" w:rsidR="005B0C78" w:rsidRDefault="005B0C78">
      <w:pPr>
        <w:pBdr>
          <w:top w:val="nil"/>
          <w:left w:val="nil"/>
          <w:bottom w:val="nil"/>
          <w:right w:val="nil"/>
          <w:between w:val="nil"/>
        </w:pBdr>
        <w:rPr>
          <w:rFonts w:ascii="Arial" w:eastAsia="Arial" w:hAnsi="Arial" w:cs="Arial"/>
          <w:color w:val="000000"/>
        </w:rPr>
      </w:pPr>
    </w:p>
  </w:footnote>
  <w:footnote w:id="8">
    <w:p w14:paraId="1A701B1B" w14:textId="77777777" w:rsidR="005B0C78" w:rsidRDefault="00F66729">
      <w:pPr>
        <w:jc w:val="both"/>
        <w:rPr>
          <w:rFonts w:ascii="Arial" w:eastAsia="Arial" w:hAnsi="Arial" w:cs="Arial"/>
        </w:rPr>
      </w:pPr>
      <w:r>
        <w:rPr>
          <w:vertAlign w:val="superscript"/>
        </w:rPr>
        <w:footnoteRef/>
      </w:r>
      <w:r>
        <w:rPr>
          <w:rFonts w:ascii="Arial" w:eastAsia="Arial" w:hAnsi="Arial" w:cs="Arial"/>
        </w:rPr>
        <w:t xml:space="preserve"> Artículo 6. La manifestación de las ideas no será objeto de ninguna inquisición judicial o administrativa, sino en el caso de que ataque a la moral, la vida privada o los derechos de terceros, provoque algún delito, o perturbe el orden público; el derecho de réplica será ejercido en los términos dispuestos por la ley. El derecho a la información será garantizado por el Estado.</w:t>
      </w:r>
    </w:p>
  </w:footnote>
  <w:footnote w:id="9">
    <w:p w14:paraId="59CCA510" w14:textId="77777777" w:rsidR="005B0C78" w:rsidRDefault="00F66729">
      <w:pPr>
        <w:jc w:val="both"/>
        <w:rPr>
          <w:rFonts w:ascii="Arial" w:eastAsia="Arial" w:hAnsi="Arial" w:cs="Arial"/>
        </w:rPr>
      </w:pPr>
      <w:r>
        <w:rPr>
          <w:vertAlign w:val="superscript"/>
        </w:rPr>
        <w:footnoteRef/>
      </w:r>
      <w:r>
        <w:rPr>
          <w:rFonts w:ascii="Arial" w:eastAsia="Arial" w:hAnsi="Arial" w:cs="Arial"/>
        </w:rPr>
        <w:t xml:space="preserve"> Apartado C. En la propaganda política o electoral que difundan los partidos y candidatos deberán abstenerse de expresiones que calumnien a las personas</w:t>
      </w:r>
    </w:p>
  </w:footnote>
  <w:footnote w:id="10">
    <w:p w14:paraId="1AE530E1" w14:textId="77777777" w:rsidR="005B0C78" w:rsidRDefault="00F66729">
      <w:pPr>
        <w:jc w:val="both"/>
        <w:rPr>
          <w:rFonts w:ascii="Arial" w:eastAsia="Arial" w:hAnsi="Arial" w:cs="Arial"/>
        </w:rPr>
      </w:pPr>
      <w:r>
        <w:rPr>
          <w:vertAlign w:val="superscript"/>
        </w:rPr>
        <w:footnoteRef/>
      </w:r>
      <w:r>
        <w:rPr>
          <w:rFonts w:ascii="Arial" w:eastAsia="Arial" w:hAnsi="Arial" w:cs="Arial"/>
        </w:rPr>
        <w:t xml:space="preserve"> Artículo 471. Los procedimientos relacionados con la difusión de propaganda que se considere calumniosa sólo podrán iniciarse a instancia de parte afectada. Se entenderá por calumnia la imputación de hechos o delitos falsos con impacto en un proceso electoral.</w:t>
      </w:r>
    </w:p>
  </w:footnote>
  <w:footnote w:id="11">
    <w:p w14:paraId="6590E7F3" w14:textId="77777777" w:rsidR="005B0C78" w:rsidRDefault="00F66729">
      <w:pPr>
        <w:jc w:val="both"/>
      </w:pPr>
      <w:r>
        <w:rPr>
          <w:vertAlign w:val="superscript"/>
        </w:rPr>
        <w:footnoteRef/>
      </w:r>
      <w:r>
        <w:rPr>
          <w:rFonts w:ascii="Arial" w:eastAsia="Arial" w:hAnsi="Arial" w:cs="Arial"/>
        </w:rPr>
        <w:t xml:space="preserve"> Véase la resolución de la Acción de Inconstitucionalidad 64/2015 y sus acumuladas 65/2015, 66/2015, 68/2015 y 70/2015 (Ley de Instituciones y Procedimientos Electorales del Estado de Sinaloa), y la resolución de la Acción de Inconstitucionalidad 129/2015 y sus acumuladas 130/2015, 131/2015, 132/2015, 133/2015 y 137/2015 (Ley Electoral del estado de Quintana Roo.)</w:t>
      </w:r>
    </w:p>
  </w:footnote>
  <w:footnote w:id="12">
    <w:p w14:paraId="031F48AC" w14:textId="77777777" w:rsidR="005B0C78" w:rsidRDefault="00F66729">
      <w:r>
        <w:rPr>
          <w:vertAlign w:val="superscript"/>
        </w:rPr>
        <w:footnoteRef/>
      </w:r>
      <w:r>
        <w:t xml:space="preserve"> </w:t>
      </w:r>
      <w:r>
        <w:rPr>
          <w:rFonts w:ascii="Arial" w:eastAsia="Arial" w:hAnsi="Arial" w:cs="Arial"/>
        </w:rPr>
        <w:t>Véase el asunto SUP-REP-042/2018.</w:t>
      </w:r>
    </w:p>
  </w:footnote>
  <w:footnote w:id="13">
    <w:p w14:paraId="62339778" w14:textId="77777777" w:rsidR="005B0C78" w:rsidRDefault="00F66729" w:rsidP="001A1762">
      <w:pPr>
        <w:jc w:val="both"/>
      </w:pPr>
      <w:r>
        <w:rPr>
          <w:vertAlign w:val="superscript"/>
        </w:rPr>
        <w:footnoteRef/>
      </w:r>
      <w:r>
        <w:t xml:space="preserve"> </w:t>
      </w:r>
      <w:r w:rsidRPr="001A1762">
        <w:rPr>
          <w:rFonts w:ascii="Arial" w:hAnsi="Arial" w:cs="Arial"/>
        </w:rPr>
        <w:t>Véase la sentencia SUP-REP-290/2022.</w:t>
      </w:r>
    </w:p>
  </w:footnote>
  <w:footnote w:id="14">
    <w:p w14:paraId="7046BE25" w14:textId="77777777" w:rsidR="005B0C78" w:rsidRPr="001A1762" w:rsidRDefault="00F66729" w:rsidP="001A1762">
      <w:pPr>
        <w:jc w:val="both"/>
        <w:rPr>
          <w:rFonts w:ascii="Arial" w:hAnsi="Arial" w:cs="Arial"/>
        </w:rPr>
      </w:pPr>
      <w:r w:rsidRPr="001A1762">
        <w:rPr>
          <w:rFonts w:ascii="Arial" w:hAnsi="Arial" w:cs="Arial"/>
          <w:vertAlign w:val="superscript"/>
        </w:rPr>
        <w:footnoteRef/>
      </w:r>
      <w:r w:rsidRPr="001A1762">
        <w:rPr>
          <w:rFonts w:ascii="Arial" w:hAnsi="Arial" w:cs="Arial"/>
        </w:rPr>
        <w:t xml:space="preserve"> Véase la sentencia </w:t>
      </w:r>
      <w:r w:rsidRPr="001A1762">
        <w:rPr>
          <w:rFonts w:ascii="Arial" w:eastAsia="Arial" w:hAnsi="Arial" w:cs="Arial"/>
          <w:highlight w:val="white"/>
        </w:rPr>
        <w:t>SUP-REP</w:t>
      </w:r>
      <w:r w:rsidRPr="001A1762">
        <w:rPr>
          <w:rFonts w:ascii="Arial" w:eastAsia="Arial" w:hAnsi="Arial" w:cs="Arial"/>
        </w:rPr>
        <w:t>-213/2022.</w:t>
      </w:r>
    </w:p>
  </w:footnote>
  <w:footnote w:id="15">
    <w:p w14:paraId="64F98355" w14:textId="77777777" w:rsidR="005B0C78" w:rsidRDefault="00F66729" w:rsidP="001A1762">
      <w:pPr>
        <w:jc w:val="both"/>
      </w:pPr>
      <w:r w:rsidRPr="001A1762">
        <w:rPr>
          <w:rFonts w:ascii="Arial" w:hAnsi="Arial" w:cs="Arial"/>
          <w:vertAlign w:val="superscript"/>
        </w:rPr>
        <w:footnoteRef/>
      </w:r>
      <w:r w:rsidRPr="001A1762">
        <w:rPr>
          <w:rFonts w:ascii="Arial" w:hAnsi="Arial" w:cs="Arial"/>
        </w:rPr>
        <w:t xml:space="preserve"> Véase la sentencia </w:t>
      </w:r>
      <w:r w:rsidRPr="001A1762">
        <w:rPr>
          <w:rFonts w:ascii="Arial" w:eastAsia="Arial" w:hAnsi="Arial" w:cs="Arial"/>
          <w:highlight w:val="white"/>
        </w:rPr>
        <w:t>SUP-</w:t>
      </w:r>
      <w:r w:rsidRPr="001A1762">
        <w:rPr>
          <w:rFonts w:ascii="Arial" w:hAnsi="Arial" w:cs="Arial"/>
        </w:rPr>
        <w:t>REP-303/2022.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B4DD06" w14:textId="13ED922B" w:rsidR="005B0C78" w:rsidRDefault="005420BD">
    <w:pPr>
      <w:pBdr>
        <w:top w:val="nil"/>
        <w:left w:val="nil"/>
        <w:bottom w:val="nil"/>
        <w:right w:val="nil"/>
        <w:between w:val="nil"/>
      </w:pBdr>
      <w:tabs>
        <w:tab w:val="center" w:pos="4419"/>
        <w:tab w:val="right" w:pos="8838"/>
      </w:tabs>
      <w:rPr>
        <w:color w:val="000000"/>
      </w:rPr>
    </w:pPr>
    <w:r>
      <w:rPr>
        <w:noProof/>
      </w:rPr>
      <w:pict w14:anchorId="6698EDF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0830485" o:spid="_x0000_s1026" type="#_x0000_t136" style="position:absolute;margin-left:0;margin-top:0;width:591.85pt;height:91.05pt;rotation:315;z-index:-251652096;mso-position-horizontal:center;mso-position-horizontal-relative:margin;mso-position-vertical:center;mso-position-vertical-relative:margin" o:allowincell="f" fillcolor="silver" stroked="f">
          <v:fill opacity=".5"/>
          <v:textpath style="font-family:&quot;Times New Roman&quot;;font-size:1pt" string="PARA CONSULTA"/>
          <w10:wrap anchorx="margin" anchory="margin"/>
        </v:shape>
      </w:pict>
    </w:r>
    <w:r w:rsidR="00F66729">
      <w:rPr>
        <w:noProof/>
        <w:color w:val="000000"/>
      </w:rPr>
      <mc:AlternateContent>
        <mc:Choice Requires="wps">
          <w:drawing>
            <wp:anchor distT="0" distB="0" distL="0" distR="0" simplePos="0" relativeHeight="251658240" behindDoc="1" locked="0" layoutInCell="1" hidden="0" allowOverlap="1" wp14:anchorId="1A80E795" wp14:editId="5E410C14">
              <wp:simplePos x="0" y="0"/>
              <wp:positionH relativeFrom="margin">
                <wp:align>center</wp:align>
              </wp:positionH>
              <wp:positionV relativeFrom="margin">
                <wp:align>center</wp:align>
              </wp:positionV>
              <wp:extent cx="63784586" cy="63784586"/>
              <wp:effectExtent l="0" t="0" r="0" b="0"/>
              <wp:wrapNone/>
              <wp:docPr id="86" name="Rectángulo 86"/>
              <wp:cNvGraphicFramePr/>
              <a:graphic xmlns:a="http://schemas.openxmlformats.org/drawingml/2006/main">
                <a:graphicData uri="http://schemas.microsoft.com/office/word/2010/wordprocessingShape">
                  <wps:wsp>
                    <wps:cNvSpPr/>
                    <wps:spPr>
                      <a:xfrm rot="-2700000">
                        <a:off x="1917318" y="3252633"/>
                        <a:ext cx="6857365" cy="1054735"/>
                      </a:xfrm>
                      <a:prstGeom prst="rect">
                        <a:avLst/>
                      </a:prstGeom>
                      <a:noFill/>
                      <a:ln>
                        <a:noFill/>
                      </a:ln>
                    </wps:spPr>
                    <wps:txbx>
                      <w:txbxContent>
                        <w:p w14:paraId="7AE0B74E" w14:textId="77777777" w:rsidR="005B0C78" w:rsidRDefault="00F66729">
                          <w:pPr>
                            <w:jc w:val="center"/>
                            <w:textDirection w:val="btLr"/>
                          </w:pPr>
                          <w:r>
                            <w:rPr>
                              <w:rFonts w:ascii="Arial" w:eastAsia="Arial" w:hAnsi="Arial" w:cs="Arial"/>
                              <w:color w:val="C0C0C0"/>
                              <w:sz w:val="144"/>
                            </w:rPr>
                            <w:t>PARA CONSULTA</w:t>
                          </w:r>
                        </w:p>
                      </w:txbxContent>
                    </wps:txbx>
                    <wps:bodyPr spcFirstLastPara="1" wrap="square" lIns="91425" tIns="91425" rIns="91425" bIns="91425" anchor="ctr" anchorCtr="0">
                      <a:noAutofit/>
                    </wps:bodyPr>
                  </wps:wsp>
                </a:graphicData>
              </a:graphic>
            </wp:anchor>
          </w:drawing>
        </mc:Choice>
        <mc:Fallback>
          <w:pict>
            <v:rect w14:anchorId="1A80E795" id="Rectángulo 86" o:spid="_x0000_s1026" style="position:absolute;margin-left:0;margin-top:0;width:5022.4pt;height:5022.4pt;rotation:-45;z-index:-251658240;visibility:visible;mso-wrap-style:square;mso-wrap-distance-left:0;mso-wrap-distance-top:0;mso-wrap-distance-right:0;mso-wrap-distance-bottom:0;mso-position-horizontal:center;mso-position-horizontal-relative:margin;mso-position-vertical:center;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" filled="f" stroked="f">
              <v:textbox inset="2.53958mm,2.53958mm,2.53958mm,2.53958mm">
                <w:txbxContent>
                  <w:p w14:paraId="7AE0B74E" w14:textId="77777777" w:rsidR="005B0C78" w:rsidRDefault="00F66729">
                    <w:pPr>
                      <w:jc w:val="center"/>
                      <w:textDirection w:val="btLr"/>
                    </w:pPr>
                    <w:r>
                      <w:rPr>
                        <w:rFonts w:ascii="Arial" w:eastAsia="Arial" w:hAnsi="Arial" w:cs="Arial"/>
                        <w:color w:val="C0C0C0"/>
                        <w:sz w:val="144"/>
                      </w:rPr>
                      <w:t>PARA CONSULTA</w:t>
                    </w:r>
                  </w:p>
                </w:txbxContent>
              </v:textbox>
              <w10:wrap anchorx="margin" anchory="margin"/>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4D54D2" w14:textId="22897D5C" w:rsidR="005B0C78" w:rsidRDefault="005420BD">
    <w:pPr>
      <w:pBdr>
        <w:top w:val="nil"/>
        <w:left w:val="nil"/>
        <w:bottom w:val="nil"/>
        <w:right w:val="nil"/>
        <w:between w:val="nil"/>
      </w:pBdr>
      <w:tabs>
        <w:tab w:val="center" w:pos="4419"/>
        <w:tab w:val="right" w:pos="8838"/>
      </w:tabs>
    </w:pPr>
    <w:r>
      <w:rPr>
        <w:noProof/>
      </w:rPr>
      <w:pict w14:anchorId="1EC5BA5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0830486" o:spid="_x0000_s1027" type="#_x0000_t136" style="position:absolute;margin-left:0;margin-top:0;width:591.85pt;height:91.05pt;rotation:315;z-index:-251650048;mso-position-horizontal:center;mso-position-horizontal-relative:margin;mso-position-vertical:center;mso-position-vertical-relative:margin" o:allowincell="f" fillcolor="silver" stroked="f">
          <v:fill opacity=".5"/>
          <v:textpath style="font-family:&quot;Times New Roman&quot;;font-size:1pt" string="PARA CONSULTA"/>
          <w10:wrap anchorx="margin" anchory="margin"/>
        </v:shape>
      </w:pict>
    </w:r>
  </w:p>
  <w:sdt>
    <w:sdtPr>
      <w:id w:val="536089494"/>
      <w:docPartObj>
        <w:docPartGallery w:val="Page Numbers (Margins)"/>
        <w:docPartUnique/>
      </w:docPartObj>
    </w:sdtPr>
    <w:sdtEndPr/>
    <w:sdtContent>
      <w:p w14:paraId="7786B088" w14:textId="77777777" w:rsidR="005B0C78" w:rsidRDefault="00233ED4">
        <w:pPr>
          <w:pBdr>
            <w:top w:val="nil"/>
            <w:left w:val="nil"/>
            <w:bottom w:val="nil"/>
            <w:right w:val="nil"/>
            <w:between w:val="nil"/>
          </w:pBdr>
          <w:tabs>
            <w:tab w:val="center" w:pos="4419"/>
            <w:tab w:val="right" w:pos="8838"/>
          </w:tabs>
        </w:pPr>
        <w:r>
          <w:rPr>
            <w:noProof/>
          </w:rPr>
          <mc:AlternateContent>
            <mc:Choice Requires="wps">
              <w:drawing>
                <wp:anchor distT="0" distB="0" distL="114300" distR="114300" simplePos="0" relativeHeight="251660288" behindDoc="0" locked="0" layoutInCell="0" allowOverlap="1" wp14:anchorId="24779918" wp14:editId="53C6C6AF">
                  <wp:simplePos x="0" y="0"/>
                  <wp:positionH relativeFrom="rightMargin">
                    <wp:align>center</wp:align>
                  </wp:positionH>
                  <wp:positionV relativeFrom="page">
                    <wp:align>center</wp:align>
                  </wp:positionV>
                  <wp:extent cx="762000" cy="895350"/>
                  <wp:effectExtent l="0" t="0" r="0" b="0"/>
                  <wp:wrapNone/>
                  <wp:docPr id="1" name="Rectá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807150379"/>
                                <w:docPartObj>
                                  <w:docPartGallery w:val="Page Numbers (Margins)"/>
                                  <w:docPartUnique/>
                                </w:docPartObj>
                              </w:sdtPr>
                              <w:sdtEndPr/>
                              <w:sdtContent>
                                <w:p w14:paraId="1B39029D" w14:textId="77777777" w:rsidR="00233ED4" w:rsidRDefault="00233ED4">
                                  <w:pPr>
                                    <w:jc w:val="center"/>
                                    <w:rPr>
                                      <w:rFonts w:asciiTheme="majorHAnsi" w:eastAsiaTheme="majorEastAsia" w:hAnsiTheme="majorHAnsi" w:cstheme="majorBidi"/>
                                      <w:sz w:val="72"/>
                                      <w:szCs w:val="72"/>
                                    </w:rPr>
                                  </w:pPr>
                                  <w:r>
                                    <w:rPr>
                                      <w:rFonts w:asciiTheme="minorHAnsi" w:eastAsiaTheme="minorEastAsia" w:hAnsiTheme="minorHAnsi"/>
                                      <w:sz w:val="22"/>
                                      <w:szCs w:val="22"/>
                                    </w:rPr>
                                    <w:fldChar w:fldCharType="begin"/>
                                  </w:r>
                                  <w:r>
                                    <w:instrText>PAGE  \* MERGEFORMAT</w:instrText>
                                  </w:r>
                                  <w:r>
                                    <w:rPr>
                                      <w:rFonts w:asciiTheme="minorHAnsi" w:eastAsiaTheme="minorEastAsia" w:hAnsiTheme="minorHAnsi"/>
                                      <w:sz w:val="22"/>
                                      <w:szCs w:val="22"/>
                                    </w:rPr>
                                    <w:fldChar w:fldCharType="separate"/>
                                  </w:r>
                                  <w:r>
                                    <w:rPr>
                                      <w:rFonts w:asciiTheme="majorHAnsi" w:eastAsiaTheme="majorEastAsia" w:hAnsiTheme="majorHAnsi" w:cstheme="majorBidi"/>
                                      <w:sz w:val="48"/>
                                      <w:szCs w:val="48"/>
                                      <w:lang w:val="es-ES"/>
                                    </w:rPr>
                                    <w:t>2</w:t>
                                  </w:r>
                                  <w:r>
                                    <w:rPr>
                                      <w:rFonts w:asciiTheme="majorHAnsi" w:eastAsiaTheme="majorEastAsia" w:hAnsiTheme="majorHAnsi" w:cstheme="majorBidi"/>
                                      <w:sz w:val="48"/>
                                      <w:szCs w:val="48"/>
                                    </w:rPr>
                                    <w:fldChar w:fldCharType="end"/>
                                  </w:r>
                                </w:p>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779918" id="Rectángulo 1" o:spid="_x0000_s1027" style="position:absolute;margin-left:0;margin-top:0;width:60pt;height:70.5pt;z-index:251660288;visibility:visible;mso-wrap-style:square;mso-width-percent:0;mso-height-percent:0;mso-wrap-distance-left:9pt;mso-wrap-distance-top:0;mso-wrap-distance-right:9pt;mso-wrap-distance-bottom:0;mso-position-horizontal:center;mso-position-horizontal-relative:righ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" o:allowincell="f" stroked="f">
                  <v:textbox>
                    <w:txbxContent>
                      <w:sdt>
                        <w:sdtPr>
                          <w:rPr>
                            <w:rFonts w:asciiTheme="majorHAnsi" w:eastAsiaTheme="majorEastAsia" w:hAnsiTheme="majorHAnsi" w:cstheme="majorBidi"/>
                            <w:sz w:val="48"/>
                            <w:szCs w:val="48"/>
                          </w:rPr>
                          <w:id w:val="-1807150379"/>
                          <w:docPartObj>
                            <w:docPartGallery w:val="Page Numbers (Margins)"/>
                            <w:docPartUnique/>
                          </w:docPartObj>
                        </w:sdtPr>
                        <w:sdtEndPr/>
                        <w:sdtContent>
                          <w:p w14:paraId="1B39029D" w14:textId="77777777" w:rsidR="00233ED4" w:rsidRDefault="00233ED4">
                            <w:pPr>
                              <w:jc w:val="center"/>
                              <w:rPr>
                                <w:rFonts w:asciiTheme="majorHAnsi" w:eastAsiaTheme="majorEastAsia" w:hAnsiTheme="majorHAnsi" w:cstheme="majorBidi"/>
                                <w:sz w:val="72"/>
                                <w:szCs w:val="72"/>
                              </w:rPr>
                            </w:pPr>
                            <w:r>
                              <w:rPr>
                                <w:rFonts w:asciiTheme="minorHAnsi" w:eastAsiaTheme="minorEastAsia" w:hAnsiTheme="minorHAnsi"/>
                                <w:sz w:val="22"/>
                                <w:szCs w:val="22"/>
                              </w:rPr>
                              <w:fldChar w:fldCharType="begin"/>
                            </w:r>
                            <w:r>
                              <w:instrText>PAGE  \* MERGEFORMAT</w:instrText>
                            </w:r>
                            <w:r>
                              <w:rPr>
                                <w:rFonts w:asciiTheme="minorHAnsi" w:eastAsiaTheme="minorEastAsia" w:hAnsiTheme="minorHAnsi"/>
                                <w:sz w:val="22"/>
                                <w:szCs w:val="22"/>
                              </w:rPr>
                              <w:fldChar w:fldCharType="separate"/>
                            </w:r>
                            <w:r>
                              <w:rPr>
                                <w:rFonts w:asciiTheme="majorHAnsi" w:eastAsiaTheme="majorEastAsia" w:hAnsiTheme="majorHAnsi" w:cstheme="majorBidi"/>
                                <w:sz w:val="48"/>
                                <w:szCs w:val="48"/>
                                <w:lang w:val="es-ES"/>
                              </w:rPr>
                              <w:t>2</w:t>
                            </w:r>
                            <w:r>
                              <w:rPr>
                                <w:rFonts w:asciiTheme="majorHAnsi" w:eastAsiaTheme="majorEastAsia" w:hAnsiTheme="majorHAnsi" w:cstheme="majorBidi"/>
                                <w:sz w:val="48"/>
                                <w:szCs w:val="48"/>
                              </w:rPr>
                              <w:fldChar w:fldCharType="end"/>
                            </w:r>
                          </w:p>
                        </w:sdtContent>
                      </w:sdt>
                    </w:txbxContent>
                  </v:textbox>
                  <w10:wrap anchorx="margin" anchory="page"/>
                </v:rect>
              </w:pict>
            </mc:Fallback>
          </mc:AlternateContent>
        </w:r>
      </w:p>
    </w:sdtContent>
  </w:sdt>
  <w:p w14:paraId="03BBF381" w14:textId="77777777" w:rsidR="005B0C78" w:rsidRDefault="005B0C78">
    <w:pPr>
      <w:pBdr>
        <w:top w:val="nil"/>
        <w:left w:val="nil"/>
        <w:bottom w:val="nil"/>
        <w:right w:val="nil"/>
        <w:between w:val="nil"/>
      </w:pBdr>
      <w:tabs>
        <w:tab w:val="center" w:pos="4419"/>
        <w:tab w:val="right" w:pos="8838"/>
      </w:tabs>
    </w:pPr>
  </w:p>
  <w:p w14:paraId="5C794F0A" w14:textId="77777777" w:rsidR="005B0C78" w:rsidRDefault="005B0C78">
    <w:pPr>
      <w:pBdr>
        <w:top w:val="nil"/>
        <w:left w:val="nil"/>
        <w:bottom w:val="nil"/>
        <w:right w:val="nil"/>
        <w:between w:val="nil"/>
      </w:pBdr>
      <w:tabs>
        <w:tab w:val="center" w:pos="4419"/>
        <w:tab w:val="right" w:pos="8838"/>
      </w:tabs>
    </w:pPr>
  </w:p>
  <w:p w14:paraId="34DA0ECC" w14:textId="77777777" w:rsidR="005B0C78" w:rsidRDefault="00F66729">
    <w:pPr>
      <w:pBdr>
        <w:top w:val="nil"/>
        <w:left w:val="nil"/>
        <w:bottom w:val="nil"/>
        <w:right w:val="nil"/>
        <w:between w:val="nil"/>
      </w:pBdr>
      <w:tabs>
        <w:tab w:val="center" w:pos="4419"/>
        <w:tab w:val="right" w:pos="8838"/>
      </w:tabs>
      <w:rPr>
        <w:color w:val="000000"/>
      </w:rPr>
    </w:pPr>
    <w:r>
      <w:rPr>
        <w:noProof/>
        <w:color w:val="000000"/>
      </w:rPr>
      <w:drawing>
        <wp:inline distT="0" distB="0" distL="0" distR="0" wp14:anchorId="00794A04" wp14:editId="48191A66">
          <wp:extent cx="995527" cy="1154534"/>
          <wp:effectExtent l="0" t="0" r="0" b="0"/>
          <wp:docPr id="9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
                  <a:srcRect/>
                  <a:stretch>
                    <a:fillRect/>
                  </a:stretch>
                </pic:blipFill>
                <pic:spPr>
                  <a:xfrm>
                    <a:off x="0" y="0"/>
                    <a:ext cx="995527" cy="1154534"/>
                  </a:xfrm>
                  <a:prstGeom prst="rect">
                    <a:avLst/>
                  </a:prstGeom>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A0D4ED" w14:textId="3988D5EA" w:rsidR="005B0C78" w:rsidRDefault="005420BD">
    <w:pPr>
      <w:pBdr>
        <w:top w:val="nil"/>
        <w:left w:val="nil"/>
        <w:bottom w:val="nil"/>
        <w:right w:val="nil"/>
        <w:between w:val="nil"/>
      </w:pBdr>
      <w:tabs>
        <w:tab w:val="center" w:pos="4419"/>
        <w:tab w:val="right" w:pos="8838"/>
      </w:tabs>
      <w:rPr>
        <w:color w:val="000000"/>
      </w:rPr>
    </w:pPr>
    <w:r>
      <w:rPr>
        <w:noProof/>
      </w:rPr>
      <w:pict w14:anchorId="79407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0830484" o:spid="_x0000_s1025" type="#_x0000_t136" style="position:absolute;margin-left:0;margin-top:0;width:591.85pt;height:91.05pt;rotation:315;z-index:-251654144;mso-position-horizontal:center;mso-position-horizontal-relative:margin;mso-position-vertical:center;mso-position-vertical-relative:margin" o:allowincell="f" fillcolor="silver" stroked="f">
          <v:fill opacity=".5"/>
          <v:textpath style="font-family:&quot;Times New Roman&quot;;font-size:1pt" string="PARA CONSULTA"/>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EF1F21"/>
    <w:multiLevelType w:val="multilevel"/>
    <w:tmpl w:val="E940F840"/>
    <w:lvl w:ilvl="0">
      <w:start w:val="1"/>
      <w:numFmt w:val="bullet"/>
      <w:lvlText w:val="⮚"/>
      <w:lvlJc w:val="left"/>
      <w:pPr>
        <w:ind w:left="720" w:hanging="72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DB50823"/>
    <w:multiLevelType w:val="multilevel"/>
    <w:tmpl w:val="9BEE8680"/>
    <w:lvl w:ilvl="0">
      <w:start w:val="1"/>
      <w:numFmt w:val="decimal"/>
      <w:lvlText w:val="%1."/>
      <w:lvlJc w:val="left"/>
      <w:pPr>
        <w:ind w:left="480" w:hanging="480"/>
      </w:pPr>
      <w:rPr>
        <w:b/>
      </w:rPr>
    </w:lvl>
    <w:lvl w:ilvl="1">
      <w:start w:val="1"/>
      <w:numFmt w:val="decimal"/>
      <w:lvlText w:val="%1.%2."/>
      <w:lvlJc w:val="left"/>
      <w:pPr>
        <w:ind w:left="720" w:hanging="720"/>
      </w:pPr>
      <w:rPr>
        <w:b/>
      </w:rPr>
    </w:lvl>
    <w:lvl w:ilvl="2">
      <w:start w:val="1"/>
      <w:numFmt w:val="decimal"/>
      <w:lvlText w:val="%1.%2.%3."/>
      <w:lvlJc w:val="left"/>
      <w:pPr>
        <w:ind w:left="720" w:hanging="720"/>
      </w:pPr>
      <w:rPr>
        <w:b/>
      </w:rPr>
    </w:lvl>
    <w:lvl w:ilvl="3">
      <w:start w:val="1"/>
      <w:numFmt w:val="decimal"/>
      <w:lvlText w:val="%1.%2.%3.%4."/>
      <w:lvlJc w:val="left"/>
      <w:pPr>
        <w:ind w:left="1080" w:hanging="1080"/>
      </w:pPr>
      <w:rPr>
        <w:b/>
      </w:rPr>
    </w:lvl>
    <w:lvl w:ilvl="4">
      <w:start w:val="1"/>
      <w:numFmt w:val="decimal"/>
      <w:lvlText w:val="%1.%2.%3.%4.%5."/>
      <w:lvlJc w:val="left"/>
      <w:pPr>
        <w:ind w:left="1080" w:hanging="1080"/>
      </w:pPr>
      <w:rPr>
        <w:b/>
      </w:rPr>
    </w:lvl>
    <w:lvl w:ilvl="5">
      <w:start w:val="1"/>
      <w:numFmt w:val="decimal"/>
      <w:lvlText w:val="%1.%2.%3.%4.%5.%6."/>
      <w:lvlJc w:val="left"/>
      <w:pPr>
        <w:ind w:left="1440" w:hanging="1440"/>
      </w:pPr>
      <w:rPr>
        <w:b/>
      </w:rPr>
    </w:lvl>
    <w:lvl w:ilvl="6">
      <w:start w:val="1"/>
      <w:numFmt w:val="decimal"/>
      <w:lvlText w:val="%1.%2.%3.%4.%5.%6.%7."/>
      <w:lvlJc w:val="left"/>
      <w:pPr>
        <w:ind w:left="1440" w:hanging="1440"/>
      </w:pPr>
      <w:rPr>
        <w:b/>
      </w:rPr>
    </w:lvl>
    <w:lvl w:ilvl="7">
      <w:start w:val="1"/>
      <w:numFmt w:val="decimal"/>
      <w:lvlText w:val="%1.%2.%3.%4.%5.%6.%7.%8."/>
      <w:lvlJc w:val="left"/>
      <w:pPr>
        <w:ind w:left="1800" w:hanging="1800"/>
      </w:pPr>
      <w:rPr>
        <w:b/>
      </w:rPr>
    </w:lvl>
    <w:lvl w:ilvl="8">
      <w:start w:val="1"/>
      <w:numFmt w:val="decimal"/>
      <w:lvlText w:val="%1.%2.%3.%4.%5.%6.%7.%8.%9."/>
      <w:lvlJc w:val="left"/>
      <w:pPr>
        <w:ind w:left="2160" w:hanging="2160"/>
      </w:pPr>
      <w:rPr>
        <w:b/>
      </w:rPr>
    </w:lvl>
  </w:abstractNum>
  <w:abstractNum w:abstractNumId="2" w15:restartNumberingAfterBreak="0">
    <w:nsid w:val="496A341A"/>
    <w:multiLevelType w:val="multilevel"/>
    <w:tmpl w:val="2368D1EA"/>
    <w:lvl w:ilvl="0">
      <w:start w:val="1"/>
      <w:numFmt w:val="decimal"/>
      <w:lvlText w:val="%1."/>
      <w:lvlJc w:val="left"/>
      <w:pPr>
        <w:ind w:left="390" w:hanging="390"/>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3" w15:restartNumberingAfterBreak="0">
    <w:nsid w:val="5E482F3B"/>
    <w:multiLevelType w:val="multilevel"/>
    <w:tmpl w:val="6DD2A812"/>
    <w:lvl w:ilvl="0">
      <w:start w:val="1"/>
      <w:numFmt w:val="bullet"/>
      <w:lvlText w:val="●"/>
      <w:lvlJc w:val="left"/>
      <w:pPr>
        <w:ind w:left="720" w:hanging="360"/>
      </w:pPr>
      <w:rPr>
        <w:rFonts w:ascii="Noto Sans Symbols" w:eastAsia="Noto Sans Symbols" w:hAnsi="Noto Sans Symbols" w:cs="Noto Sans Symbols"/>
        <w:sz w:val="22"/>
        <w:szCs w:val="22"/>
      </w:rPr>
    </w:lvl>
    <w:lvl w:ilvl="1">
      <w:start w:val="1"/>
      <w:numFmt w:val="bullet"/>
      <w:lvlText w:val="○"/>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64903947"/>
    <w:multiLevelType w:val="multilevel"/>
    <w:tmpl w:val="433CA6F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6FA850B5"/>
    <w:multiLevelType w:val="multilevel"/>
    <w:tmpl w:val="C89A52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359480485">
    <w:abstractNumId w:val="5"/>
  </w:num>
  <w:num w:numId="2" w16cid:durableId="279993270">
    <w:abstractNumId w:val="1"/>
  </w:num>
  <w:num w:numId="3" w16cid:durableId="785660855">
    <w:abstractNumId w:val="3"/>
  </w:num>
  <w:num w:numId="4" w16cid:durableId="625432920">
    <w:abstractNumId w:val="2"/>
  </w:num>
  <w:num w:numId="5" w16cid:durableId="1277909517">
    <w:abstractNumId w:val="0"/>
  </w:num>
  <w:num w:numId="6" w16cid:durableId="66428186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B0C78"/>
    <w:rsid w:val="001A1762"/>
    <w:rsid w:val="00233ED4"/>
    <w:rsid w:val="0034307A"/>
    <w:rsid w:val="004C6905"/>
    <w:rsid w:val="005420BD"/>
    <w:rsid w:val="005B0C78"/>
    <w:rsid w:val="00E069C7"/>
    <w:rsid w:val="00F6672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F0C5DC0"/>
  <w15:docId w15:val="{7D239657-36D4-4C2D-9F21-0BC97EF8E9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MX" w:eastAsia="es-MX"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56DEE"/>
  </w:style>
  <w:style w:type="paragraph" w:styleId="Ttulo1">
    <w:name w:val="heading 1"/>
    <w:basedOn w:val="Normal"/>
    <w:next w:val="Normal"/>
    <w:uiPriority w:val="9"/>
    <w:qFormat/>
    <w:pPr>
      <w:keepNext/>
      <w:keepLines/>
      <w:spacing w:before="480" w:after="120"/>
      <w:outlineLvl w:val="0"/>
    </w:pPr>
    <w:rPr>
      <w:b/>
      <w:sz w:val="48"/>
      <w:szCs w:val="48"/>
    </w:rPr>
  </w:style>
  <w:style w:type="paragraph" w:styleId="Ttulo2">
    <w:name w:val="heading 2"/>
    <w:basedOn w:val="Normal"/>
    <w:next w:val="Normal"/>
    <w:uiPriority w:val="9"/>
    <w:semiHidden/>
    <w:unhideWhenUsed/>
    <w:qFormat/>
    <w:pPr>
      <w:keepNext/>
      <w:keepLines/>
      <w:spacing w:before="360" w:after="80"/>
      <w:outlineLvl w:val="1"/>
    </w:pPr>
    <w:rPr>
      <w:b/>
      <w:sz w:val="36"/>
      <w:szCs w:val="3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paragraph" w:styleId="Sinespaciado">
    <w:name w:val="No Spacing"/>
    <w:uiPriority w:val="1"/>
    <w:qFormat/>
    <w:rsid w:val="00A56DEE"/>
  </w:style>
  <w:style w:type="paragraph" w:styleId="Prrafodelista">
    <w:name w:val="List Paragraph"/>
    <w:aliases w:val="CNBV Parrafo1,Cita texto,Párrafo de lista1,Parrafo 1,Lista multicolor - Énfasis 11,Lista vistosa - Énfasis 11,Cuadrícula media 1 - Énfasis 21,Listas,List Paragraph-Thesis,Footnote,List Paragraph2,List Paragraph1,Colorful List - Accent 1"/>
    <w:basedOn w:val="Normal"/>
    <w:link w:val="PrrafodelistaCar"/>
    <w:uiPriority w:val="34"/>
    <w:qFormat/>
    <w:rsid w:val="00A56DEE"/>
    <w:pPr>
      <w:ind w:left="720"/>
      <w:contextualSpacing/>
    </w:pPr>
  </w:style>
  <w:style w:type="character" w:customStyle="1" w:styleId="PrrafodelistaCar">
    <w:name w:val="Párrafo de lista Car"/>
    <w:aliases w:val="CNBV Parrafo1 Car,Cita texto Car,Párrafo de lista1 Car,Parrafo 1 Car,Lista multicolor - Énfasis 11 Car,Lista vistosa - Énfasis 11 Car,Cuadrícula media 1 - Énfasis 21 Car,Listas Car,List Paragraph-Thesis Car,Footnote Car"/>
    <w:link w:val="Prrafodelista"/>
    <w:uiPriority w:val="34"/>
    <w:qFormat/>
    <w:locked/>
    <w:rsid w:val="00A56DEE"/>
    <w:rPr>
      <w:rFonts w:ascii="Times New Roman" w:eastAsia="Times New Roman" w:hAnsi="Times New Roman" w:cs="Times New Roman"/>
      <w:sz w:val="20"/>
      <w:szCs w:val="20"/>
      <w:lang w:eastAsia="es-MX"/>
    </w:rPr>
  </w:style>
  <w:style w:type="paragraph" w:styleId="Textonotapie">
    <w:name w:val="footnote text"/>
    <w:aliases w:val="FA Fu,Footnote reference,Footnote Text Char Char Char Char Char,Footnote Text Char Char Char Char,Footnote Text Char Char Char Char Car,Footnote Text Char Char Char,Footnote Text Cha,FA Fußnotentext,FA Fuﬂnotentext,Footnote Text Char Char"/>
    <w:basedOn w:val="Normal"/>
    <w:link w:val="TextonotapieCar"/>
    <w:uiPriority w:val="99"/>
    <w:unhideWhenUsed/>
    <w:qFormat/>
    <w:rsid w:val="00A56DEE"/>
  </w:style>
  <w:style w:type="character" w:customStyle="1" w:styleId="TextonotapieCar">
    <w:name w:val="Texto nota pie Car"/>
    <w:aliases w:val="FA Fu Car,Footnote reference Car,Footnote Text Char Char Char Char Char Car,Footnote Text Char Char Char Char Car1,Footnote Text Char Char Char Char Car Car,Footnote Text Char Char Char Car,Footnote Text Cha Car,FA Fußnotentext Car"/>
    <w:basedOn w:val="Fuentedeprrafopredeter"/>
    <w:link w:val="Textonotapie"/>
    <w:uiPriority w:val="99"/>
    <w:qFormat/>
    <w:rsid w:val="00A56DEE"/>
    <w:rPr>
      <w:rFonts w:ascii="Times New Roman" w:eastAsia="Times New Roman" w:hAnsi="Times New Roman" w:cs="Times New Roman"/>
      <w:sz w:val="20"/>
      <w:szCs w:val="20"/>
      <w:lang w:eastAsia="es-MX"/>
    </w:rPr>
  </w:style>
  <w:style w:type="character" w:styleId="Refdenotaalpie">
    <w:name w:val="footnote reference"/>
    <w:aliases w:val="Texto de nota al pie,Appel note de bas de page,Ref. de nota al pie 2,Footnotes refss,Footnote number,referencia nota al pie,BVI fnr,4_G,16 Point,Superscript 6 Point,Texto nota al pie,f,Footnote Reference Char3,Footnote Reference,ftre"/>
    <w:basedOn w:val="Fuentedeprrafopredeter"/>
    <w:link w:val="4GChar"/>
    <w:uiPriority w:val="99"/>
    <w:unhideWhenUsed/>
    <w:qFormat/>
    <w:rsid w:val="00A56DEE"/>
    <w:rPr>
      <w:vertAlign w:val="superscript"/>
    </w:rPr>
  </w:style>
  <w:style w:type="table" w:customStyle="1" w:styleId="Tabladecuadrcula4-nfasis31">
    <w:name w:val="Tabla de cuadrícula 4 - Énfasis 31"/>
    <w:basedOn w:val="Tablanormal"/>
    <w:next w:val="Tablaconcuadrcula4-nfasis3"/>
    <w:uiPriority w:val="49"/>
    <w:rsid w:val="00A56DEE"/>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A56DEE"/>
    <w:pPr>
      <w:jc w:val="both"/>
    </w:pPr>
    <w:rPr>
      <w:rFonts w:asciiTheme="minorHAnsi" w:eastAsiaTheme="minorHAnsi" w:hAnsiTheme="minorHAnsi" w:cstheme="minorBidi"/>
      <w:sz w:val="22"/>
      <w:szCs w:val="22"/>
      <w:vertAlign w:val="superscript"/>
      <w:lang w:eastAsia="en-US"/>
    </w:rPr>
  </w:style>
  <w:style w:type="table" w:styleId="Tablaconcuadrcula4-nfasis3">
    <w:name w:val="Grid Table 4 Accent 3"/>
    <w:basedOn w:val="Tablanormal"/>
    <w:uiPriority w:val="49"/>
    <w:rsid w:val="00A56DEE"/>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Hipervnculo">
    <w:name w:val="Hyperlink"/>
    <w:basedOn w:val="Fuentedeprrafopredeter"/>
    <w:uiPriority w:val="99"/>
    <w:unhideWhenUsed/>
    <w:rsid w:val="00A57704"/>
    <w:rPr>
      <w:color w:val="0563C1" w:themeColor="hyperlink"/>
      <w:u w:val="single"/>
    </w:rPr>
  </w:style>
  <w:style w:type="character" w:styleId="Mencinsinresolver">
    <w:name w:val="Unresolved Mention"/>
    <w:basedOn w:val="Fuentedeprrafopredeter"/>
    <w:uiPriority w:val="99"/>
    <w:semiHidden/>
    <w:unhideWhenUsed/>
    <w:rsid w:val="00A57704"/>
    <w:rPr>
      <w:color w:val="605E5C"/>
      <w:shd w:val="clear" w:color="auto" w:fill="E1DFDD"/>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1"/>
    <w:tblPr>
      <w:tblStyleRowBandSize w:val="1"/>
      <w:tblStyleColBandSize w:val="1"/>
      <w:tblCellMar>
        <w:left w:w="115" w:type="dxa"/>
        <w:right w:w="115" w:type="dxa"/>
      </w:tblCellMar>
    </w:tblPr>
  </w:style>
  <w:style w:type="table" w:customStyle="1" w:styleId="a0">
    <w:basedOn w:val="TableNormal1"/>
    <w:tblPr>
      <w:tblStyleRowBandSize w:val="1"/>
      <w:tblStyleColBandSize w:val="1"/>
      <w:tblCellMar>
        <w:left w:w="108" w:type="dxa"/>
        <w:right w:w="108" w:type="dxa"/>
      </w:tblCellMar>
    </w:tbl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1">
    <w:basedOn w:val="TableNormal1"/>
    <w:tblPr>
      <w:tblStyleRowBandSize w:val="1"/>
      <w:tblStyleColBandSize w:val="1"/>
      <w:tblCellMar>
        <w:left w:w="108" w:type="dxa"/>
        <w:right w:w="108" w:type="dxa"/>
      </w:tblCellMar>
    </w:tbl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2">
    <w:basedOn w:val="TableNormal1"/>
    <w:tblPr>
      <w:tblStyleRowBandSize w:val="1"/>
      <w:tblStyleColBandSize w:val="1"/>
      <w:tblCellMar>
        <w:left w:w="108" w:type="dxa"/>
        <w:right w:w="108" w:type="dxa"/>
      </w:tblCellMar>
    </w:tbl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3">
    <w:basedOn w:val="TableNormal1"/>
    <w:tblPr>
      <w:tblStyleRowBandSize w:val="1"/>
      <w:tblStyleColBandSize w:val="1"/>
      <w:tblCellMar>
        <w:left w:w="108" w:type="dxa"/>
        <w:right w:w="108" w:type="dxa"/>
      </w:tblCellMar>
    </w:tbl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4">
    <w:basedOn w:val="TableNormal1"/>
    <w:tblPr>
      <w:tblStyleRowBandSize w:val="1"/>
      <w:tblStyleColBandSize w:val="1"/>
      <w:tblCellMar>
        <w:left w:w="115" w:type="dxa"/>
        <w:right w:w="115" w:type="dxa"/>
      </w:tblCellMar>
    </w:tblPr>
  </w:style>
  <w:style w:type="table" w:customStyle="1" w:styleId="a5">
    <w:basedOn w:val="TableNormal1"/>
    <w:tblPr>
      <w:tblStyleRowBandSize w:val="1"/>
      <w:tblStyleColBandSize w:val="1"/>
      <w:tblCellMar>
        <w:left w:w="115" w:type="dxa"/>
        <w:right w:w="115" w:type="dxa"/>
      </w:tblCellMar>
    </w:tblPr>
  </w:style>
  <w:style w:type="table" w:customStyle="1" w:styleId="a6">
    <w:basedOn w:val="TableNormal1"/>
    <w:tblPr>
      <w:tblStyleRowBandSize w:val="1"/>
      <w:tblStyleColBandSize w:val="1"/>
      <w:tblCellMar>
        <w:left w:w="115" w:type="dxa"/>
        <w:right w:w="115" w:type="dxa"/>
      </w:tblCellMar>
    </w:tbl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7">
    <w:basedOn w:val="TableNormal1"/>
    <w:tblPr>
      <w:tblStyleRowBandSize w:val="1"/>
      <w:tblStyleColBandSize w:val="1"/>
      <w:tblCellMar>
        <w:left w:w="115" w:type="dxa"/>
        <w:right w:w="115" w:type="dxa"/>
      </w:tblCellMar>
    </w:tbl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8">
    <w:basedOn w:val="TableNormal1"/>
    <w:tblPr>
      <w:tblStyleRowBandSize w:val="1"/>
      <w:tblStyleColBandSize w:val="1"/>
      <w:tblCellMar>
        <w:left w:w="115" w:type="dxa"/>
        <w:right w:w="115" w:type="dxa"/>
      </w:tblCellMar>
    </w:tbl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9">
    <w:basedOn w:val="TableNormal1"/>
    <w:tblPr>
      <w:tblStyleRowBandSize w:val="1"/>
      <w:tblStyleColBandSize w:val="1"/>
      <w:tblCellMar>
        <w:left w:w="115" w:type="dxa"/>
        <w:right w:w="115" w:type="dxa"/>
      </w:tblCellMar>
    </w:tblPr>
  </w:style>
  <w:style w:type="table" w:customStyle="1" w:styleId="aa">
    <w:basedOn w:val="TableNormal0"/>
    <w:tblPr>
      <w:tblStyleRowBandSize w:val="1"/>
      <w:tblStyleColBandSize w:val="1"/>
      <w:tblCellMar>
        <w:left w:w="115" w:type="dxa"/>
        <w:right w:w="115" w:type="dxa"/>
      </w:tblCellMar>
    </w:tblPr>
  </w:style>
  <w:style w:type="table" w:customStyle="1" w:styleId="ab">
    <w:basedOn w:val="TableNormal0"/>
    <w:tblPr>
      <w:tblStyleRowBandSize w:val="1"/>
      <w:tblStyleColBandSize w:val="1"/>
      <w:tblCellMar>
        <w:left w:w="115" w:type="dxa"/>
        <w:right w:w="115" w:type="dxa"/>
      </w:tblCellMar>
    </w:tblPr>
  </w:style>
  <w:style w:type="table" w:customStyle="1" w:styleId="ac">
    <w:basedOn w:val="TableNormal0"/>
    <w:tblPr>
      <w:tblStyleRowBandSize w:val="1"/>
      <w:tblStyleColBandSize w:val="1"/>
      <w:tblCellMar>
        <w:left w:w="115" w:type="dxa"/>
        <w:right w:w="115" w:type="dxa"/>
      </w:tblCellMar>
    </w:tbl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d">
    <w:basedOn w:val="TableNormal0"/>
    <w:tblPr>
      <w:tblStyleRowBandSize w:val="1"/>
      <w:tblStyleColBandSize w:val="1"/>
      <w:tblCellMar>
        <w:left w:w="115" w:type="dxa"/>
        <w:right w:w="115" w:type="dxa"/>
      </w:tblCellMar>
    </w:tbl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e">
    <w:basedOn w:val="TableNormal0"/>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footer" Target="footer3.xml"/><Relationship Id="rId3" Type="http://schemas.openxmlformats.org/officeDocument/2006/relationships/numbering" Target="numbering.xml"/><Relationship Id="rId21"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hyperlink" Target="https://www.facebook.com/"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footer" Target="footer1.xml"/><Relationship Id="rId28"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hyperlink" Target="https://www.facebook.com/noraruvalcabamx/videos/" TargetMode="Externa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header" Target="header2.xml"/><Relationship Id="rId27"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iveaVtTP5/Q00d3aByLhljhvzl6A==">AMUW2mXHMYvS8TvATTgbvbApOkDrjv4m2r4Kxgbbb+xEStCcO7iTk/QMPxt6JcfawQeANX76ch6MiYCIsTzl4JVlOt/YjUT0B1bkgWv/Hb+wNW/gvJSt2tm3r++1eZ3mTW+0SfgmeNoHaky36K+Fig68meTeNWCw5WS2s0I2JHNXw+JWxbx97fhcZUwk0ajf5o4VgNiNzqRkgFoHI5uKEzvU9Ux03p4D1Q==</go:docsCustomData>
</go:gDocsCustomXmlDataStorage>
</file>

<file path=customXml/itemProps1.xml><?xml version="1.0" encoding="utf-8"?>
<ds:datastoreItem xmlns:ds="http://schemas.openxmlformats.org/officeDocument/2006/customXml" ds:itemID="{2786516B-CDAC-4D09-A50A-1830A84C4F16}">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Pages>
  <Words>4494</Words>
  <Characters>24720</Characters>
  <Application>Microsoft Office Word</Application>
  <DocSecurity>0</DocSecurity>
  <Lines>206</Lines>
  <Paragraphs>58</Paragraphs>
  <ScaleCrop>false</ScaleCrop>
  <Company/>
  <LinksUpToDate>false</LinksUpToDate>
  <CharactersWithSpaces>29156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TEEA-LAP-ONE</dc:creator>
  <cp:lastModifiedBy>Secretario Gral</cp:lastModifiedBy>
  <cp:revision>2</cp:revision>
  <cp:lastPrinted>2022-05-20T16:36:00Z</cp:lastPrinted>
  <dcterms:created xsi:type="dcterms:W3CDTF">2022-05-21T01:36:00Z</dcterms:created>
  <dcterms:modified xsi:type="dcterms:W3CDTF">2022-05-21T01:36:00Z</dcterms:modified>
</cp:coreProperties>
</file>