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AA2A3" w14:textId="77777777" w:rsidR="00C300AB" w:rsidRDefault="00E27DA4">
      <w:pPr>
        <w:ind w:left="3828" w:right="36"/>
        <w:jc w:val="both"/>
        <w:rPr>
          <w:rFonts w:ascii="Arial" w:eastAsia="Arial" w:hAnsi="Arial" w:cs="Arial"/>
          <w:b/>
          <w:sz w:val="24"/>
          <w:szCs w:val="24"/>
        </w:rPr>
      </w:pPr>
      <w:bookmarkStart w:id="0" w:name="_heading=h.gjdgxs" w:colFirst="0" w:colLast="0"/>
      <w:bookmarkEnd w:id="0"/>
      <w:r>
        <w:rPr>
          <w:rFonts w:ascii="Arial" w:eastAsia="Arial" w:hAnsi="Arial" w:cs="Arial"/>
          <w:b/>
          <w:sz w:val="24"/>
          <w:szCs w:val="24"/>
        </w:rPr>
        <w:t>PROCEDIMIENTO ESPECIAL SANCIONADOR.</w:t>
      </w:r>
    </w:p>
    <w:p w14:paraId="688E1224" w14:textId="77777777" w:rsidR="00C300AB" w:rsidRDefault="00C300AB">
      <w:pPr>
        <w:pBdr>
          <w:top w:val="nil"/>
          <w:left w:val="nil"/>
          <w:bottom w:val="nil"/>
          <w:right w:val="nil"/>
          <w:between w:val="nil"/>
        </w:pBdr>
        <w:ind w:left="3828"/>
        <w:rPr>
          <w:rFonts w:ascii="Arial" w:eastAsia="Arial" w:hAnsi="Arial" w:cs="Arial"/>
          <w:color w:val="000000"/>
          <w:sz w:val="14"/>
          <w:szCs w:val="14"/>
        </w:rPr>
      </w:pPr>
    </w:p>
    <w:p w14:paraId="2D5AE17F" w14:textId="77777777" w:rsidR="00C300AB" w:rsidRDefault="00E27DA4">
      <w:pPr>
        <w:ind w:left="3828"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TEEA-PES-074/2022.</w:t>
      </w:r>
      <w:r>
        <w:rPr>
          <w:rFonts w:ascii="Arial" w:eastAsia="Arial" w:hAnsi="Arial" w:cs="Arial"/>
          <w:b/>
          <w:sz w:val="24"/>
          <w:szCs w:val="24"/>
        </w:rPr>
        <w:t xml:space="preserve"> </w:t>
      </w:r>
    </w:p>
    <w:p w14:paraId="128986A1" w14:textId="77777777" w:rsidR="00C300AB" w:rsidRDefault="00C300AB">
      <w:pPr>
        <w:ind w:left="3828" w:right="36"/>
        <w:jc w:val="both"/>
        <w:rPr>
          <w:rFonts w:ascii="Arial" w:eastAsia="Arial" w:hAnsi="Arial" w:cs="Arial"/>
          <w:b/>
          <w:sz w:val="14"/>
          <w:szCs w:val="14"/>
        </w:rPr>
      </w:pPr>
    </w:p>
    <w:p w14:paraId="40FE7886" w14:textId="77777777" w:rsidR="00C300AB" w:rsidRDefault="00E27DA4">
      <w:pPr>
        <w:ind w:left="3828"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ISRAEL ÁNGEL RAMÍREZ, REPRESENTANTE SUPLENTE DEL PAN.</w:t>
      </w:r>
    </w:p>
    <w:p w14:paraId="7D6282B2" w14:textId="77777777" w:rsidR="00C300AB" w:rsidRDefault="00C300AB">
      <w:pPr>
        <w:ind w:left="3828" w:right="36"/>
        <w:jc w:val="both"/>
        <w:rPr>
          <w:rFonts w:ascii="Arial" w:eastAsia="Arial" w:hAnsi="Arial" w:cs="Arial"/>
          <w:sz w:val="14"/>
          <w:szCs w:val="14"/>
        </w:rPr>
      </w:pPr>
    </w:p>
    <w:p w14:paraId="473CD495" w14:textId="77777777" w:rsidR="00C300AB" w:rsidRDefault="00E27DA4">
      <w:pPr>
        <w:ind w:left="3828" w:right="36"/>
        <w:jc w:val="both"/>
        <w:rPr>
          <w:rFonts w:ascii="Arial" w:eastAsia="Arial" w:hAnsi="Arial" w:cs="Arial"/>
          <w:sz w:val="24"/>
          <w:szCs w:val="24"/>
        </w:rPr>
      </w:pPr>
      <w:r>
        <w:rPr>
          <w:rFonts w:ascii="Arial" w:eastAsia="Arial" w:hAnsi="Arial" w:cs="Arial"/>
          <w:b/>
          <w:sz w:val="24"/>
          <w:szCs w:val="24"/>
        </w:rPr>
        <w:t xml:space="preserve">DENUNCIADOS: </w:t>
      </w:r>
      <w:r>
        <w:rPr>
          <w:rFonts w:ascii="Arial" w:eastAsia="Arial" w:hAnsi="Arial" w:cs="Arial"/>
          <w:sz w:val="24"/>
          <w:szCs w:val="24"/>
        </w:rPr>
        <w:t>NORA RUVALCABA GÁMEZ, ENTONCES CANDIDATA DE MORENA A LA GUBERNATURA DEL ESTADO Y OTROS.</w:t>
      </w:r>
    </w:p>
    <w:p w14:paraId="03B443F4" w14:textId="77777777" w:rsidR="00C300AB" w:rsidRDefault="00C300AB">
      <w:pPr>
        <w:pBdr>
          <w:top w:val="nil"/>
          <w:left w:val="nil"/>
          <w:bottom w:val="nil"/>
          <w:right w:val="nil"/>
          <w:between w:val="nil"/>
        </w:pBdr>
        <w:ind w:left="3828"/>
        <w:rPr>
          <w:rFonts w:ascii="Arial" w:eastAsia="Arial" w:hAnsi="Arial" w:cs="Arial"/>
          <w:color w:val="000000"/>
          <w:sz w:val="14"/>
          <w:szCs w:val="14"/>
        </w:rPr>
      </w:pPr>
    </w:p>
    <w:p w14:paraId="359FA9BA" w14:textId="77777777" w:rsidR="00C300AB" w:rsidRDefault="00E27DA4">
      <w:pPr>
        <w:ind w:left="3828"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493F265A" w14:textId="77777777" w:rsidR="00C300AB" w:rsidRDefault="00C300AB">
      <w:pPr>
        <w:pBdr>
          <w:top w:val="nil"/>
          <w:left w:val="nil"/>
          <w:bottom w:val="nil"/>
          <w:right w:val="nil"/>
          <w:between w:val="nil"/>
        </w:pBdr>
        <w:ind w:left="3828"/>
        <w:rPr>
          <w:rFonts w:ascii="Arial" w:eastAsia="Arial" w:hAnsi="Arial" w:cs="Arial"/>
          <w:color w:val="000000"/>
          <w:sz w:val="14"/>
          <w:szCs w:val="14"/>
        </w:rPr>
      </w:pPr>
    </w:p>
    <w:p w14:paraId="16AF261C" w14:textId="77777777" w:rsidR="00C300AB" w:rsidRDefault="00E27DA4">
      <w:pPr>
        <w:ind w:left="3828"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5855CAB9" w14:textId="77777777" w:rsidR="00C300AB" w:rsidRDefault="00C300AB">
      <w:pPr>
        <w:ind w:left="3828" w:right="36"/>
        <w:jc w:val="both"/>
        <w:rPr>
          <w:rFonts w:ascii="Arial" w:eastAsia="Arial" w:hAnsi="Arial" w:cs="Arial"/>
          <w:sz w:val="14"/>
          <w:szCs w:val="14"/>
        </w:rPr>
      </w:pPr>
    </w:p>
    <w:p w14:paraId="6E4F1124" w14:textId="77777777" w:rsidR="00C300AB" w:rsidRDefault="00E27DA4">
      <w:pPr>
        <w:ind w:left="3828"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GUADALUPE JOCELYN MARTÍNEZ TAVAREZ E IVONNE AZUCENA ZAVALA SOTO.</w:t>
      </w:r>
    </w:p>
    <w:p w14:paraId="6A518E88" w14:textId="77777777" w:rsidR="00C300AB" w:rsidRDefault="00C300AB">
      <w:pPr>
        <w:pBdr>
          <w:top w:val="nil"/>
          <w:left w:val="nil"/>
          <w:bottom w:val="nil"/>
          <w:right w:val="nil"/>
          <w:between w:val="nil"/>
        </w:pBdr>
        <w:rPr>
          <w:color w:val="000000"/>
        </w:rPr>
      </w:pPr>
    </w:p>
    <w:p w14:paraId="55D5EC5E" w14:textId="2830CB66" w:rsidR="00C300AB" w:rsidRDefault="00E27DA4">
      <w:pPr>
        <w:pBdr>
          <w:top w:val="nil"/>
          <w:left w:val="nil"/>
          <w:bottom w:val="nil"/>
          <w:right w:val="nil"/>
          <w:between w:val="nil"/>
        </w:pBdr>
        <w:spacing w:line="360" w:lineRule="auto"/>
        <w:ind w:right="36"/>
        <w:jc w:val="right"/>
        <w:rPr>
          <w:rFonts w:ascii="Arial" w:eastAsia="Arial" w:hAnsi="Arial" w:cs="Arial"/>
          <w:sz w:val="24"/>
          <w:szCs w:val="24"/>
        </w:rPr>
      </w:pPr>
      <w:r>
        <w:rPr>
          <w:rFonts w:ascii="Arial" w:eastAsia="Arial" w:hAnsi="Arial" w:cs="Arial"/>
          <w:sz w:val="24"/>
          <w:szCs w:val="24"/>
        </w:rPr>
        <w:t xml:space="preserve">Aguascalientes, Aguascalientes, </w:t>
      </w:r>
      <w:r>
        <w:rPr>
          <w:rFonts w:ascii="Arial" w:eastAsia="Arial" w:hAnsi="Arial" w:cs="Arial"/>
          <w:color w:val="000000"/>
          <w:sz w:val="24"/>
          <w:szCs w:val="24"/>
        </w:rPr>
        <w:t xml:space="preserve">a </w:t>
      </w:r>
      <w:r w:rsidR="00707F06">
        <w:rPr>
          <w:rFonts w:ascii="Arial" w:eastAsia="Arial" w:hAnsi="Arial" w:cs="Arial"/>
          <w:sz w:val="24"/>
          <w:szCs w:val="24"/>
        </w:rPr>
        <w:t>30</w:t>
      </w:r>
      <w:r>
        <w:rPr>
          <w:rFonts w:ascii="Arial" w:eastAsia="Arial" w:hAnsi="Arial" w:cs="Arial"/>
          <w:sz w:val="24"/>
          <w:szCs w:val="24"/>
        </w:rPr>
        <w:t xml:space="preserve"> </w:t>
      </w:r>
      <w:r>
        <w:rPr>
          <w:rFonts w:ascii="Arial" w:eastAsia="Arial" w:hAnsi="Arial" w:cs="Arial"/>
          <w:color w:val="000000"/>
          <w:sz w:val="24"/>
          <w:szCs w:val="24"/>
        </w:rPr>
        <w:t>de junio de 2022</w:t>
      </w:r>
      <w:r>
        <w:rPr>
          <w:rFonts w:ascii="Arial" w:eastAsia="Arial" w:hAnsi="Arial" w:cs="Arial"/>
          <w:sz w:val="24"/>
          <w:szCs w:val="24"/>
        </w:rPr>
        <w:t>.</w:t>
      </w:r>
    </w:p>
    <w:p w14:paraId="0AD9C0BF" w14:textId="77777777" w:rsidR="00C300AB" w:rsidRDefault="00C300AB">
      <w:pPr>
        <w:pBdr>
          <w:top w:val="nil"/>
          <w:left w:val="nil"/>
          <w:bottom w:val="nil"/>
          <w:right w:val="nil"/>
          <w:between w:val="nil"/>
        </w:pBdr>
        <w:rPr>
          <w:color w:val="000000"/>
        </w:rPr>
      </w:pPr>
    </w:p>
    <w:p w14:paraId="5EC416C2" w14:textId="77777777" w:rsidR="00C300AB" w:rsidRDefault="00E27DA4">
      <w:pPr>
        <w:spacing w:line="360" w:lineRule="auto"/>
        <w:jc w:val="both"/>
        <w:rPr>
          <w:rFonts w:ascii="Arial" w:eastAsia="Arial" w:hAnsi="Arial" w:cs="Arial"/>
          <w:sz w:val="24"/>
          <w:szCs w:val="24"/>
        </w:rPr>
      </w:pPr>
      <w:bookmarkStart w:id="1" w:name="_heading=h.30j0zll" w:colFirst="0" w:colLast="0"/>
      <w:bookmarkEnd w:id="1"/>
      <w:r>
        <w:rPr>
          <w:rFonts w:ascii="Arial" w:eastAsia="Arial" w:hAnsi="Arial" w:cs="Arial"/>
          <w:b/>
          <w:sz w:val="24"/>
          <w:szCs w:val="24"/>
        </w:rPr>
        <w:t xml:space="preserve">Sentencia del Tribunal Electoral </w:t>
      </w:r>
      <w:r>
        <w:rPr>
          <w:rFonts w:ascii="Arial" w:eastAsia="Arial" w:hAnsi="Arial" w:cs="Arial"/>
          <w:sz w:val="24"/>
          <w:szCs w:val="24"/>
        </w:rPr>
        <w:t xml:space="preserve">que declara: </w:t>
      </w:r>
      <w:r>
        <w:rPr>
          <w:rFonts w:ascii="Arial" w:eastAsia="Arial" w:hAnsi="Arial" w:cs="Arial"/>
          <w:b/>
          <w:i/>
          <w:sz w:val="24"/>
          <w:szCs w:val="24"/>
        </w:rPr>
        <w:t xml:space="preserve">a) </w:t>
      </w:r>
      <w:r>
        <w:rPr>
          <w:rFonts w:ascii="Arial" w:eastAsia="Arial" w:hAnsi="Arial" w:cs="Arial"/>
          <w:sz w:val="24"/>
          <w:szCs w:val="24"/>
        </w:rPr>
        <w:t xml:space="preserve">la </w:t>
      </w:r>
      <w:r>
        <w:rPr>
          <w:rFonts w:ascii="Arial" w:eastAsia="Arial" w:hAnsi="Arial" w:cs="Arial"/>
          <w:b/>
          <w:sz w:val="24"/>
          <w:szCs w:val="24"/>
        </w:rPr>
        <w:t>inexistencia</w:t>
      </w:r>
      <w:r>
        <w:rPr>
          <w:rFonts w:ascii="Arial" w:eastAsia="Arial" w:hAnsi="Arial" w:cs="Arial"/>
          <w:sz w:val="24"/>
          <w:szCs w:val="24"/>
        </w:rPr>
        <w:t xml:space="preserve"> de la infracción atribuida a la entonces candidata Nora Ruvalcaba Gámez, al ciudadano Aldo Emmanuel Ruiz Sánchez, y a la Diputada de la LXV Legislatura del Congreso, Ana Laura Gómez Calzada, consistente en la vulneración a los principios de equidad e imparcialidad en la contienda, derivado de su aparición en una serie de fotografías que promovieron la candidatura de la entonces contendiente y, </w:t>
      </w:r>
      <w:r>
        <w:rPr>
          <w:rFonts w:ascii="Arial" w:eastAsia="Arial" w:hAnsi="Arial" w:cs="Arial"/>
          <w:b/>
          <w:i/>
          <w:sz w:val="24"/>
          <w:szCs w:val="24"/>
        </w:rPr>
        <w:t xml:space="preserve">b) </w:t>
      </w:r>
      <w:r>
        <w:rPr>
          <w:rFonts w:ascii="Arial" w:eastAsia="Arial" w:hAnsi="Arial" w:cs="Arial"/>
          <w:sz w:val="24"/>
          <w:szCs w:val="24"/>
        </w:rPr>
        <w:t xml:space="preserve">la </w:t>
      </w:r>
      <w:r>
        <w:rPr>
          <w:rFonts w:ascii="Arial" w:eastAsia="Arial" w:hAnsi="Arial" w:cs="Arial"/>
          <w:b/>
          <w:sz w:val="24"/>
          <w:szCs w:val="24"/>
        </w:rPr>
        <w:t xml:space="preserve">inexistencia </w:t>
      </w:r>
      <w:r>
        <w:rPr>
          <w:rFonts w:ascii="Arial" w:eastAsia="Arial" w:hAnsi="Arial" w:cs="Arial"/>
          <w:sz w:val="24"/>
          <w:szCs w:val="24"/>
        </w:rPr>
        <w:t xml:space="preserve">de la infracción de </w:t>
      </w:r>
      <w:r>
        <w:rPr>
          <w:rFonts w:ascii="Arial" w:eastAsia="Arial" w:hAnsi="Arial" w:cs="Arial"/>
          <w:i/>
          <w:sz w:val="24"/>
          <w:szCs w:val="24"/>
        </w:rPr>
        <w:t xml:space="preserve">culpa in vigilando </w:t>
      </w:r>
      <w:r>
        <w:rPr>
          <w:rFonts w:ascii="Arial" w:eastAsia="Arial" w:hAnsi="Arial" w:cs="Arial"/>
          <w:sz w:val="24"/>
          <w:szCs w:val="24"/>
        </w:rPr>
        <w:t>atribuida a Morena.</w:t>
      </w:r>
    </w:p>
    <w:p w14:paraId="23A9F33C" w14:textId="77777777" w:rsidR="00C300AB" w:rsidRDefault="00C300AB">
      <w:pPr>
        <w:pBdr>
          <w:top w:val="nil"/>
          <w:left w:val="nil"/>
          <w:bottom w:val="nil"/>
          <w:right w:val="nil"/>
          <w:between w:val="nil"/>
        </w:pBdr>
        <w:rPr>
          <w:color w:val="000000"/>
        </w:rPr>
      </w:pPr>
    </w:p>
    <w:p w14:paraId="49E507B5" w14:textId="77777777" w:rsidR="00C300AB" w:rsidRDefault="00E27DA4">
      <w:pPr>
        <w:spacing w:line="360" w:lineRule="auto"/>
        <w:jc w:val="both"/>
        <w:rPr>
          <w:rFonts w:ascii="Arial" w:eastAsia="Arial" w:hAnsi="Arial" w:cs="Arial"/>
          <w:sz w:val="24"/>
          <w:szCs w:val="24"/>
        </w:rPr>
      </w:pPr>
      <w:r>
        <w:rPr>
          <w:rFonts w:ascii="Arial" w:eastAsia="Arial" w:hAnsi="Arial" w:cs="Arial"/>
          <w:sz w:val="24"/>
          <w:szCs w:val="24"/>
        </w:rPr>
        <w:t xml:space="preserve">Lo anterior, porque </w:t>
      </w:r>
      <w:r>
        <w:rPr>
          <w:rFonts w:ascii="Arial" w:eastAsia="Arial" w:hAnsi="Arial" w:cs="Arial"/>
          <w:b/>
          <w:sz w:val="24"/>
          <w:szCs w:val="24"/>
        </w:rPr>
        <w:t>este Tribunal Electoral considera</w:t>
      </w:r>
      <w:r>
        <w:rPr>
          <w:rFonts w:ascii="Arial" w:eastAsia="Arial" w:hAnsi="Arial" w:cs="Arial"/>
          <w:sz w:val="24"/>
          <w:szCs w:val="24"/>
        </w:rPr>
        <w:t xml:space="preserve"> que, </w:t>
      </w:r>
      <w:r>
        <w:rPr>
          <w:rFonts w:ascii="Arial" w:eastAsia="Arial" w:hAnsi="Arial" w:cs="Arial"/>
          <w:color w:val="000000"/>
          <w:sz w:val="24"/>
          <w:szCs w:val="24"/>
        </w:rPr>
        <w:t>del análisis de los hechos denunciados y del material probatorio que obra en el expediente</w:t>
      </w:r>
      <w:r>
        <w:rPr>
          <w:rFonts w:ascii="Arial" w:eastAsia="Arial" w:hAnsi="Arial" w:cs="Arial"/>
          <w:sz w:val="24"/>
          <w:szCs w:val="24"/>
        </w:rPr>
        <w:t xml:space="preserve">, se advierte </w:t>
      </w:r>
      <w:r>
        <w:rPr>
          <w:rFonts w:ascii="Arial" w:eastAsia="Arial" w:hAnsi="Arial" w:cs="Arial"/>
          <w:color w:val="000000"/>
          <w:sz w:val="24"/>
          <w:szCs w:val="24"/>
        </w:rPr>
        <w:t xml:space="preserve">que: </w:t>
      </w:r>
      <w:r>
        <w:rPr>
          <w:rFonts w:ascii="Arial" w:eastAsia="Arial" w:hAnsi="Arial" w:cs="Arial"/>
          <w:b/>
          <w:i/>
          <w:color w:val="000000"/>
          <w:sz w:val="24"/>
          <w:szCs w:val="24"/>
        </w:rPr>
        <w:t>i)</w:t>
      </w:r>
      <w:r>
        <w:rPr>
          <w:rFonts w:ascii="Arial" w:eastAsia="Arial" w:hAnsi="Arial" w:cs="Arial"/>
          <w:color w:val="000000"/>
          <w:sz w:val="24"/>
          <w:szCs w:val="24"/>
        </w:rPr>
        <w:t xml:space="preserve"> el s</w:t>
      </w:r>
      <w:r>
        <w:rPr>
          <w:rFonts w:ascii="Arial" w:eastAsia="Arial" w:hAnsi="Arial" w:cs="Arial"/>
          <w:sz w:val="24"/>
          <w:szCs w:val="24"/>
        </w:rPr>
        <w:t>o</w:t>
      </w:r>
      <w:r>
        <w:rPr>
          <w:rFonts w:ascii="Arial" w:eastAsia="Arial" w:hAnsi="Arial" w:cs="Arial"/>
          <w:color w:val="000000"/>
          <w:sz w:val="24"/>
          <w:szCs w:val="24"/>
        </w:rPr>
        <w:t xml:space="preserve">lo hecho de que la diputada cuestionada aparezca en fotografías con la entonces candidata Nora Ruvalcaba Gámez, no implica que se esté en presencia de una vulneración al principio alegado y, </w:t>
      </w:r>
      <w:proofErr w:type="spellStart"/>
      <w:r>
        <w:rPr>
          <w:rFonts w:ascii="Arial" w:eastAsia="Arial" w:hAnsi="Arial" w:cs="Arial"/>
          <w:b/>
          <w:i/>
          <w:color w:val="000000"/>
          <w:sz w:val="24"/>
          <w:szCs w:val="24"/>
        </w:rPr>
        <w:t>ii</w:t>
      </w:r>
      <w:proofErr w:type="spellEnd"/>
      <w:r>
        <w:rPr>
          <w:rFonts w:ascii="Arial" w:eastAsia="Arial" w:hAnsi="Arial" w:cs="Arial"/>
          <w:b/>
          <w:i/>
          <w:color w:val="000000"/>
          <w:sz w:val="24"/>
          <w:szCs w:val="24"/>
        </w:rPr>
        <w:t>)</w:t>
      </w:r>
      <w:r>
        <w:rPr>
          <w:rFonts w:ascii="Arial" w:eastAsia="Arial" w:hAnsi="Arial" w:cs="Arial"/>
          <w:color w:val="000000"/>
          <w:sz w:val="24"/>
          <w:szCs w:val="24"/>
        </w:rPr>
        <w:t xml:space="preserve"> </w:t>
      </w:r>
      <w:r>
        <w:rPr>
          <w:rFonts w:ascii="Arial" w:eastAsia="Arial" w:hAnsi="Arial" w:cs="Arial"/>
          <w:sz w:val="24"/>
          <w:szCs w:val="24"/>
        </w:rPr>
        <w:t>no se logró comprobar que el denunciado Aldo Emmanuel Ruiz Sánchez, fungiera como funcionario público, ya que si bien se le denunció en su calidad de Delegado Estatal de Programas para el Desarrollo en el Estado de Aguascalientes, lo cierto es que tal carácter concluyó el 27 de agosto de 2021; por tanto</w:t>
      </w:r>
      <w:r>
        <w:rPr>
          <w:rFonts w:ascii="Arial" w:eastAsia="Arial" w:hAnsi="Arial" w:cs="Arial"/>
          <w:color w:val="000000"/>
          <w:sz w:val="24"/>
          <w:szCs w:val="24"/>
        </w:rPr>
        <w:t xml:space="preserve">, se estima que este órgano jurisdiccional no cuenta con elementos probatorios suficientes que adminiculados entre sí, permitan advertir alguna vulneración al artículo 134 </w:t>
      </w:r>
      <w:r>
        <w:rPr>
          <w:rFonts w:ascii="Arial" w:eastAsia="Arial" w:hAnsi="Arial" w:cs="Arial"/>
          <w:sz w:val="24"/>
          <w:szCs w:val="24"/>
        </w:rPr>
        <w:t>c</w:t>
      </w:r>
      <w:r>
        <w:rPr>
          <w:rFonts w:ascii="Arial" w:eastAsia="Arial" w:hAnsi="Arial" w:cs="Arial"/>
          <w:color w:val="000000"/>
          <w:sz w:val="24"/>
          <w:szCs w:val="24"/>
        </w:rPr>
        <w:t xml:space="preserve">onstitucional. </w:t>
      </w:r>
    </w:p>
    <w:p w14:paraId="72658C75" w14:textId="77777777" w:rsidR="00C300AB" w:rsidRDefault="00E27DA4">
      <w:pPr>
        <w:spacing w:line="360" w:lineRule="auto"/>
        <w:jc w:val="both"/>
        <w:rPr>
          <w:rFonts w:ascii="Arial" w:eastAsia="Arial" w:hAnsi="Arial" w:cs="Arial"/>
          <w:sz w:val="24"/>
          <w:szCs w:val="24"/>
        </w:rPr>
      </w:pPr>
      <w:r>
        <w:rPr>
          <w:rFonts w:ascii="Arial" w:eastAsia="Arial" w:hAnsi="Arial" w:cs="Arial"/>
          <w:sz w:val="24"/>
          <w:szCs w:val="24"/>
        </w:rPr>
        <w:t xml:space="preserve"> </w:t>
      </w:r>
    </w:p>
    <w:p w14:paraId="3CCA5F50" w14:textId="77777777" w:rsidR="00C300AB" w:rsidRPr="00957EB1" w:rsidRDefault="00E27DA4">
      <w:pPr>
        <w:keepNext/>
        <w:keepLines/>
        <w:pBdr>
          <w:top w:val="nil"/>
          <w:left w:val="nil"/>
          <w:bottom w:val="nil"/>
          <w:right w:val="nil"/>
          <w:between w:val="nil"/>
        </w:pBdr>
        <w:tabs>
          <w:tab w:val="left" w:pos="3402"/>
        </w:tabs>
        <w:ind w:left="4320" w:right="-518" w:firstLine="141"/>
        <w:rPr>
          <w:rFonts w:ascii="Arial" w:eastAsia="Arial" w:hAnsi="Arial" w:cs="Arial"/>
          <w:b/>
          <w:color w:val="000000"/>
          <w:sz w:val="16"/>
          <w:szCs w:val="16"/>
        </w:rPr>
      </w:pPr>
      <w:r w:rsidRPr="00957EB1">
        <w:rPr>
          <w:rFonts w:ascii="Arial" w:eastAsia="Arial" w:hAnsi="Arial" w:cs="Arial"/>
          <w:b/>
          <w:color w:val="000000"/>
          <w:sz w:val="16"/>
          <w:szCs w:val="16"/>
        </w:rPr>
        <w:t>Índice</w:t>
      </w:r>
    </w:p>
    <w:p w14:paraId="3AB74ED0" w14:textId="4E4F7083" w:rsidR="00C300AB" w:rsidRPr="00957EB1" w:rsidRDefault="00E27DA4">
      <w:pPr>
        <w:tabs>
          <w:tab w:val="left" w:pos="3402"/>
        </w:tabs>
        <w:ind w:left="1488" w:right="-518"/>
        <w:rPr>
          <w:rFonts w:ascii="Arial" w:eastAsia="Arial" w:hAnsi="Arial" w:cs="Arial"/>
          <w:b/>
          <w:bCs/>
          <w:sz w:val="16"/>
          <w:szCs w:val="16"/>
        </w:rPr>
      </w:pPr>
      <w:r w:rsidRPr="00957EB1">
        <w:rPr>
          <w:rFonts w:ascii="Arial" w:eastAsia="Arial" w:hAnsi="Arial" w:cs="Arial"/>
          <w:b/>
          <w:bCs/>
          <w:sz w:val="16"/>
          <w:szCs w:val="16"/>
        </w:rPr>
        <w:t>Antecedentes del caso …………………………………………………………………………...</w:t>
      </w:r>
      <w:r w:rsidR="00957EB1" w:rsidRPr="00957EB1">
        <w:rPr>
          <w:rFonts w:ascii="Arial" w:eastAsia="Arial" w:hAnsi="Arial" w:cs="Arial"/>
          <w:b/>
          <w:bCs/>
          <w:sz w:val="16"/>
          <w:szCs w:val="16"/>
        </w:rPr>
        <w:t>........</w:t>
      </w:r>
      <w:r w:rsidR="00957EB1" w:rsidRPr="00957EB1">
        <w:rPr>
          <w:rFonts w:ascii="Arial" w:eastAsia="Arial" w:hAnsi="Arial" w:cs="Arial"/>
          <w:b/>
          <w:bCs/>
          <w:sz w:val="10"/>
          <w:szCs w:val="10"/>
        </w:rPr>
        <w:t>.</w:t>
      </w:r>
      <w:r w:rsidRPr="00957EB1">
        <w:rPr>
          <w:rFonts w:ascii="Arial" w:eastAsia="Arial" w:hAnsi="Arial" w:cs="Arial"/>
          <w:b/>
          <w:bCs/>
          <w:sz w:val="16"/>
          <w:szCs w:val="16"/>
        </w:rPr>
        <w:t>2</w:t>
      </w:r>
    </w:p>
    <w:p w14:paraId="255757BB" w14:textId="134D28EB" w:rsidR="00C300AB" w:rsidRPr="00957EB1" w:rsidRDefault="00E27DA4">
      <w:pPr>
        <w:tabs>
          <w:tab w:val="left" w:pos="3402"/>
        </w:tabs>
        <w:ind w:left="1488" w:right="-518"/>
        <w:rPr>
          <w:rFonts w:ascii="Arial" w:eastAsia="Arial" w:hAnsi="Arial" w:cs="Arial"/>
          <w:b/>
          <w:bCs/>
          <w:sz w:val="16"/>
          <w:szCs w:val="16"/>
        </w:rPr>
      </w:pPr>
      <w:r w:rsidRPr="00957EB1">
        <w:rPr>
          <w:rFonts w:ascii="Arial" w:eastAsia="Arial" w:hAnsi="Arial" w:cs="Arial"/>
          <w:b/>
          <w:bCs/>
          <w:sz w:val="16"/>
          <w:szCs w:val="16"/>
        </w:rPr>
        <w:t>Competencia ……………………………………………………………………………………</w:t>
      </w:r>
      <w:r w:rsidR="00957EB1" w:rsidRPr="00957EB1">
        <w:rPr>
          <w:rFonts w:ascii="Arial" w:eastAsia="Arial" w:hAnsi="Arial" w:cs="Arial"/>
          <w:b/>
          <w:bCs/>
          <w:sz w:val="16"/>
          <w:szCs w:val="16"/>
        </w:rPr>
        <w:t>..........</w:t>
      </w:r>
      <w:r w:rsidRPr="00957EB1">
        <w:rPr>
          <w:rFonts w:ascii="Arial" w:eastAsia="Arial" w:hAnsi="Arial" w:cs="Arial"/>
          <w:b/>
          <w:bCs/>
          <w:sz w:val="16"/>
          <w:szCs w:val="16"/>
        </w:rPr>
        <w:t>…2</w:t>
      </w:r>
    </w:p>
    <w:p w14:paraId="22CD766E" w14:textId="589C38FD" w:rsidR="00C300AB" w:rsidRPr="00957EB1" w:rsidRDefault="00E27DA4">
      <w:pPr>
        <w:tabs>
          <w:tab w:val="left" w:pos="3402"/>
        </w:tabs>
        <w:ind w:left="1488" w:right="-518"/>
        <w:rPr>
          <w:rFonts w:ascii="Arial" w:eastAsia="Arial" w:hAnsi="Arial" w:cs="Arial"/>
          <w:b/>
          <w:bCs/>
          <w:sz w:val="16"/>
          <w:szCs w:val="16"/>
        </w:rPr>
      </w:pPr>
      <w:r w:rsidRPr="00957EB1">
        <w:rPr>
          <w:rFonts w:ascii="Arial" w:eastAsia="Arial" w:hAnsi="Arial" w:cs="Arial"/>
          <w:b/>
          <w:bCs/>
          <w:sz w:val="16"/>
          <w:szCs w:val="16"/>
        </w:rPr>
        <w:t>Personería ………………………………………………………………………………………</w:t>
      </w:r>
      <w:proofErr w:type="gramStart"/>
      <w:r w:rsidR="00957EB1" w:rsidRPr="00957EB1">
        <w:rPr>
          <w:rFonts w:ascii="Arial" w:eastAsia="Arial" w:hAnsi="Arial" w:cs="Arial"/>
          <w:b/>
          <w:bCs/>
          <w:sz w:val="16"/>
          <w:szCs w:val="16"/>
        </w:rPr>
        <w:t>.........</w:t>
      </w:r>
      <w:r w:rsidRPr="00957EB1">
        <w:rPr>
          <w:rFonts w:ascii="Arial" w:eastAsia="Arial" w:hAnsi="Arial" w:cs="Arial"/>
          <w:b/>
          <w:bCs/>
          <w:sz w:val="16"/>
          <w:szCs w:val="16"/>
        </w:rPr>
        <w:t>…</w:t>
      </w:r>
      <w:r w:rsidR="00957EB1" w:rsidRPr="00957EB1">
        <w:rPr>
          <w:rFonts w:ascii="Arial" w:eastAsia="Arial" w:hAnsi="Arial" w:cs="Arial"/>
          <w:b/>
          <w:bCs/>
          <w:sz w:val="16"/>
          <w:szCs w:val="16"/>
        </w:rPr>
        <w:t>.</w:t>
      </w:r>
      <w:proofErr w:type="gramEnd"/>
      <w:r w:rsidR="00957EB1" w:rsidRPr="00957EB1">
        <w:rPr>
          <w:rFonts w:ascii="Arial" w:eastAsia="Arial" w:hAnsi="Arial" w:cs="Arial"/>
          <w:b/>
          <w:bCs/>
          <w:sz w:val="6"/>
          <w:szCs w:val="6"/>
        </w:rPr>
        <w:t>.</w:t>
      </w:r>
      <w:r w:rsidRPr="00957EB1">
        <w:rPr>
          <w:rFonts w:ascii="Arial" w:eastAsia="Arial" w:hAnsi="Arial" w:cs="Arial"/>
          <w:b/>
          <w:bCs/>
          <w:sz w:val="16"/>
          <w:szCs w:val="16"/>
        </w:rPr>
        <w:t>2</w:t>
      </w:r>
    </w:p>
    <w:p w14:paraId="3F45171A" w14:textId="26969A5D" w:rsidR="00C300AB" w:rsidRPr="00957EB1" w:rsidRDefault="00E27DA4">
      <w:pPr>
        <w:tabs>
          <w:tab w:val="left" w:pos="3402"/>
        </w:tabs>
        <w:ind w:left="1488" w:right="-518"/>
        <w:rPr>
          <w:rFonts w:ascii="Arial" w:eastAsia="Arial" w:hAnsi="Arial" w:cs="Arial"/>
          <w:b/>
          <w:bCs/>
          <w:sz w:val="16"/>
          <w:szCs w:val="16"/>
        </w:rPr>
      </w:pPr>
      <w:r w:rsidRPr="00957EB1">
        <w:rPr>
          <w:rFonts w:ascii="Arial" w:eastAsia="Arial" w:hAnsi="Arial" w:cs="Arial"/>
          <w:b/>
          <w:bCs/>
          <w:sz w:val="16"/>
          <w:szCs w:val="16"/>
        </w:rPr>
        <w:t>Estudio de fondo……………………………………………………………………………….</w:t>
      </w:r>
      <w:r w:rsidR="00957EB1" w:rsidRPr="00957EB1">
        <w:rPr>
          <w:rFonts w:ascii="Arial" w:eastAsia="Arial" w:hAnsi="Arial" w:cs="Arial"/>
          <w:b/>
          <w:bCs/>
          <w:sz w:val="16"/>
          <w:szCs w:val="16"/>
        </w:rPr>
        <w:t>...</w:t>
      </w:r>
      <w:r w:rsidRPr="00957EB1">
        <w:rPr>
          <w:rFonts w:ascii="Arial" w:eastAsia="Arial" w:hAnsi="Arial" w:cs="Arial"/>
          <w:b/>
          <w:bCs/>
          <w:sz w:val="16"/>
          <w:szCs w:val="16"/>
        </w:rPr>
        <w:t>.</w:t>
      </w:r>
      <w:r w:rsidR="00957EB1" w:rsidRPr="00957EB1">
        <w:rPr>
          <w:rFonts w:ascii="Arial" w:eastAsia="Arial" w:hAnsi="Arial" w:cs="Arial"/>
          <w:b/>
          <w:bCs/>
          <w:sz w:val="16"/>
          <w:szCs w:val="16"/>
        </w:rPr>
        <w:t>......</w:t>
      </w:r>
      <w:r w:rsidRPr="00957EB1">
        <w:rPr>
          <w:rFonts w:ascii="Arial" w:eastAsia="Arial" w:hAnsi="Arial" w:cs="Arial"/>
          <w:b/>
          <w:bCs/>
          <w:sz w:val="16"/>
          <w:szCs w:val="16"/>
        </w:rPr>
        <w:t>....3</w:t>
      </w:r>
    </w:p>
    <w:p w14:paraId="589422AD" w14:textId="17AFC0FF" w:rsidR="00C300AB" w:rsidRPr="00957EB1" w:rsidRDefault="00E27DA4">
      <w:pPr>
        <w:tabs>
          <w:tab w:val="left" w:pos="3402"/>
        </w:tabs>
        <w:ind w:left="1488" w:right="-518"/>
        <w:rPr>
          <w:rFonts w:ascii="Arial" w:eastAsia="Arial" w:hAnsi="Arial" w:cs="Arial"/>
          <w:b/>
          <w:bCs/>
          <w:sz w:val="16"/>
          <w:szCs w:val="16"/>
        </w:rPr>
      </w:pPr>
      <w:r w:rsidRPr="00957EB1">
        <w:rPr>
          <w:rFonts w:ascii="Arial" w:eastAsia="Arial" w:hAnsi="Arial" w:cs="Arial"/>
          <w:b/>
          <w:bCs/>
          <w:sz w:val="16"/>
          <w:szCs w:val="16"/>
        </w:rPr>
        <w:t>Análisis de fondo ……………………………………………………………………………</w:t>
      </w:r>
      <w:r w:rsidR="00957EB1" w:rsidRPr="00957EB1">
        <w:rPr>
          <w:rFonts w:ascii="Arial" w:eastAsia="Arial" w:hAnsi="Arial" w:cs="Arial"/>
          <w:b/>
          <w:bCs/>
          <w:sz w:val="16"/>
          <w:szCs w:val="16"/>
        </w:rPr>
        <w:t>...</w:t>
      </w:r>
      <w:r w:rsidRPr="00957EB1">
        <w:rPr>
          <w:rFonts w:ascii="Arial" w:eastAsia="Arial" w:hAnsi="Arial" w:cs="Arial"/>
          <w:b/>
          <w:bCs/>
          <w:sz w:val="16"/>
          <w:szCs w:val="16"/>
        </w:rPr>
        <w:t>…</w:t>
      </w:r>
      <w:proofErr w:type="gramStart"/>
      <w:r w:rsidR="00957EB1" w:rsidRPr="00957EB1">
        <w:rPr>
          <w:rFonts w:ascii="Arial" w:eastAsia="Arial" w:hAnsi="Arial" w:cs="Arial"/>
          <w:b/>
          <w:bCs/>
          <w:sz w:val="16"/>
          <w:szCs w:val="16"/>
        </w:rPr>
        <w:t>......</w:t>
      </w:r>
      <w:r w:rsidRPr="00957EB1">
        <w:rPr>
          <w:rFonts w:ascii="Arial" w:eastAsia="Arial" w:hAnsi="Arial" w:cs="Arial"/>
          <w:b/>
          <w:bCs/>
          <w:sz w:val="16"/>
          <w:szCs w:val="16"/>
        </w:rPr>
        <w:t>…</w:t>
      </w:r>
      <w:r w:rsidRPr="00957EB1">
        <w:rPr>
          <w:rFonts w:ascii="Arial" w:eastAsia="Arial" w:hAnsi="Arial" w:cs="Arial"/>
          <w:b/>
          <w:bCs/>
          <w:sz w:val="10"/>
          <w:szCs w:val="10"/>
        </w:rPr>
        <w:t>.</w:t>
      </w:r>
      <w:proofErr w:type="gramEnd"/>
      <w:r w:rsidRPr="00957EB1">
        <w:rPr>
          <w:rFonts w:ascii="Arial" w:eastAsia="Arial" w:hAnsi="Arial" w:cs="Arial"/>
          <w:b/>
          <w:bCs/>
          <w:sz w:val="16"/>
          <w:szCs w:val="16"/>
        </w:rPr>
        <w:t>5</w:t>
      </w:r>
    </w:p>
    <w:p w14:paraId="01CA68F3" w14:textId="3BA43281" w:rsidR="00C300AB" w:rsidRPr="00957EB1" w:rsidRDefault="00E27DA4">
      <w:pPr>
        <w:tabs>
          <w:tab w:val="left" w:pos="3402"/>
          <w:tab w:val="right" w:pos="8263"/>
        </w:tabs>
        <w:ind w:left="1488" w:right="-518"/>
        <w:rPr>
          <w:rFonts w:ascii="Arial" w:eastAsia="Arial" w:hAnsi="Arial" w:cs="Arial"/>
          <w:b/>
          <w:bCs/>
          <w:sz w:val="16"/>
          <w:szCs w:val="16"/>
        </w:rPr>
      </w:pPr>
      <w:r w:rsidRPr="00957EB1">
        <w:rPr>
          <w:rFonts w:ascii="Arial" w:eastAsia="Arial" w:hAnsi="Arial" w:cs="Arial"/>
          <w:b/>
          <w:bCs/>
          <w:sz w:val="16"/>
          <w:szCs w:val="16"/>
        </w:rPr>
        <w:t>Resolutivo …………………………………………………………………………………</w:t>
      </w:r>
      <w:r w:rsidR="00957EB1" w:rsidRPr="00957EB1">
        <w:rPr>
          <w:rFonts w:ascii="Arial" w:eastAsia="Arial" w:hAnsi="Arial" w:cs="Arial"/>
          <w:b/>
          <w:bCs/>
          <w:sz w:val="16"/>
          <w:szCs w:val="16"/>
        </w:rPr>
        <w:t>...</w:t>
      </w:r>
      <w:r w:rsidRPr="00957EB1">
        <w:rPr>
          <w:rFonts w:ascii="Arial" w:eastAsia="Arial" w:hAnsi="Arial" w:cs="Arial"/>
          <w:b/>
          <w:bCs/>
          <w:sz w:val="16"/>
          <w:szCs w:val="16"/>
        </w:rPr>
        <w:t>……...</w:t>
      </w:r>
      <w:r w:rsidR="00957EB1" w:rsidRPr="00957EB1">
        <w:rPr>
          <w:rFonts w:ascii="Arial" w:eastAsia="Arial" w:hAnsi="Arial" w:cs="Arial"/>
          <w:b/>
          <w:bCs/>
          <w:sz w:val="16"/>
          <w:szCs w:val="16"/>
        </w:rPr>
        <w:t>......</w:t>
      </w:r>
      <w:r w:rsidRPr="00957EB1">
        <w:rPr>
          <w:rFonts w:ascii="Arial" w:eastAsia="Arial" w:hAnsi="Arial" w:cs="Arial"/>
          <w:b/>
          <w:bCs/>
          <w:sz w:val="16"/>
          <w:szCs w:val="16"/>
        </w:rPr>
        <w:t>16</w:t>
      </w:r>
    </w:p>
    <w:p w14:paraId="54E7D2D6" w14:textId="77777777" w:rsidR="00A714FF" w:rsidRDefault="00E27DA4">
      <w:pPr>
        <w:tabs>
          <w:tab w:val="left" w:pos="4320"/>
        </w:tabs>
        <w:spacing w:line="360" w:lineRule="auto"/>
        <w:ind w:right="2324"/>
        <w:rPr>
          <w:rFonts w:ascii="Arial" w:eastAsia="Arial" w:hAnsi="Arial" w:cs="Arial"/>
          <w:b/>
          <w:sz w:val="16"/>
          <w:szCs w:val="16"/>
        </w:rPr>
      </w:pPr>
      <w:r w:rsidRPr="00957EB1">
        <w:rPr>
          <w:rFonts w:ascii="Arial" w:eastAsia="Arial" w:hAnsi="Arial" w:cs="Arial"/>
          <w:b/>
          <w:sz w:val="16"/>
          <w:szCs w:val="16"/>
        </w:rPr>
        <w:t xml:space="preserve">                                                                                                   </w:t>
      </w:r>
    </w:p>
    <w:p w14:paraId="4D28DDBC" w14:textId="24C5D778" w:rsidR="00C300AB" w:rsidRDefault="00E27DA4" w:rsidP="00A714FF">
      <w:pPr>
        <w:tabs>
          <w:tab w:val="left" w:pos="4320"/>
        </w:tabs>
        <w:spacing w:line="360" w:lineRule="auto"/>
        <w:ind w:left="1985" w:right="2324"/>
        <w:jc w:val="center"/>
        <w:rPr>
          <w:rFonts w:ascii="Arial" w:eastAsia="Arial" w:hAnsi="Arial" w:cs="Arial"/>
          <w:b/>
          <w:sz w:val="16"/>
          <w:szCs w:val="16"/>
        </w:rPr>
      </w:pPr>
      <w:r w:rsidRPr="00957EB1">
        <w:rPr>
          <w:rFonts w:ascii="Arial" w:eastAsia="Arial" w:hAnsi="Arial" w:cs="Arial"/>
          <w:b/>
          <w:sz w:val="16"/>
          <w:szCs w:val="16"/>
        </w:rPr>
        <w:t>Glosario</w:t>
      </w:r>
    </w:p>
    <w:tbl>
      <w:tblPr>
        <w:tblStyle w:val="ad"/>
        <w:tblW w:w="6947" w:type="dxa"/>
        <w:jc w:val="center"/>
        <w:tblInd w:w="0" w:type="dxa"/>
        <w:tblLayout w:type="fixed"/>
        <w:tblLook w:val="0400" w:firstRow="0" w:lastRow="0" w:firstColumn="0" w:lastColumn="0" w:noHBand="0" w:noVBand="1"/>
      </w:tblPr>
      <w:tblGrid>
        <w:gridCol w:w="142"/>
        <w:gridCol w:w="1701"/>
        <w:gridCol w:w="142"/>
        <w:gridCol w:w="4962"/>
      </w:tblGrid>
      <w:tr w:rsidR="00C300AB" w14:paraId="20C57DDB" w14:textId="77777777" w:rsidTr="00957EB1">
        <w:trPr>
          <w:trHeight w:val="578"/>
          <w:jc w:val="center"/>
        </w:trPr>
        <w:tc>
          <w:tcPr>
            <w:tcW w:w="1843" w:type="dxa"/>
            <w:gridSpan w:val="2"/>
          </w:tcPr>
          <w:p w14:paraId="33CF5CA0" w14:textId="77777777" w:rsidR="00C300AB" w:rsidRDefault="00E27DA4">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Denunciante:</w:t>
            </w:r>
          </w:p>
          <w:p w14:paraId="3521431D" w14:textId="77777777" w:rsidR="00C300AB" w:rsidRDefault="00E27DA4">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 xml:space="preserve">Denunciados: </w:t>
            </w:r>
          </w:p>
          <w:p w14:paraId="581872F8" w14:textId="77777777" w:rsidR="00C300AB" w:rsidRDefault="00C300AB">
            <w:pPr>
              <w:tabs>
                <w:tab w:val="left" w:pos="4320"/>
              </w:tabs>
              <w:spacing w:line="276" w:lineRule="auto"/>
              <w:jc w:val="both"/>
              <w:rPr>
                <w:rFonts w:ascii="Arial" w:eastAsia="Arial" w:hAnsi="Arial" w:cs="Arial"/>
                <w:b/>
                <w:sz w:val="16"/>
                <w:szCs w:val="16"/>
              </w:rPr>
            </w:pPr>
          </w:p>
          <w:p w14:paraId="3CFF8037" w14:textId="77777777" w:rsidR="00C300AB" w:rsidRDefault="00C300AB">
            <w:pPr>
              <w:tabs>
                <w:tab w:val="left" w:pos="4320"/>
              </w:tabs>
              <w:spacing w:line="276" w:lineRule="auto"/>
              <w:jc w:val="both"/>
              <w:rPr>
                <w:rFonts w:ascii="Arial" w:eastAsia="Arial" w:hAnsi="Arial" w:cs="Arial"/>
                <w:b/>
                <w:sz w:val="16"/>
                <w:szCs w:val="16"/>
              </w:rPr>
            </w:pPr>
          </w:p>
          <w:p w14:paraId="30E69BF1" w14:textId="77777777" w:rsidR="00C300AB" w:rsidRDefault="00C300AB">
            <w:pPr>
              <w:tabs>
                <w:tab w:val="left" w:pos="4320"/>
              </w:tabs>
              <w:spacing w:line="276" w:lineRule="auto"/>
              <w:jc w:val="both"/>
              <w:rPr>
                <w:rFonts w:ascii="Arial" w:eastAsia="Arial" w:hAnsi="Arial" w:cs="Arial"/>
                <w:b/>
                <w:sz w:val="16"/>
                <w:szCs w:val="16"/>
              </w:rPr>
            </w:pPr>
          </w:p>
        </w:tc>
        <w:tc>
          <w:tcPr>
            <w:tcW w:w="5104" w:type="dxa"/>
            <w:gridSpan w:val="2"/>
          </w:tcPr>
          <w:p w14:paraId="19F93DDA" w14:textId="77777777" w:rsidR="00C300AB" w:rsidRDefault="00E27DA4">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lastRenderedPageBreak/>
              <w:t>Partido Acción Nacional.</w:t>
            </w:r>
          </w:p>
          <w:p w14:paraId="09C68ABF" w14:textId="77777777" w:rsidR="00C300AB" w:rsidRDefault="00E27DA4">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Nora Ruvalcaba Gámez, entonces candidata de Morena a la gubernatura del estado, el propio instituto político, así como a Aldo Emmanuel Ruiz Sánchez y Ana Laura Calzada Gómez.</w:t>
            </w:r>
          </w:p>
        </w:tc>
      </w:tr>
      <w:tr w:rsidR="00C300AB" w14:paraId="3120CE74" w14:textId="77777777" w:rsidTr="00957EB1">
        <w:trPr>
          <w:gridBefore w:val="1"/>
          <w:wBefore w:w="142" w:type="dxa"/>
          <w:trHeight w:val="129"/>
          <w:jc w:val="center"/>
        </w:trPr>
        <w:tc>
          <w:tcPr>
            <w:tcW w:w="1843" w:type="dxa"/>
            <w:gridSpan w:val="2"/>
          </w:tcPr>
          <w:p w14:paraId="537A0470" w14:textId="77777777" w:rsidR="00C300AB" w:rsidRDefault="00E27DA4">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Código Electoral:</w:t>
            </w:r>
          </w:p>
          <w:p w14:paraId="0B091A47" w14:textId="77777777" w:rsidR="00C300AB" w:rsidRDefault="00E27DA4">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Congreso Local:</w:t>
            </w:r>
          </w:p>
        </w:tc>
        <w:tc>
          <w:tcPr>
            <w:tcW w:w="4962" w:type="dxa"/>
          </w:tcPr>
          <w:p w14:paraId="7741C43F" w14:textId="77777777" w:rsidR="00C300AB" w:rsidRDefault="00E27DA4">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 xml:space="preserve">Código Electoral del Estado de Aguascalientes Consejo. </w:t>
            </w:r>
          </w:p>
          <w:p w14:paraId="31129668" w14:textId="77777777" w:rsidR="00C300AB" w:rsidRDefault="00E27DA4">
            <w:pPr>
              <w:rPr>
                <w:rFonts w:ascii="Arial" w:eastAsia="Arial" w:hAnsi="Arial" w:cs="Arial"/>
                <w:sz w:val="16"/>
                <w:szCs w:val="16"/>
              </w:rPr>
            </w:pPr>
            <w:r>
              <w:rPr>
                <w:rFonts w:ascii="Arial" w:eastAsia="Arial" w:hAnsi="Arial" w:cs="Arial"/>
                <w:sz w:val="16"/>
                <w:szCs w:val="16"/>
              </w:rPr>
              <w:t xml:space="preserve">Congreso del Estado de Aguascalientes. </w:t>
            </w:r>
          </w:p>
        </w:tc>
      </w:tr>
      <w:tr w:rsidR="00C300AB" w14:paraId="7780C35A" w14:textId="77777777" w:rsidTr="00957EB1">
        <w:trPr>
          <w:gridBefore w:val="1"/>
          <w:wBefore w:w="142" w:type="dxa"/>
          <w:trHeight w:val="184"/>
          <w:jc w:val="center"/>
        </w:trPr>
        <w:tc>
          <w:tcPr>
            <w:tcW w:w="1843" w:type="dxa"/>
            <w:gridSpan w:val="2"/>
          </w:tcPr>
          <w:p w14:paraId="529CF43B" w14:textId="77777777" w:rsidR="00C300AB" w:rsidRDefault="00E27DA4">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Consejo General:</w:t>
            </w:r>
          </w:p>
        </w:tc>
        <w:tc>
          <w:tcPr>
            <w:tcW w:w="4962" w:type="dxa"/>
          </w:tcPr>
          <w:p w14:paraId="6A526F32" w14:textId="77777777" w:rsidR="00C300AB" w:rsidRDefault="00E27DA4">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General del Instituto Estatal Electoral.</w:t>
            </w:r>
          </w:p>
        </w:tc>
      </w:tr>
      <w:tr w:rsidR="00C300AB" w14:paraId="19104E68" w14:textId="77777777" w:rsidTr="00957EB1">
        <w:trPr>
          <w:gridBefore w:val="1"/>
          <w:wBefore w:w="142" w:type="dxa"/>
          <w:trHeight w:val="184"/>
          <w:jc w:val="center"/>
        </w:trPr>
        <w:tc>
          <w:tcPr>
            <w:tcW w:w="1843" w:type="dxa"/>
            <w:gridSpan w:val="2"/>
          </w:tcPr>
          <w:p w14:paraId="21D34D02" w14:textId="77777777" w:rsidR="00C300AB" w:rsidRDefault="00E27DA4">
            <w:pPr>
              <w:spacing w:line="276" w:lineRule="auto"/>
              <w:jc w:val="both"/>
              <w:rPr>
                <w:rFonts w:ascii="Arial" w:eastAsia="Arial" w:hAnsi="Arial" w:cs="Arial"/>
                <w:b/>
                <w:sz w:val="16"/>
                <w:szCs w:val="16"/>
              </w:rPr>
            </w:pPr>
            <w:r>
              <w:rPr>
                <w:rFonts w:ascii="Arial" w:eastAsia="Arial" w:hAnsi="Arial" w:cs="Arial"/>
                <w:b/>
                <w:sz w:val="16"/>
                <w:szCs w:val="16"/>
              </w:rPr>
              <w:t>Instituto local:</w:t>
            </w:r>
          </w:p>
          <w:p w14:paraId="423DFC33" w14:textId="77777777" w:rsidR="00C300AB" w:rsidRDefault="00E27DA4">
            <w:pPr>
              <w:spacing w:line="276" w:lineRule="auto"/>
              <w:jc w:val="both"/>
              <w:rPr>
                <w:rFonts w:ascii="Arial" w:eastAsia="Arial" w:hAnsi="Arial" w:cs="Arial"/>
                <w:b/>
                <w:sz w:val="16"/>
                <w:szCs w:val="16"/>
              </w:rPr>
            </w:pPr>
            <w:r>
              <w:rPr>
                <w:rFonts w:ascii="Arial" w:eastAsia="Arial" w:hAnsi="Arial" w:cs="Arial"/>
                <w:b/>
                <w:sz w:val="16"/>
                <w:szCs w:val="16"/>
              </w:rPr>
              <w:t>LEGIPE:</w:t>
            </w:r>
          </w:p>
          <w:p w14:paraId="5F010C63" w14:textId="77777777" w:rsidR="00C300AB" w:rsidRDefault="00E27DA4">
            <w:pPr>
              <w:spacing w:line="276" w:lineRule="auto"/>
              <w:jc w:val="both"/>
              <w:rPr>
                <w:rFonts w:ascii="Arial" w:eastAsia="Arial" w:hAnsi="Arial" w:cs="Arial"/>
                <w:b/>
                <w:sz w:val="16"/>
                <w:szCs w:val="16"/>
              </w:rPr>
            </w:pPr>
            <w:r>
              <w:rPr>
                <w:rFonts w:ascii="Arial" w:eastAsia="Arial" w:hAnsi="Arial" w:cs="Arial"/>
                <w:b/>
                <w:sz w:val="16"/>
                <w:szCs w:val="16"/>
              </w:rPr>
              <w:t>Morena:</w:t>
            </w:r>
          </w:p>
        </w:tc>
        <w:tc>
          <w:tcPr>
            <w:tcW w:w="4962" w:type="dxa"/>
          </w:tcPr>
          <w:p w14:paraId="46452654" w14:textId="77777777" w:rsidR="00C300AB" w:rsidRDefault="00E27DA4">
            <w:pPr>
              <w:spacing w:line="276" w:lineRule="auto"/>
              <w:ind w:right="-95"/>
              <w:jc w:val="both"/>
              <w:rPr>
                <w:rFonts w:ascii="Arial" w:eastAsia="Arial" w:hAnsi="Arial" w:cs="Arial"/>
                <w:sz w:val="16"/>
                <w:szCs w:val="16"/>
              </w:rPr>
            </w:pPr>
            <w:r>
              <w:rPr>
                <w:rFonts w:ascii="Arial" w:eastAsia="Arial" w:hAnsi="Arial" w:cs="Arial"/>
                <w:sz w:val="16"/>
                <w:szCs w:val="16"/>
              </w:rPr>
              <w:t>Instituto Estatal Electoral de Aguascalientes.</w:t>
            </w:r>
          </w:p>
          <w:p w14:paraId="65DC41B9" w14:textId="77777777" w:rsidR="00C300AB" w:rsidRDefault="00E27DA4">
            <w:pPr>
              <w:spacing w:line="276" w:lineRule="auto"/>
              <w:ind w:right="-95"/>
              <w:jc w:val="both"/>
              <w:rPr>
                <w:rFonts w:ascii="Arial" w:eastAsia="Arial" w:hAnsi="Arial" w:cs="Arial"/>
                <w:sz w:val="16"/>
                <w:szCs w:val="16"/>
              </w:rPr>
            </w:pPr>
            <w:r>
              <w:rPr>
                <w:rFonts w:ascii="Arial" w:eastAsia="Arial" w:hAnsi="Arial" w:cs="Arial"/>
                <w:sz w:val="16"/>
                <w:szCs w:val="16"/>
              </w:rPr>
              <w:t>Ley General de Instituciones y Procedimientos Electorales.</w:t>
            </w:r>
          </w:p>
          <w:p w14:paraId="4DD254E9" w14:textId="77777777" w:rsidR="00C300AB" w:rsidRDefault="00E27DA4">
            <w:pPr>
              <w:spacing w:line="276" w:lineRule="auto"/>
              <w:ind w:right="-95"/>
              <w:jc w:val="both"/>
              <w:rPr>
                <w:rFonts w:ascii="Arial" w:eastAsia="Arial" w:hAnsi="Arial" w:cs="Arial"/>
                <w:sz w:val="16"/>
                <w:szCs w:val="16"/>
              </w:rPr>
            </w:pPr>
            <w:r>
              <w:rPr>
                <w:rFonts w:ascii="Arial" w:eastAsia="Arial" w:hAnsi="Arial" w:cs="Arial"/>
                <w:sz w:val="16"/>
                <w:szCs w:val="16"/>
              </w:rPr>
              <w:t xml:space="preserve">Movimiento de Regeneración Nacional. </w:t>
            </w:r>
          </w:p>
        </w:tc>
      </w:tr>
      <w:tr w:rsidR="00C300AB" w14:paraId="1E80C56A" w14:textId="77777777" w:rsidTr="00957EB1">
        <w:trPr>
          <w:gridBefore w:val="1"/>
          <w:wBefore w:w="142" w:type="dxa"/>
          <w:trHeight w:val="184"/>
          <w:jc w:val="center"/>
        </w:trPr>
        <w:tc>
          <w:tcPr>
            <w:tcW w:w="1843" w:type="dxa"/>
            <w:gridSpan w:val="2"/>
          </w:tcPr>
          <w:p w14:paraId="219CA481" w14:textId="77777777" w:rsidR="00C300AB" w:rsidRDefault="00E27DA4">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PAN:</w:t>
            </w:r>
          </w:p>
          <w:p w14:paraId="115FAF99" w14:textId="77777777" w:rsidR="00C300AB" w:rsidRDefault="00C300AB">
            <w:pPr>
              <w:spacing w:line="276" w:lineRule="auto"/>
              <w:jc w:val="both"/>
              <w:rPr>
                <w:rFonts w:ascii="Arial" w:eastAsia="Arial" w:hAnsi="Arial" w:cs="Arial"/>
                <w:b/>
                <w:sz w:val="16"/>
                <w:szCs w:val="16"/>
              </w:rPr>
            </w:pPr>
          </w:p>
        </w:tc>
        <w:tc>
          <w:tcPr>
            <w:tcW w:w="4962" w:type="dxa"/>
          </w:tcPr>
          <w:p w14:paraId="1EE0460B" w14:textId="77777777" w:rsidR="00C300AB" w:rsidRDefault="00E27DA4">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Partido Acción Nacional.</w:t>
            </w:r>
          </w:p>
          <w:p w14:paraId="1CEBD616" w14:textId="77777777" w:rsidR="00C300AB" w:rsidRDefault="00C300AB">
            <w:pPr>
              <w:spacing w:line="276" w:lineRule="auto"/>
              <w:ind w:right="-95"/>
              <w:jc w:val="both"/>
              <w:rPr>
                <w:rFonts w:ascii="Arial" w:eastAsia="Arial" w:hAnsi="Arial" w:cs="Arial"/>
                <w:sz w:val="16"/>
                <w:szCs w:val="16"/>
              </w:rPr>
            </w:pPr>
          </w:p>
        </w:tc>
      </w:tr>
    </w:tbl>
    <w:p w14:paraId="4D22288E" w14:textId="77777777" w:rsidR="00C300AB" w:rsidRDefault="00C300AB">
      <w:pPr>
        <w:pBdr>
          <w:top w:val="nil"/>
          <w:left w:val="nil"/>
          <w:bottom w:val="nil"/>
          <w:right w:val="nil"/>
          <w:between w:val="nil"/>
        </w:pBdr>
        <w:rPr>
          <w:color w:val="000000"/>
        </w:rPr>
      </w:pPr>
    </w:p>
    <w:p w14:paraId="327AC081" w14:textId="77777777" w:rsidR="00C300AB" w:rsidRDefault="00E27DA4">
      <w:pPr>
        <w:numPr>
          <w:ilvl w:val="0"/>
          <w:numId w:val="7"/>
        </w:numPr>
        <w:pBdr>
          <w:top w:val="nil"/>
          <w:left w:val="nil"/>
          <w:bottom w:val="nil"/>
          <w:right w:val="nil"/>
          <w:between w:val="nil"/>
        </w:pBdr>
        <w:tabs>
          <w:tab w:val="left" w:pos="284"/>
        </w:tabs>
        <w:spacing w:line="360" w:lineRule="auto"/>
        <w:ind w:left="425" w:right="36" w:hanging="425"/>
        <w:jc w:val="both"/>
        <w:rPr>
          <w:rFonts w:ascii="Arial" w:eastAsia="Arial" w:hAnsi="Arial" w:cs="Arial"/>
          <w:color w:val="000000"/>
          <w:sz w:val="24"/>
          <w:szCs w:val="24"/>
        </w:rPr>
      </w:pPr>
      <w:r>
        <w:rPr>
          <w:rFonts w:ascii="Arial" w:eastAsia="Arial" w:hAnsi="Arial" w:cs="Arial"/>
          <w:b/>
          <w:color w:val="000000"/>
          <w:sz w:val="24"/>
          <w:szCs w:val="24"/>
        </w:rPr>
        <w:t>Contexto del caso</w:t>
      </w:r>
      <w:r>
        <w:rPr>
          <w:rFonts w:ascii="Arial" w:eastAsia="Arial" w:hAnsi="Arial" w:cs="Arial"/>
          <w:b/>
          <w:color w:val="000000"/>
          <w:sz w:val="24"/>
          <w:szCs w:val="24"/>
          <w:vertAlign w:val="superscript"/>
        </w:rPr>
        <w:footnoteReference w:id="2"/>
      </w:r>
    </w:p>
    <w:p w14:paraId="2A37E470" w14:textId="77777777" w:rsidR="00C300AB" w:rsidRDefault="00C300AB">
      <w:pPr>
        <w:pBdr>
          <w:top w:val="nil"/>
          <w:left w:val="nil"/>
          <w:bottom w:val="nil"/>
          <w:right w:val="nil"/>
          <w:between w:val="nil"/>
        </w:pBdr>
        <w:rPr>
          <w:color w:val="000000"/>
        </w:rPr>
      </w:pPr>
    </w:p>
    <w:p w14:paraId="3D4372C8" w14:textId="77777777" w:rsidR="00C300AB" w:rsidRDefault="00E27DA4">
      <w:pPr>
        <w:tabs>
          <w:tab w:val="left" w:pos="284"/>
        </w:tabs>
        <w:spacing w:line="360" w:lineRule="auto"/>
        <w:jc w:val="both"/>
        <w:rPr>
          <w:rFonts w:ascii="Arial" w:eastAsia="Arial" w:hAnsi="Arial" w:cs="Arial"/>
          <w:sz w:val="24"/>
          <w:szCs w:val="24"/>
        </w:rPr>
      </w:pPr>
      <w:r>
        <w:rPr>
          <w:rFonts w:ascii="Arial" w:eastAsia="Arial" w:hAnsi="Arial" w:cs="Arial"/>
          <w:b/>
          <w:sz w:val="24"/>
          <w:szCs w:val="24"/>
        </w:rPr>
        <w:t>1. PEL (2021-2022).</w:t>
      </w:r>
      <w:r>
        <w:rPr>
          <w:rFonts w:ascii="Arial" w:eastAsia="Arial" w:hAnsi="Arial" w:cs="Arial"/>
          <w:sz w:val="24"/>
          <w:szCs w:val="24"/>
        </w:rPr>
        <w:t xml:space="preserve"> El 7 de octubre de 2021, inició el proceso electoral local para renovar la gubernatura del estado de Aguascalientes.</w:t>
      </w:r>
      <w:r>
        <w:rPr>
          <w:rFonts w:ascii="Arial" w:eastAsia="Arial" w:hAnsi="Arial" w:cs="Arial"/>
          <w:sz w:val="24"/>
          <w:szCs w:val="24"/>
          <w:vertAlign w:val="superscript"/>
        </w:rPr>
        <w:footnoteReference w:id="3"/>
      </w:r>
    </w:p>
    <w:p w14:paraId="5F97312E" w14:textId="77777777" w:rsidR="00C300AB" w:rsidRDefault="00C300AB">
      <w:pPr>
        <w:pBdr>
          <w:top w:val="nil"/>
          <w:left w:val="nil"/>
          <w:bottom w:val="nil"/>
          <w:right w:val="nil"/>
          <w:between w:val="nil"/>
        </w:pBdr>
        <w:rPr>
          <w:color w:val="000000"/>
        </w:rPr>
      </w:pPr>
    </w:p>
    <w:p w14:paraId="46469956" w14:textId="77777777" w:rsidR="00C300AB" w:rsidRDefault="00E27DA4">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bookmarkStart w:id="2" w:name="_heading=h.1fob9te" w:colFirst="0" w:colLast="0"/>
      <w:bookmarkEnd w:id="2"/>
      <w:r>
        <w:rPr>
          <w:rFonts w:ascii="Arial" w:eastAsia="Arial" w:hAnsi="Arial" w:cs="Arial"/>
          <w:b/>
          <w:sz w:val="24"/>
          <w:szCs w:val="24"/>
        </w:rPr>
        <w:t xml:space="preserve">2. Denuncia. </w:t>
      </w:r>
      <w:r>
        <w:rPr>
          <w:rFonts w:ascii="Arial" w:eastAsia="Arial" w:hAnsi="Arial" w:cs="Arial"/>
          <w:sz w:val="24"/>
          <w:szCs w:val="24"/>
        </w:rPr>
        <w:t>El 5 de junio, e</w:t>
      </w:r>
      <w:r>
        <w:rPr>
          <w:rFonts w:ascii="Arial" w:eastAsia="Arial" w:hAnsi="Arial" w:cs="Arial"/>
          <w:color w:val="000000"/>
          <w:sz w:val="24"/>
          <w:szCs w:val="24"/>
        </w:rPr>
        <w:t xml:space="preserve">l PAN presentó dos quejas ante el Instituto Local, en contra de: </w:t>
      </w:r>
      <w:r>
        <w:rPr>
          <w:rFonts w:ascii="Arial" w:eastAsia="Arial" w:hAnsi="Arial" w:cs="Arial"/>
          <w:b/>
          <w:i/>
          <w:sz w:val="24"/>
          <w:szCs w:val="24"/>
        </w:rPr>
        <w:t>i)</w:t>
      </w:r>
      <w:r>
        <w:rPr>
          <w:rFonts w:ascii="Arial" w:eastAsia="Arial" w:hAnsi="Arial" w:cs="Arial"/>
          <w:sz w:val="24"/>
          <w:szCs w:val="24"/>
        </w:rPr>
        <w:t xml:space="preserve"> el ciudadano Aldo Emmanuel Ruiz Sánchez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Ana Laura Gómez Calzada, en su carácter de Diputada Local, respectivamente, así como de </w:t>
      </w:r>
      <w:proofErr w:type="spellStart"/>
      <w:r>
        <w:rPr>
          <w:rFonts w:ascii="Arial" w:eastAsia="Arial" w:hAnsi="Arial" w:cs="Arial"/>
          <w:b/>
          <w:i/>
          <w:color w:val="000000"/>
          <w:sz w:val="24"/>
          <w:szCs w:val="24"/>
        </w:rPr>
        <w:t>iii</w:t>
      </w:r>
      <w:proofErr w:type="spellEnd"/>
      <w:r>
        <w:rPr>
          <w:rFonts w:ascii="Arial" w:eastAsia="Arial" w:hAnsi="Arial" w:cs="Arial"/>
          <w:b/>
          <w:i/>
          <w:color w:val="000000"/>
          <w:sz w:val="24"/>
          <w:szCs w:val="24"/>
        </w:rPr>
        <w:t xml:space="preserve">) </w:t>
      </w:r>
      <w:r>
        <w:rPr>
          <w:rFonts w:ascii="Arial" w:eastAsia="Arial" w:hAnsi="Arial" w:cs="Arial"/>
          <w:color w:val="000000"/>
          <w:sz w:val="24"/>
          <w:szCs w:val="24"/>
        </w:rPr>
        <w:t>Nora Ruvalcaba Gámez, entonces candidata de Morena a la gubernatura de la entidad</w:t>
      </w:r>
      <w:r>
        <w:rPr>
          <w:rFonts w:ascii="Arial" w:eastAsia="Arial" w:hAnsi="Arial" w:cs="Arial"/>
          <w:sz w:val="24"/>
          <w:szCs w:val="24"/>
        </w:rPr>
        <w:t xml:space="preserve">, por la supuesta vulneración a los principios de equidad, imparcialidad y neutralidad en la contienda, derivado del uso indebido de recursos públicos así como coacción en el voto de la ciudadanía en favor de la candidata cuestionada. A su vez, denunció a Morena por culpa </w:t>
      </w:r>
      <w:r>
        <w:rPr>
          <w:rFonts w:ascii="Arial" w:eastAsia="Arial" w:hAnsi="Arial" w:cs="Arial"/>
          <w:i/>
          <w:sz w:val="24"/>
          <w:szCs w:val="24"/>
        </w:rPr>
        <w:t>in vigilando</w:t>
      </w:r>
      <w:r>
        <w:rPr>
          <w:rFonts w:ascii="Arial" w:eastAsia="Arial" w:hAnsi="Arial" w:cs="Arial"/>
          <w:sz w:val="24"/>
          <w:szCs w:val="24"/>
        </w:rPr>
        <w:t>. Asimismo, solicitó la adopción de medidas cautelares.</w:t>
      </w:r>
    </w:p>
    <w:p w14:paraId="1D755A1A" w14:textId="77777777" w:rsidR="00C300AB" w:rsidRDefault="00C300AB">
      <w:pPr>
        <w:pBdr>
          <w:top w:val="nil"/>
          <w:left w:val="nil"/>
          <w:bottom w:val="nil"/>
          <w:right w:val="nil"/>
          <w:between w:val="nil"/>
        </w:pBdr>
        <w:rPr>
          <w:color w:val="000000"/>
        </w:rPr>
      </w:pPr>
    </w:p>
    <w:p w14:paraId="3A0E5377" w14:textId="77777777" w:rsidR="00C300AB" w:rsidRDefault="00E27DA4">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3. Radicación, acumulación y admisión (IEE/PES/102/2022 y acumulado).</w:t>
      </w:r>
      <w:r>
        <w:rPr>
          <w:rFonts w:ascii="Arial" w:eastAsia="Arial" w:hAnsi="Arial" w:cs="Arial"/>
          <w:sz w:val="24"/>
          <w:szCs w:val="24"/>
        </w:rPr>
        <w:t xml:space="preserve"> Al día siguiente,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radicó las quejas con los números de expediente IEE/PES/102/2022 e IEE/PES/103/2022; acto seguido, determinó su acumulación al advertir la conexidad en la causa, dada la coincidencia de los hechos denunciados y en la mayoría de los sujetos involucrados. El 10 del mismo mes, la admitió a trámite y, además, fijó fecha para la celebración de la audiencia de pruebas y alegatos.  </w:t>
      </w:r>
    </w:p>
    <w:p w14:paraId="52A4C2AA" w14:textId="77777777" w:rsidR="00C300AB" w:rsidRDefault="00C300AB">
      <w:pPr>
        <w:pBdr>
          <w:top w:val="nil"/>
          <w:left w:val="nil"/>
          <w:bottom w:val="nil"/>
          <w:right w:val="nil"/>
          <w:between w:val="nil"/>
        </w:pBdr>
        <w:tabs>
          <w:tab w:val="left" w:pos="567"/>
        </w:tabs>
        <w:ind w:right="36"/>
        <w:jc w:val="both"/>
        <w:rPr>
          <w:rFonts w:ascii="Arial" w:eastAsia="Arial" w:hAnsi="Arial" w:cs="Arial"/>
          <w:sz w:val="24"/>
          <w:szCs w:val="24"/>
        </w:rPr>
      </w:pPr>
    </w:p>
    <w:p w14:paraId="15CCC3B6" w14:textId="370C8ED5" w:rsidR="00C300AB" w:rsidRDefault="00E27DA4">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957EB1">
        <w:rPr>
          <w:rFonts w:ascii="Arial" w:eastAsia="Arial" w:hAnsi="Arial" w:cs="Arial"/>
          <w:b/>
          <w:sz w:val="24"/>
          <w:szCs w:val="24"/>
        </w:rPr>
        <w:t>4. Valoración de las medidas cautelares.</w:t>
      </w:r>
      <w:r w:rsidRPr="00957EB1">
        <w:rPr>
          <w:rFonts w:ascii="Arial" w:eastAsia="Arial" w:hAnsi="Arial" w:cs="Arial"/>
          <w:sz w:val="24"/>
          <w:szCs w:val="24"/>
        </w:rPr>
        <w:t xml:space="preserve"> El </w:t>
      </w:r>
      <w:r w:rsidR="005A44F9">
        <w:rPr>
          <w:rFonts w:ascii="Arial" w:eastAsia="Arial" w:hAnsi="Arial" w:cs="Arial"/>
          <w:sz w:val="24"/>
          <w:szCs w:val="24"/>
        </w:rPr>
        <w:t>13</w:t>
      </w:r>
      <w:r>
        <w:rPr>
          <w:rFonts w:ascii="Arial" w:eastAsia="Arial" w:hAnsi="Arial" w:cs="Arial"/>
          <w:sz w:val="24"/>
          <w:szCs w:val="24"/>
        </w:rPr>
        <w:t xml:space="preserve"> del mismo mes,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determinó no proponer a la Comisión de Quejas y Denuncias, la adopción de las medidas cautelares solicitadas por el quejoso, en atención a que al momento de su valoración, no existía afectación alguna a un bien jurídico, dado que ya había concluido la etapa de la jornada electoral. </w:t>
      </w:r>
    </w:p>
    <w:p w14:paraId="6B7CC953" w14:textId="77777777" w:rsidR="00C300AB" w:rsidRDefault="00C300AB">
      <w:pPr>
        <w:pBdr>
          <w:top w:val="nil"/>
          <w:left w:val="nil"/>
          <w:bottom w:val="nil"/>
          <w:right w:val="nil"/>
          <w:between w:val="nil"/>
        </w:pBdr>
        <w:rPr>
          <w:color w:val="000000"/>
        </w:rPr>
      </w:pPr>
    </w:p>
    <w:p w14:paraId="2D445570" w14:textId="77777777" w:rsidR="00C300AB" w:rsidRDefault="00E27DA4">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5. Audiencia de pruebas y alegatos, y remisión del expediente.</w:t>
      </w:r>
      <w:r>
        <w:rPr>
          <w:rFonts w:ascii="Arial" w:eastAsia="Arial" w:hAnsi="Arial" w:cs="Arial"/>
          <w:sz w:val="24"/>
          <w:szCs w:val="24"/>
        </w:rPr>
        <w:t xml:space="preserve"> El 25 de junio, la Secretaría Ejecutiva celebró la audiencia de pruebas y alegatos, y a su vez, rindió el informe circunstanciado. Posterior a ello, remitió el expediente a este Tribunal. </w:t>
      </w:r>
    </w:p>
    <w:p w14:paraId="318E6CE6" w14:textId="77777777" w:rsidR="00C300AB" w:rsidRDefault="00C300AB">
      <w:pPr>
        <w:pBdr>
          <w:top w:val="nil"/>
          <w:left w:val="nil"/>
          <w:bottom w:val="nil"/>
          <w:right w:val="nil"/>
          <w:between w:val="nil"/>
        </w:pBdr>
        <w:rPr>
          <w:color w:val="000000"/>
        </w:rPr>
      </w:pPr>
    </w:p>
    <w:p w14:paraId="3FF48AC6" w14:textId="77777777" w:rsidR="00C300AB" w:rsidRDefault="00E27DA4">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6. Turno y radicación del expediente (TEEA-PES-074/2022).</w:t>
      </w:r>
      <w:r>
        <w:rPr>
          <w:rFonts w:ascii="Arial" w:eastAsia="Arial" w:hAnsi="Arial" w:cs="Arial"/>
          <w:sz w:val="24"/>
          <w:szCs w:val="24"/>
        </w:rPr>
        <w:t xml:space="preserve"> En misma fecha, la Magistrada </w:t>
      </w:r>
      <w:proofErr w:type="gramStart"/>
      <w:r>
        <w:rPr>
          <w:rFonts w:ascii="Arial" w:eastAsia="Arial" w:hAnsi="Arial" w:cs="Arial"/>
          <w:sz w:val="24"/>
          <w:szCs w:val="24"/>
        </w:rPr>
        <w:t>Presidenta</w:t>
      </w:r>
      <w:proofErr w:type="gramEnd"/>
      <w:r>
        <w:rPr>
          <w:rFonts w:ascii="Arial" w:eastAsia="Arial" w:hAnsi="Arial" w:cs="Arial"/>
          <w:sz w:val="24"/>
          <w:szCs w:val="24"/>
        </w:rPr>
        <w:t xml:space="preserve"> ordenó el registro del asunto con el número de expediente TEEA-</w:t>
      </w:r>
      <w:r>
        <w:rPr>
          <w:rFonts w:ascii="Arial" w:eastAsia="Arial" w:hAnsi="Arial" w:cs="Arial"/>
          <w:sz w:val="24"/>
          <w:szCs w:val="24"/>
        </w:rPr>
        <w:lastRenderedPageBreak/>
        <w:t>PES-074/2022 y lo turnó a la Ponencia de la Magistrada Laura Hortensia Llamas Hernández, quien en su oportunidad lo radicó, y al no existir ningún trámite pendiente, ordenó la formulación del proyecto.</w:t>
      </w:r>
      <w:r>
        <w:rPr>
          <w:rFonts w:ascii="Arial" w:eastAsia="Arial" w:hAnsi="Arial" w:cs="Arial"/>
          <w:sz w:val="24"/>
          <w:szCs w:val="24"/>
          <w:vertAlign w:val="superscript"/>
        </w:rPr>
        <w:footnoteReference w:id="4"/>
      </w:r>
    </w:p>
    <w:p w14:paraId="237C91E4" w14:textId="77777777" w:rsidR="00C300AB" w:rsidRDefault="00C300AB">
      <w:pPr>
        <w:pBdr>
          <w:top w:val="nil"/>
          <w:left w:val="nil"/>
          <w:bottom w:val="nil"/>
          <w:right w:val="nil"/>
          <w:between w:val="nil"/>
        </w:pBdr>
        <w:rPr>
          <w:color w:val="000000"/>
        </w:rPr>
      </w:pPr>
    </w:p>
    <w:p w14:paraId="7CF5A7FF" w14:textId="77777777" w:rsidR="00C300AB" w:rsidRDefault="00E27DA4">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b/>
          <w:sz w:val="24"/>
          <w:szCs w:val="24"/>
        </w:rPr>
        <w:t xml:space="preserve">II. Competencia. </w:t>
      </w:r>
      <w:r>
        <w:rPr>
          <w:rFonts w:ascii="Arial" w:eastAsia="Arial" w:hAnsi="Arial" w:cs="Arial"/>
          <w:sz w:val="24"/>
          <w:szCs w:val="24"/>
        </w:rPr>
        <w:t xml:space="preserve">Este Tribunal Electoral es competente para resolver el presente procedimiento especial sancionador, porque se relaciona con la posible vulneración a los principios de equidad, neutralidad e imparcialidad en la contienda, obligación que se encuentra prevista en el artículo 248, fracción III, del Código Electoral, en relación con el diverso 134 de la Constitución general, por el supuesto uso indebido de recursos públicos derivado de la asistencia de una serie de servidores públicos, a actos proselitistas en días y horas hábiles, en favor de la entonces candidata Nora Ruvalcaba Gámez. Lo anterior, de conformidad con los artículos 252, fracción II, 268, fracción I, 274 y 275 del Código Electoral. </w:t>
      </w:r>
    </w:p>
    <w:p w14:paraId="773AEF79" w14:textId="77777777" w:rsidR="00C300AB" w:rsidRDefault="00C300AB">
      <w:pPr>
        <w:pBdr>
          <w:top w:val="nil"/>
          <w:left w:val="nil"/>
          <w:bottom w:val="nil"/>
          <w:right w:val="nil"/>
          <w:between w:val="nil"/>
        </w:pBdr>
        <w:rPr>
          <w:color w:val="000000"/>
        </w:rPr>
      </w:pPr>
    </w:p>
    <w:p w14:paraId="2B01EF51" w14:textId="77777777" w:rsidR="00C300AB" w:rsidRDefault="00E27DA4">
      <w:pPr>
        <w:numPr>
          <w:ilvl w:val="0"/>
          <w:numId w:val="4"/>
        </w:numPr>
        <w:pBdr>
          <w:top w:val="nil"/>
          <w:left w:val="nil"/>
          <w:bottom w:val="nil"/>
          <w:right w:val="nil"/>
          <w:between w:val="nil"/>
        </w:pBdr>
        <w:tabs>
          <w:tab w:val="left" w:pos="426"/>
        </w:tabs>
        <w:spacing w:line="360" w:lineRule="auto"/>
        <w:ind w:left="0" w:right="36" w:hanging="11"/>
        <w:jc w:val="both"/>
        <w:rPr>
          <w:rFonts w:ascii="Arial" w:eastAsia="Arial" w:hAnsi="Arial" w:cs="Arial"/>
          <w:color w:val="000000"/>
          <w:sz w:val="24"/>
          <w:szCs w:val="24"/>
        </w:rPr>
      </w:pPr>
      <w:r>
        <w:rPr>
          <w:rFonts w:ascii="Arial" w:eastAsia="Arial" w:hAnsi="Arial" w:cs="Arial"/>
          <w:b/>
          <w:color w:val="000000"/>
          <w:sz w:val="24"/>
          <w:szCs w:val="24"/>
        </w:rPr>
        <w:t xml:space="preserve">Personería. </w:t>
      </w:r>
      <w:r>
        <w:rPr>
          <w:rFonts w:ascii="Arial" w:eastAsia="Arial" w:hAnsi="Arial" w:cs="Arial"/>
          <w:color w:val="000000"/>
          <w:sz w:val="24"/>
          <w:szCs w:val="24"/>
        </w:rPr>
        <w:t>La autoridad instructora tuvo por acreditada la personería del denunciante y los denunciados.</w:t>
      </w:r>
    </w:p>
    <w:p w14:paraId="0446C1BC" w14:textId="77777777" w:rsidR="00C300AB" w:rsidRDefault="00C300AB">
      <w:pPr>
        <w:pBdr>
          <w:top w:val="nil"/>
          <w:left w:val="nil"/>
          <w:bottom w:val="nil"/>
          <w:right w:val="nil"/>
          <w:between w:val="nil"/>
        </w:pBdr>
        <w:rPr>
          <w:color w:val="000000"/>
        </w:rPr>
      </w:pPr>
    </w:p>
    <w:p w14:paraId="2982EB77" w14:textId="77777777" w:rsidR="00C300AB" w:rsidRDefault="00E27DA4">
      <w:pPr>
        <w:numPr>
          <w:ilvl w:val="0"/>
          <w:numId w:val="4"/>
        </w:numPr>
        <w:pBdr>
          <w:top w:val="nil"/>
          <w:left w:val="nil"/>
          <w:bottom w:val="nil"/>
          <w:right w:val="nil"/>
          <w:between w:val="nil"/>
        </w:pBdr>
        <w:tabs>
          <w:tab w:val="left" w:pos="426"/>
        </w:tabs>
        <w:spacing w:line="360" w:lineRule="auto"/>
        <w:ind w:left="0" w:right="36" w:hanging="11"/>
        <w:jc w:val="both"/>
        <w:rPr>
          <w:rFonts w:ascii="Arial" w:eastAsia="Arial" w:hAnsi="Arial" w:cs="Arial"/>
          <w:color w:val="000000"/>
          <w:sz w:val="24"/>
          <w:szCs w:val="24"/>
        </w:rPr>
      </w:pPr>
      <w:r>
        <w:rPr>
          <w:rFonts w:ascii="Arial" w:eastAsia="Arial" w:hAnsi="Arial" w:cs="Arial"/>
          <w:b/>
          <w:color w:val="000000"/>
          <w:sz w:val="24"/>
          <w:szCs w:val="24"/>
        </w:rPr>
        <w:t>Causales de improcedencia.</w:t>
      </w:r>
      <w:r>
        <w:rPr>
          <w:rFonts w:ascii="Arial" w:eastAsia="Arial" w:hAnsi="Arial" w:cs="Arial"/>
          <w:color w:val="000000"/>
          <w:sz w:val="24"/>
          <w:szCs w:val="24"/>
        </w:rPr>
        <w:t xml:space="preserve"> Las partes denunciadas, en sus escritos de contestación, refieren que la denuncia presentada en su contra es </w:t>
      </w:r>
      <w:r>
        <w:rPr>
          <w:rFonts w:ascii="Arial" w:eastAsia="Arial" w:hAnsi="Arial" w:cs="Arial"/>
          <w:b/>
          <w:color w:val="000000"/>
          <w:sz w:val="24"/>
          <w:szCs w:val="24"/>
        </w:rPr>
        <w:t xml:space="preserve">frívola </w:t>
      </w:r>
      <w:r>
        <w:rPr>
          <w:rFonts w:ascii="Arial" w:eastAsia="Arial" w:hAnsi="Arial" w:cs="Arial"/>
          <w:color w:val="000000"/>
          <w:sz w:val="24"/>
          <w:szCs w:val="24"/>
        </w:rPr>
        <w:t>y</w:t>
      </w:r>
      <w:r>
        <w:rPr>
          <w:rFonts w:ascii="Arial" w:eastAsia="Arial" w:hAnsi="Arial" w:cs="Arial"/>
          <w:b/>
          <w:color w:val="000000"/>
          <w:sz w:val="24"/>
          <w:szCs w:val="24"/>
        </w:rPr>
        <w:t xml:space="preserve"> oscura</w:t>
      </w:r>
      <w:r>
        <w:rPr>
          <w:rFonts w:ascii="Arial" w:eastAsia="Arial" w:hAnsi="Arial" w:cs="Arial"/>
          <w:color w:val="000000"/>
          <w:sz w:val="24"/>
          <w:szCs w:val="24"/>
        </w:rPr>
        <w:t>, ya que no se ofrecieron elementos de prueba que permitan acreditar los hechos denunciados.</w:t>
      </w:r>
    </w:p>
    <w:p w14:paraId="1E90077A" w14:textId="77777777" w:rsidR="00C300AB" w:rsidRDefault="00C300AB">
      <w:pPr>
        <w:pBdr>
          <w:top w:val="nil"/>
          <w:left w:val="nil"/>
          <w:bottom w:val="nil"/>
          <w:right w:val="nil"/>
          <w:between w:val="nil"/>
        </w:pBdr>
        <w:rPr>
          <w:color w:val="000000"/>
        </w:rPr>
      </w:pPr>
    </w:p>
    <w:p w14:paraId="167BA598" w14:textId="77777777" w:rsidR="00C300AB" w:rsidRDefault="00E27DA4">
      <w:pPr>
        <w:spacing w:line="360" w:lineRule="auto"/>
        <w:ind w:right="36"/>
        <w:jc w:val="both"/>
        <w:rPr>
          <w:sz w:val="24"/>
          <w:szCs w:val="24"/>
        </w:rPr>
      </w:pPr>
      <w:r>
        <w:rPr>
          <w:rFonts w:ascii="Arial" w:eastAsia="Arial" w:hAnsi="Arial" w:cs="Arial"/>
          <w:color w:val="000000"/>
          <w:sz w:val="24"/>
          <w:szCs w:val="24"/>
        </w:rPr>
        <w:t>El artículo 270, fracción V, del Código Electoral establece que la denuncia se desechará de plano, cuando sea evidentemente frívola. Esta causal se actualiza cuando de la denuncia se advierta que las pretensiones de la parte quejosa no podrían lograrse jurídicamente, por no estar al alcance del derecho o bien, que no existan pruebas que sirvan para acreditar la infracción.</w:t>
      </w:r>
    </w:p>
    <w:p w14:paraId="208C7CA1" w14:textId="77777777" w:rsidR="00C300AB" w:rsidRDefault="00E27DA4">
      <w:pPr>
        <w:spacing w:before="240" w:line="360" w:lineRule="auto"/>
        <w:ind w:right="40"/>
        <w:jc w:val="both"/>
        <w:rPr>
          <w:rFonts w:ascii="Arial" w:eastAsia="Arial" w:hAnsi="Arial" w:cs="Arial"/>
          <w:color w:val="000000"/>
          <w:sz w:val="24"/>
          <w:szCs w:val="24"/>
        </w:rPr>
      </w:pPr>
      <w:r>
        <w:rPr>
          <w:rFonts w:ascii="Arial" w:eastAsia="Arial" w:hAnsi="Arial" w:cs="Arial"/>
          <w:color w:val="000000"/>
          <w:sz w:val="24"/>
          <w:szCs w:val="24"/>
        </w:rPr>
        <w:t>Al respecto, este Tribunal considera que del escrito de la denuncia y de las constancias del expediente, se advierte que el denunciante señaló los hechos y las infracciones que, a su criterio se acreditan, además de que ofreció la pruebas que estimó pertinente, por tanto, no es posible actualizar tal causal de improcedencia, pues el quejoso ofreció las pruebas que consideró necesarias para la acreditación de los hechos cuestionados. Por tanto, la posible actualización de la infracción, en todo caso, es materia de análisis en el estudio de fondo de la presente resolución.</w:t>
      </w:r>
    </w:p>
    <w:p w14:paraId="4896001C" w14:textId="77777777" w:rsidR="00C300AB" w:rsidRDefault="00C300AB">
      <w:pPr>
        <w:pBdr>
          <w:top w:val="nil"/>
          <w:left w:val="nil"/>
          <w:bottom w:val="nil"/>
          <w:right w:val="nil"/>
          <w:between w:val="nil"/>
        </w:pBdr>
        <w:rPr>
          <w:color w:val="000000"/>
        </w:rPr>
      </w:pPr>
    </w:p>
    <w:p w14:paraId="3D8F00EC" w14:textId="77777777" w:rsidR="00C300AB" w:rsidRDefault="00E27DA4">
      <w:pPr>
        <w:numPr>
          <w:ilvl w:val="0"/>
          <w:numId w:val="4"/>
        </w:numPr>
        <w:pBdr>
          <w:top w:val="nil"/>
          <w:left w:val="nil"/>
          <w:bottom w:val="nil"/>
          <w:right w:val="nil"/>
          <w:between w:val="nil"/>
        </w:pBdr>
        <w:tabs>
          <w:tab w:val="left" w:pos="426"/>
        </w:tabs>
        <w:spacing w:line="360" w:lineRule="auto"/>
        <w:ind w:right="36" w:hanging="862"/>
        <w:jc w:val="both"/>
        <w:rPr>
          <w:rFonts w:ascii="Arial" w:eastAsia="Arial" w:hAnsi="Arial" w:cs="Arial"/>
          <w:color w:val="000000"/>
          <w:sz w:val="24"/>
          <w:szCs w:val="24"/>
        </w:rPr>
      </w:pPr>
      <w:r>
        <w:rPr>
          <w:rFonts w:ascii="Arial" w:eastAsia="Arial" w:hAnsi="Arial" w:cs="Arial"/>
          <w:b/>
          <w:color w:val="000000"/>
          <w:sz w:val="24"/>
          <w:szCs w:val="24"/>
        </w:rPr>
        <w:t xml:space="preserve">Estudio de fondo </w:t>
      </w:r>
    </w:p>
    <w:p w14:paraId="322333E7" w14:textId="77777777" w:rsidR="00C300AB" w:rsidRDefault="00C300AB">
      <w:pPr>
        <w:pBdr>
          <w:top w:val="nil"/>
          <w:left w:val="nil"/>
          <w:bottom w:val="nil"/>
          <w:right w:val="nil"/>
          <w:between w:val="nil"/>
        </w:pBdr>
        <w:rPr>
          <w:color w:val="000000"/>
          <w:sz w:val="14"/>
          <w:szCs w:val="14"/>
        </w:rPr>
      </w:pPr>
    </w:p>
    <w:p w14:paraId="0B8AFA6A" w14:textId="77777777" w:rsidR="00C300AB" w:rsidRDefault="00E27DA4">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r>
        <w:rPr>
          <w:rFonts w:ascii="Arial" w:eastAsia="Arial" w:hAnsi="Arial" w:cs="Arial"/>
          <w:sz w:val="24"/>
          <w:szCs w:val="24"/>
        </w:rPr>
        <w:t xml:space="preserve">El PAN refiere que las partes denunciadas, vulneraron los principios de neutralidad, equidad e imparcialidad en la contienda, derivado de una serie de publicaciones en el perfil de Facebook de la entonces candidata Nora Ruvalcaba Gámez, donde se advierte la asistencia de diversos funcionarios públicos a eventos proselitistas en </w:t>
      </w:r>
      <w:r>
        <w:rPr>
          <w:rFonts w:ascii="Arial" w:eastAsia="Arial" w:hAnsi="Arial" w:cs="Arial"/>
          <w:sz w:val="24"/>
          <w:szCs w:val="24"/>
        </w:rPr>
        <w:lastRenderedPageBreak/>
        <w:t xml:space="preserve">favor de dicha candidatura, esto en el curso de días y horas hábiles, situación que implicó: </w:t>
      </w:r>
      <w:r>
        <w:rPr>
          <w:rFonts w:ascii="Arial" w:eastAsia="Arial" w:hAnsi="Arial" w:cs="Arial"/>
          <w:b/>
          <w:i/>
          <w:sz w:val="24"/>
          <w:szCs w:val="24"/>
        </w:rPr>
        <w:t>i)</w:t>
      </w:r>
      <w:r>
        <w:rPr>
          <w:rFonts w:ascii="Arial" w:eastAsia="Arial" w:hAnsi="Arial" w:cs="Arial"/>
          <w:sz w:val="24"/>
          <w:szCs w:val="24"/>
        </w:rPr>
        <w:t xml:space="preserve"> el uso indebido de recursos públicos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coacción en el voto de la ciudadanía. </w:t>
      </w:r>
    </w:p>
    <w:p w14:paraId="6DB571A6" w14:textId="77777777" w:rsidR="00C300AB" w:rsidRDefault="00C300AB">
      <w:pPr>
        <w:pBdr>
          <w:top w:val="nil"/>
          <w:left w:val="nil"/>
          <w:bottom w:val="nil"/>
          <w:right w:val="nil"/>
          <w:between w:val="nil"/>
        </w:pBdr>
        <w:rPr>
          <w:color w:val="000000"/>
        </w:rPr>
      </w:pPr>
    </w:p>
    <w:p w14:paraId="64D5CF89" w14:textId="77777777" w:rsidR="00C300AB" w:rsidRDefault="00E27DA4">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Las partes denunciadas -que a dicho del quejoso tienen carácter de servidores públicos-, así como las publicaciones cuestionadas, son las siguientes: </w:t>
      </w:r>
    </w:p>
    <w:p w14:paraId="798799B3" w14:textId="77777777" w:rsidR="00C300AB" w:rsidRDefault="00C300AB">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p>
    <w:tbl>
      <w:tblPr>
        <w:tblStyle w:val="ae"/>
        <w:tblW w:w="9676"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980"/>
        <w:gridCol w:w="3260"/>
        <w:gridCol w:w="4436"/>
      </w:tblGrid>
      <w:tr w:rsidR="00C300AB" w14:paraId="05956EEF" w14:textId="77777777" w:rsidTr="00C30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206D8C" w14:textId="77777777" w:rsidR="00C300AB" w:rsidRDefault="00E27DA4">
            <w:pPr>
              <w:tabs>
                <w:tab w:val="left" w:pos="426"/>
              </w:tabs>
              <w:spacing w:line="360" w:lineRule="auto"/>
              <w:ind w:right="36"/>
              <w:jc w:val="center"/>
              <w:rPr>
                <w:rFonts w:ascii="Arial" w:eastAsia="Arial" w:hAnsi="Arial" w:cs="Arial"/>
                <w:sz w:val="24"/>
                <w:szCs w:val="24"/>
                <w:u w:val="single"/>
              </w:rPr>
            </w:pPr>
            <w:r>
              <w:rPr>
                <w:rFonts w:ascii="Arial" w:eastAsia="Arial" w:hAnsi="Arial" w:cs="Arial"/>
                <w:sz w:val="24"/>
                <w:szCs w:val="24"/>
                <w:u w:val="single"/>
              </w:rPr>
              <w:t>Partes denunciadas</w:t>
            </w:r>
          </w:p>
        </w:tc>
        <w:tc>
          <w:tcPr>
            <w:tcW w:w="3260" w:type="dxa"/>
          </w:tcPr>
          <w:p w14:paraId="11178814" w14:textId="77777777" w:rsidR="00C300AB" w:rsidRDefault="00E27DA4">
            <w:pPr>
              <w:tabs>
                <w:tab w:val="left" w:pos="426"/>
              </w:tabs>
              <w:spacing w:line="360" w:lineRule="auto"/>
              <w:ind w:right="36"/>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u w:val="single"/>
              </w:rPr>
            </w:pPr>
            <w:r>
              <w:rPr>
                <w:rFonts w:ascii="Arial" w:eastAsia="Arial" w:hAnsi="Arial" w:cs="Arial"/>
                <w:sz w:val="24"/>
                <w:szCs w:val="24"/>
                <w:u w:val="single"/>
              </w:rPr>
              <w:t xml:space="preserve">Cargos públicos que, a dicho del quejoso, ostentan los denunciados </w:t>
            </w:r>
          </w:p>
        </w:tc>
        <w:tc>
          <w:tcPr>
            <w:tcW w:w="4436" w:type="dxa"/>
          </w:tcPr>
          <w:p w14:paraId="4ECC102D" w14:textId="77777777" w:rsidR="00C300AB" w:rsidRDefault="00E27DA4">
            <w:pPr>
              <w:tabs>
                <w:tab w:val="left" w:pos="426"/>
              </w:tabs>
              <w:spacing w:line="360" w:lineRule="auto"/>
              <w:ind w:right="36"/>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u w:val="single"/>
              </w:rPr>
            </w:pPr>
            <w:r>
              <w:rPr>
                <w:rFonts w:ascii="Arial" w:eastAsia="Arial" w:hAnsi="Arial" w:cs="Arial"/>
                <w:sz w:val="24"/>
                <w:szCs w:val="24"/>
                <w:u w:val="single"/>
              </w:rPr>
              <w:t>Fotografía representativa de las publicaciones:</w:t>
            </w:r>
          </w:p>
        </w:tc>
      </w:tr>
      <w:tr w:rsidR="00C300AB" w14:paraId="35C9EED7" w14:textId="77777777" w:rsidTr="00C30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CD7F78" w14:textId="77777777" w:rsidR="00C300AB" w:rsidRDefault="00E27DA4">
            <w:pPr>
              <w:tabs>
                <w:tab w:val="left" w:pos="426"/>
              </w:tabs>
              <w:spacing w:line="360" w:lineRule="auto"/>
              <w:ind w:right="36"/>
              <w:jc w:val="center"/>
              <w:rPr>
                <w:rFonts w:ascii="Arial" w:eastAsia="Arial" w:hAnsi="Arial" w:cs="Arial"/>
                <w:sz w:val="24"/>
                <w:szCs w:val="24"/>
              </w:rPr>
            </w:pPr>
            <w:r>
              <w:rPr>
                <w:rFonts w:ascii="Arial" w:eastAsia="Arial" w:hAnsi="Arial" w:cs="Arial"/>
                <w:sz w:val="24"/>
                <w:szCs w:val="24"/>
              </w:rPr>
              <w:t>1.  Aldo Emmanuel Ruiz Sánchez</w:t>
            </w:r>
          </w:p>
        </w:tc>
        <w:tc>
          <w:tcPr>
            <w:tcW w:w="3260" w:type="dxa"/>
          </w:tcPr>
          <w:p w14:paraId="76A004B8" w14:textId="77777777" w:rsidR="00C300AB" w:rsidRDefault="00E27DA4">
            <w:pPr>
              <w:tabs>
                <w:tab w:val="left" w:pos="426"/>
              </w:tabs>
              <w:spacing w:line="360" w:lineRule="auto"/>
              <w:ind w:right="36"/>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Delegado de Programas para el Desarrollo en el Estado de Aguascalientes</w:t>
            </w:r>
          </w:p>
        </w:tc>
        <w:tc>
          <w:tcPr>
            <w:tcW w:w="4436" w:type="dxa"/>
          </w:tcPr>
          <w:p w14:paraId="73E1F6C9" w14:textId="77777777" w:rsidR="00C300AB" w:rsidRDefault="00E27DA4">
            <w:pPr>
              <w:tabs>
                <w:tab w:val="left" w:pos="426"/>
              </w:tabs>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Publicación 1:</w:t>
            </w:r>
          </w:p>
          <w:p w14:paraId="3EC5653F" w14:textId="77777777" w:rsidR="00C300AB" w:rsidRDefault="00E27DA4">
            <w:pPr>
              <w:tabs>
                <w:tab w:val="left" w:pos="426"/>
              </w:tabs>
              <w:spacing w:line="360" w:lineRule="auto"/>
              <w:ind w:right="3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Pr>
                <w:noProof/>
              </w:rPr>
              <w:drawing>
                <wp:inline distT="0" distB="0" distL="0" distR="0" wp14:anchorId="37E47666" wp14:editId="529EF8A7">
                  <wp:extent cx="2511423" cy="1652741"/>
                  <wp:effectExtent l="0" t="0" r="0" b="0"/>
                  <wp:docPr id="2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0756" t="45493" r="45971" b="15585"/>
                          <a:stretch>
                            <a:fillRect/>
                          </a:stretch>
                        </pic:blipFill>
                        <pic:spPr>
                          <a:xfrm>
                            <a:off x="0" y="0"/>
                            <a:ext cx="2511423" cy="1652741"/>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37B5F117" wp14:editId="59EED1B3">
                      <wp:simplePos x="0" y="0"/>
                      <wp:positionH relativeFrom="column">
                        <wp:posOffset>-139699</wp:posOffset>
                      </wp:positionH>
                      <wp:positionV relativeFrom="paragraph">
                        <wp:posOffset>901700</wp:posOffset>
                      </wp:positionV>
                      <wp:extent cx="496570" cy="577850"/>
                      <wp:effectExtent l="0" t="0" r="0" b="0"/>
                      <wp:wrapNone/>
                      <wp:docPr id="247" name="Elipse 247"/>
                      <wp:cNvGraphicFramePr/>
                      <a:graphic xmlns:a="http://schemas.openxmlformats.org/drawingml/2006/main">
                        <a:graphicData uri="http://schemas.microsoft.com/office/word/2010/wordprocessingShape">
                          <wps:wsp>
                            <wps:cNvSpPr/>
                            <wps:spPr>
                              <a:xfrm>
                                <a:off x="5116765" y="3510125"/>
                                <a:ext cx="458470" cy="539750"/>
                              </a:xfrm>
                              <a:prstGeom prst="ellipse">
                                <a:avLst/>
                              </a:prstGeom>
                              <a:noFill/>
                              <a:ln w="38100" cap="flat" cmpd="sng">
                                <a:solidFill>
                                  <a:srgbClr val="FF0000"/>
                                </a:solidFill>
                                <a:prstDash val="solid"/>
                                <a:round/>
                                <a:headEnd type="none" w="sm" len="sm"/>
                                <a:tailEnd type="none" w="sm" len="sm"/>
                              </a:ln>
                            </wps:spPr>
                            <wps:txbx>
                              <w:txbxContent>
                                <w:p w14:paraId="01E96F1D" w14:textId="77777777" w:rsidR="00C300AB" w:rsidRDefault="00C300AB">
                                  <w:pPr>
                                    <w:textDirection w:val="btLr"/>
                                  </w:pPr>
                                </w:p>
                              </w:txbxContent>
                            </wps:txbx>
                            <wps:bodyPr spcFirstLastPara="1" wrap="square" lIns="91425" tIns="91425" rIns="91425" bIns="91425" anchor="ctr" anchorCtr="0">
                              <a:noAutofit/>
                            </wps:bodyPr>
                          </wps:wsp>
                        </a:graphicData>
                      </a:graphic>
                    </wp:anchor>
                  </w:drawing>
                </mc:Choice>
                <mc:Fallback>
                  <w:pict>
                    <v:oval w14:anchorId="37B5F117" id="Elipse 247" o:spid="_x0000_s1026" style="position:absolute;left:0;text-align:left;margin-left:-11pt;margin-top:71pt;width:39.1pt;height:45.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" filled="f" strokecolor="red" strokeweight="3pt">
                      <v:stroke startarrowwidth="narrow" startarrowlength="short" endarrowwidth="narrow" endarrowlength="short"/>
                      <v:textbox inset="2.53958mm,2.53958mm,2.53958mm,2.53958mm">
                        <w:txbxContent>
                          <w:p w14:paraId="01E96F1D" w14:textId="77777777" w:rsidR="00C300AB" w:rsidRDefault="00C300AB">
                            <w:pPr>
                              <w:textDirection w:val="btLr"/>
                            </w:pPr>
                          </w:p>
                        </w:txbxContent>
                      </v:textbox>
                    </v:oval>
                  </w:pict>
                </mc:Fallback>
              </mc:AlternateContent>
            </w:r>
            <w:r>
              <w:rPr>
                <w:noProof/>
              </w:rPr>
              <mc:AlternateContent>
                <mc:Choice Requires="wps">
                  <w:drawing>
                    <wp:anchor distT="0" distB="0" distL="114300" distR="114300" simplePos="0" relativeHeight="251659264" behindDoc="0" locked="0" layoutInCell="1" hidden="0" allowOverlap="1" wp14:anchorId="39EFB1C5" wp14:editId="3B83A211">
                      <wp:simplePos x="0" y="0"/>
                      <wp:positionH relativeFrom="column">
                        <wp:posOffset>1727200</wp:posOffset>
                      </wp:positionH>
                      <wp:positionV relativeFrom="paragraph">
                        <wp:posOffset>317500</wp:posOffset>
                      </wp:positionV>
                      <wp:extent cx="449580" cy="449580"/>
                      <wp:effectExtent l="0" t="0" r="0" b="0"/>
                      <wp:wrapNone/>
                      <wp:docPr id="245" name="Elipse 245"/>
                      <wp:cNvGraphicFramePr/>
                      <a:graphic xmlns:a="http://schemas.openxmlformats.org/drawingml/2006/main">
                        <a:graphicData uri="http://schemas.microsoft.com/office/word/2010/wordprocessingShape">
                          <wps:wsp>
                            <wps:cNvSpPr/>
                            <wps:spPr>
                              <a:xfrm>
                                <a:off x="5140260" y="3574260"/>
                                <a:ext cx="411480" cy="411480"/>
                              </a:xfrm>
                              <a:prstGeom prst="ellipse">
                                <a:avLst/>
                              </a:prstGeom>
                              <a:noFill/>
                              <a:ln w="38100" cap="flat" cmpd="sng">
                                <a:solidFill>
                                  <a:srgbClr val="FF0000"/>
                                </a:solidFill>
                                <a:prstDash val="solid"/>
                                <a:round/>
                                <a:headEnd type="none" w="sm" len="sm"/>
                                <a:tailEnd type="none" w="sm" len="sm"/>
                              </a:ln>
                            </wps:spPr>
                            <wps:txbx>
                              <w:txbxContent>
                                <w:p w14:paraId="20E2C086" w14:textId="77777777" w:rsidR="00C300AB" w:rsidRDefault="00C300AB">
                                  <w:pPr>
                                    <w:textDirection w:val="btLr"/>
                                  </w:pPr>
                                </w:p>
                              </w:txbxContent>
                            </wps:txbx>
                            <wps:bodyPr spcFirstLastPara="1" wrap="square" lIns="91425" tIns="91425" rIns="91425" bIns="91425" anchor="ctr" anchorCtr="0">
                              <a:noAutofit/>
                            </wps:bodyPr>
                          </wps:wsp>
                        </a:graphicData>
                      </a:graphic>
                    </wp:anchor>
                  </w:drawing>
                </mc:Choice>
                <mc:Fallback>
                  <w:pict>
                    <v:oval w14:anchorId="39EFB1C5" id="Elipse 245" o:spid="_x0000_s1027" style="position:absolute;left:0;text-align:left;margin-left:136pt;margin-top:25pt;width:35.4pt;height:3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" filled="f" strokecolor="red" strokeweight="3pt">
                      <v:stroke startarrowwidth="narrow" startarrowlength="short" endarrowwidth="narrow" endarrowlength="short"/>
                      <v:textbox inset="2.53958mm,2.53958mm,2.53958mm,2.53958mm">
                        <w:txbxContent>
                          <w:p w14:paraId="20E2C086" w14:textId="77777777" w:rsidR="00C300AB" w:rsidRDefault="00C300AB">
                            <w:pPr>
                              <w:textDirection w:val="btLr"/>
                            </w:pPr>
                          </w:p>
                        </w:txbxContent>
                      </v:textbox>
                    </v:oval>
                  </w:pict>
                </mc:Fallback>
              </mc:AlternateContent>
            </w:r>
            <w:r>
              <w:rPr>
                <w:noProof/>
              </w:rPr>
              <mc:AlternateContent>
                <mc:Choice Requires="wps">
                  <w:drawing>
                    <wp:anchor distT="45720" distB="45720" distL="114300" distR="114300" simplePos="0" relativeHeight="251660288" behindDoc="0" locked="0" layoutInCell="1" hidden="0" allowOverlap="1" wp14:anchorId="43ED354D" wp14:editId="7E229D9D">
                      <wp:simplePos x="0" y="0"/>
                      <wp:positionH relativeFrom="column">
                        <wp:posOffset>1676400</wp:posOffset>
                      </wp:positionH>
                      <wp:positionV relativeFrom="paragraph">
                        <wp:posOffset>693420</wp:posOffset>
                      </wp:positionV>
                      <wp:extent cx="2370455" cy="1414145"/>
                      <wp:effectExtent l="0" t="0" r="0" b="0"/>
                      <wp:wrapNone/>
                      <wp:docPr id="246" name="Rectángulo 246"/>
                      <wp:cNvGraphicFramePr/>
                      <a:graphic xmlns:a="http://schemas.openxmlformats.org/drawingml/2006/main">
                        <a:graphicData uri="http://schemas.microsoft.com/office/word/2010/wordprocessingShape">
                          <wps:wsp>
                            <wps:cNvSpPr/>
                            <wps:spPr>
                              <a:xfrm>
                                <a:off x="4165535" y="3077690"/>
                                <a:ext cx="2360930" cy="1404620"/>
                              </a:xfrm>
                              <a:prstGeom prst="rect">
                                <a:avLst/>
                              </a:prstGeom>
                              <a:noFill/>
                              <a:ln>
                                <a:noFill/>
                              </a:ln>
                            </wps:spPr>
                            <wps:txbx>
                              <w:txbxContent>
                                <w:p w14:paraId="50C1522E" w14:textId="77777777" w:rsidR="00C300AB" w:rsidRDefault="00E27DA4">
                                  <w:pPr>
                                    <w:textDirection w:val="btLr"/>
                                  </w:pPr>
                                  <w:r>
                                    <w:rPr>
                                      <w:rFonts w:ascii="Arial" w:eastAsia="Arial" w:hAnsi="Arial" w:cs="Arial"/>
                                      <w:b/>
                                      <w:color w:val="FF0000"/>
                                      <w:sz w:val="22"/>
                                    </w:rPr>
                                    <w:t>1</w:t>
                                  </w:r>
                                </w:p>
                              </w:txbxContent>
                            </wps:txbx>
                            <wps:bodyPr spcFirstLastPara="1" wrap="square" lIns="91425" tIns="45700" rIns="91425" bIns="45700" anchor="t" anchorCtr="0">
                              <a:noAutofit/>
                            </wps:bodyPr>
                          </wps:wsp>
                        </a:graphicData>
                      </a:graphic>
                    </wp:anchor>
                  </w:drawing>
                </mc:Choice>
                <mc:Fallback>
                  <w:pict>
                    <v:rect w14:anchorId="43ED354D" id="Rectángulo 246" o:spid="_x0000_s1028" style="position:absolute;left:0;text-align:left;margin-left:132pt;margin-top:54.6pt;width:186.65pt;height:111.3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" filled="f" stroked="f">
                      <v:textbox inset="2.53958mm,1.2694mm,2.53958mm,1.2694mm">
                        <w:txbxContent>
                          <w:p w14:paraId="50C1522E" w14:textId="77777777" w:rsidR="00C300AB" w:rsidRDefault="00E27DA4">
                            <w:pPr>
                              <w:textDirection w:val="btLr"/>
                            </w:pPr>
                            <w:r>
                              <w:rPr>
                                <w:rFonts w:ascii="Arial" w:eastAsia="Arial" w:hAnsi="Arial" w:cs="Arial"/>
                                <w:b/>
                                <w:color w:val="FF0000"/>
                                <w:sz w:val="22"/>
                              </w:rPr>
                              <w:t>1</w:t>
                            </w:r>
                          </w:p>
                        </w:txbxContent>
                      </v:textbox>
                    </v:rect>
                  </w:pict>
                </mc:Fallback>
              </mc:AlternateContent>
            </w:r>
            <w:r>
              <w:rPr>
                <w:noProof/>
              </w:rPr>
              <mc:AlternateContent>
                <mc:Choice Requires="wps">
                  <w:drawing>
                    <wp:anchor distT="45720" distB="45720" distL="114300" distR="114300" simplePos="0" relativeHeight="251661312" behindDoc="0" locked="0" layoutInCell="1" hidden="0" allowOverlap="1" wp14:anchorId="11059DA7" wp14:editId="1F7DCED6">
                      <wp:simplePos x="0" y="0"/>
                      <wp:positionH relativeFrom="column">
                        <wp:posOffset>-12699</wp:posOffset>
                      </wp:positionH>
                      <wp:positionV relativeFrom="paragraph">
                        <wp:posOffset>1404620</wp:posOffset>
                      </wp:positionV>
                      <wp:extent cx="2370455" cy="1414145"/>
                      <wp:effectExtent l="0" t="0" r="0" b="0"/>
                      <wp:wrapNone/>
                      <wp:docPr id="248" name="Rectángulo 248"/>
                      <wp:cNvGraphicFramePr/>
                      <a:graphic xmlns:a="http://schemas.openxmlformats.org/drawingml/2006/main">
                        <a:graphicData uri="http://schemas.microsoft.com/office/word/2010/wordprocessingShape">
                          <wps:wsp>
                            <wps:cNvSpPr/>
                            <wps:spPr>
                              <a:xfrm>
                                <a:off x="4165535" y="3077690"/>
                                <a:ext cx="2360930" cy="1404620"/>
                              </a:xfrm>
                              <a:prstGeom prst="rect">
                                <a:avLst/>
                              </a:prstGeom>
                              <a:noFill/>
                              <a:ln>
                                <a:noFill/>
                              </a:ln>
                            </wps:spPr>
                            <wps:txbx>
                              <w:txbxContent>
                                <w:p w14:paraId="312B3FFF" w14:textId="77777777" w:rsidR="00C300AB" w:rsidRDefault="00E27DA4">
                                  <w:pPr>
                                    <w:textDirection w:val="btLr"/>
                                  </w:pPr>
                                  <w:r>
                                    <w:rPr>
                                      <w:rFonts w:ascii="Arial" w:eastAsia="Arial" w:hAnsi="Arial" w:cs="Arial"/>
                                      <w:b/>
                                      <w:color w:val="FF0000"/>
                                      <w:sz w:val="22"/>
                                    </w:rPr>
                                    <w:t>2</w:t>
                                  </w:r>
                                </w:p>
                              </w:txbxContent>
                            </wps:txbx>
                            <wps:bodyPr spcFirstLastPara="1" wrap="square" lIns="91425" tIns="45700" rIns="91425" bIns="45700" anchor="t" anchorCtr="0">
                              <a:noAutofit/>
                            </wps:bodyPr>
                          </wps:wsp>
                        </a:graphicData>
                      </a:graphic>
                    </wp:anchor>
                  </w:drawing>
                </mc:Choice>
                <mc:Fallback>
                  <w:pict>
                    <v:rect w14:anchorId="11059DA7" id="Rectángulo 248" o:spid="_x0000_s1029" style="position:absolute;left:0;text-align:left;margin-left:-1pt;margin-top:110.6pt;width:186.65pt;height:111.3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" filled="f" stroked="f">
                      <v:textbox inset="2.53958mm,1.2694mm,2.53958mm,1.2694mm">
                        <w:txbxContent>
                          <w:p w14:paraId="312B3FFF" w14:textId="77777777" w:rsidR="00C300AB" w:rsidRDefault="00E27DA4">
                            <w:pPr>
                              <w:textDirection w:val="btLr"/>
                            </w:pPr>
                            <w:r>
                              <w:rPr>
                                <w:rFonts w:ascii="Arial" w:eastAsia="Arial" w:hAnsi="Arial" w:cs="Arial"/>
                                <w:b/>
                                <w:color w:val="FF0000"/>
                                <w:sz w:val="22"/>
                              </w:rPr>
                              <w:t>2</w:t>
                            </w:r>
                          </w:p>
                        </w:txbxContent>
                      </v:textbox>
                    </v:rect>
                  </w:pict>
                </mc:Fallback>
              </mc:AlternateContent>
            </w:r>
          </w:p>
        </w:tc>
      </w:tr>
      <w:tr w:rsidR="00C300AB" w14:paraId="2BEDA44B" w14:textId="77777777" w:rsidTr="00C300AB">
        <w:tc>
          <w:tcPr>
            <w:cnfStyle w:val="001000000000" w:firstRow="0" w:lastRow="0" w:firstColumn="1" w:lastColumn="0" w:oddVBand="0" w:evenVBand="0" w:oddHBand="0" w:evenHBand="0" w:firstRowFirstColumn="0" w:firstRowLastColumn="0" w:lastRowFirstColumn="0" w:lastRowLastColumn="0"/>
            <w:tcW w:w="1980" w:type="dxa"/>
          </w:tcPr>
          <w:p w14:paraId="1EDC767D" w14:textId="77777777" w:rsidR="00C300AB" w:rsidRDefault="00E27DA4">
            <w:pPr>
              <w:tabs>
                <w:tab w:val="left" w:pos="426"/>
              </w:tabs>
              <w:spacing w:line="360" w:lineRule="auto"/>
              <w:ind w:right="36"/>
              <w:jc w:val="center"/>
              <w:rPr>
                <w:rFonts w:ascii="Arial" w:eastAsia="Arial" w:hAnsi="Arial" w:cs="Arial"/>
                <w:sz w:val="24"/>
                <w:szCs w:val="24"/>
              </w:rPr>
            </w:pPr>
            <w:r>
              <w:rPr>
                <w:rFonts w:ascii="Arial" w:eastAsia="Arial" w:hAnsi="Arial" w:cs="Arial"/>
                <w:sz w:val="24"/>
                <w:szCs w:val="24"/>
              </w:rPr>
              <w:t>2. Ana Laura Gómez Calzada</w:t>
            </w:r>
          </w:p>
        </w:tc>
        <w:tc>
          <w:tcPr>
            <w:tcW w:w="3260" w:type="dxa"/>
          </w:tcPr>
          <w:p w14:paraId="0ABA5EB9" w14:textId="77777777" w:rsidR="00C300AB" w:rsidRDefault="00E27DA4">
            <w:pPr>
              <w:tabs>
                <w:tab w:val="left" w:pos="426"/>
              </w:tabs>
              <w:spacing w:line="360" w:lineRule="auto"/>
              <w:ind w:right="36"/>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Diputada de la LXV Legislatura del Congreso del Estado de Aguascalientes</w:t>
            </w:r>
          </w:p>
        </w:tc>
        <w:tc>
          <w:tcPr>
            <w:tcW w:w="4436" w:type="dxa"/>
          </w:tcPr>
          <w:p w14:paraId="2AD0935C" w14:textId="77777777" w:rsidR="00C300AB" w:rsidRDefault="00E27DA4">
            <w:pPr>
              <w:tabs>
                <w:tab w:val="left" w:pos="426"/>
              </w:tabs>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Publicación 2:</w:t>
            </w:r>
          </w:p>
          <w:p w14:paraId="1EB1F416" w14:textId="77777777" w:rsidR="00C300AB" w:rsidRDefault="00E27DA4">
            <w:pPr>
              <w:tabs>
                <w:tab w:val="left" w:pos="426"/>
              </w:tabs>
              <w:spacing w:line="360" w:lineRule="auto"/>
              <w:ind w:right="3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Pr>
                <w:noProof/>
              </w:rPr>
              <w:drawing>
                <wp:inline distT="0" distB="0" distL="0" distR="0" wp14:anchorId="38749FF0" wp14:editId="6D289CDE">
                  <wp:extent cx="2655084" cy="1504547"/>
                  <wp:effectExtent l="0" t="0" r="0" b="0"/>
                  <wp:docPr id="2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23081" t="27801" r="42796" b="37827"/>
                          <a:stretch>
                            <a:fillRect/>
                          </a:stretch>
                        </pic:blipFill>
                        <pic:spPr>
                          <a:xfrm>
                            <a:off x="0" y="0"/>
                            <a:ext cx="2655084" cy="1504547"/>
                          </a:xfrm>
                          <a:prstGeom prst="rect">
                            <a:avLst/>
                          </a:prstGeom>
                          <a:ln/>
                        </pic:spPr>
                      </pic:pic>
                    </a:graphicData>
                  </a:graphic>
                </wp:inline>
              </w:drawing>
            </w:r>
            <w:r>
              <w:rPr>
                <w:noProof/>
              </w:rPr>
              <mc:AlternateContent>
                <mc:Choice Requires="wps">
                  <w:drawing>
                    <wp:anchor distT="0" distB="0" distL="114300" distR="114300" simplePos="0" relativeHeight="251662336" behindDoc="0" locked="0" layoutInCell="1" hidden="0" allowOverlap="1" wp14:anchorId="4A16D2F4" wp14:editId="68A7C077">
                      <wp:simplePos x="0" y="0"/>
                      <wp:positionH relativeFrom="column">
                        <wp:posOffset>381000</wp:posOffset>
                      </wp:positionH>
                      <wp:positionV relativeFrom="paragraph">
                        <wp:posOffset>152400</wp:posOffset>
                      </wp:positionV>
                      <wp:extent cx="891540" cy="1043940"/>
                      <wp:effectExtent l="0" t="0" r="0" b="0"/>
                      <wp:wrapNone/>
                      <wp:docPr id="249" name="Elipse 249"/>
                      <wp:cNvGraphicFramePr/>
                      <a:graphic xmlns:a="http://schemas.openxmlformats.org/drawingml/2006/main">
                        <a:graphicData uri="http://schemas.microsoft.com/office/word/2010/wordprocessingShape">
                          <wps:wsp>
                            <wps:cNvSpPr/>
                            <wps:spPr>
                              <a:xfrm>
                                <a:off x="4919280" y="3277080"/>
                                <a:ext cx="853440" cy="1005840"/>
                              </a:xfrm>
                              <a:prstGeom prst="ellipse">
                                <a:avLst/>
                              </a:prstGeom>
                              <a:noFill/>
                              <a:ln w="38100" cap="flat" cmpd="sng">
                                <a:solidFill>
                                  <a:srgbClr val="FF0000"/>
                                </a:solidFill>
                                <a:prstDash val="solid"/>
                                <a:round/>
                                <a:headEnd type="none" w="sm" len="sm"/>
                                <a:tailEnd type="none" w="sm" len="sm"/>
                              </a:ln>
                            </wps:spPr>
                            <wps:txbx>
                              <w:txbxContent>
                                <w:p w14:paraId="18783888" w14:textId="77777777" w:rsidR="00C300AB" w:rsidRDefault="00C300AB">
                                  <w:pPr>
                                    <w:textDirection w:val="btLr"/>
                                  </w:pPr>
                                </w:p>
                              </w:txbxContent>
                            </wps:txbx>
                            <wps:bodyPr spcFirstLastPara="1" wrap="square" lIns="91425" tIns="91425" rIns="91425" bIns="91425" anchor="ctr" anchorCtr="0">
                              <a:noAutofit/>
                            </wps:bodyPr>
                          </wps:wsp>
                        </a:graphicData>
                      </a:graphic>
                    </wp:anchor>
                  </w:drawing>
                </mc:Choice>
                <mc:Fallback>
                  <w:pict>
                    <v:oval w14:anchorId="4A16D2F4" id="Elipse 249" o:spid="_x0000_s1030" style="position:absolute;left:0;text-align:left;margin-left:30pt;margin-top:12pt;width:70.2pt;height:8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" filled="f" strokecolor="red" strokeweight="3pt">
                      <v:stroke startarrowwidth="narrow" startarrowlength="short" endarrowwidth="narrow" endarrowlength="short"/>
                      <v:textbox inset="2.53958mm,2.53958mm,2.53958mm,2.53958mm">
                        <w:txbxContent>
                          <w:p w14:paraId="18783888" w14:textId="77777777" w:rsidR="00C300AB" w:rsidRDefault="00C300AB">
                            <w:pPr>
                              <w:textDirection w:val="btLr"/>
                            </w:pPr>
                          </w:p>
                        </w:txbxContent>
                      </v:textbox>
                    </v:oval>
                  </w:pict>
                </mc:Fallback>
              </mc:AlternateContent>
            </w:r>
            <w:r>
              <w:rPr>
                <w:noProof/>
              </w:rPr>
              <mc:AlternateContent>
                <mc:Choice Requires="wps">
                  <w:drawing>
                    <wp:anchor distT="45720" distB="45720" distL="114300" distR="114300" simplePos="0" relativeHeight="251663360" behindDoc="0" locked="0" layoutInCell="1" hidden="0" allowOverlap="1" wp14:anchorId="068F8FAB" wp14:editId="4C873EF4">
                      <wp:simplePos x="0" y="0"/>
                      <wp:positionH relativeFrom="column">
                        <wp:posOffset>482600</wp:posOffset>
                      </wp:positionH>
                      <wp:positionV relativeFrom="paragraph">
                        <wp:posOffset>1125220</wp:posOffset>
                      </wp:positionV>
                      <wp:extent cx="2370455" cy="1414145"/>
                      <wp:effectExtent l="0" t="0" r="0" b="0"/>
                      <wp:wrapNone/>
                      <wp:docPr id="243" name="Rectángulo 243"/>
                      <wp:cNvGraphicFramePr/>
                      <a:graphic xmlns:a="http://schemas.openxmlformats.org/drawingml/2006/main">
                        <a:graphicData uri="http://schemas.microsoft.com/office/word/2010/wordprocessingShape">
                          <wps:wsp>
                            <wps:cNvSpPr/>
                            <wps:spPr>
                              <a:xfrm>
                                <a:off x="4165535" y="3077690"/>
                                <a:ext cx="2360930" cy="1404620"/>
                              </a:xfrm>
                              <a:prstGeom prst="rect">
                                <a:avLst/>
                              </a:prstGeom>
                              <a:noFill/>
                              <a:ln>
                                <a:noFill/>
                              </a:ln>
                            </wps:spPr>
                            <wps:txbx>
                              <w:txbxContent>
                                <w:p w14:paraId="22004815" w14:textId="77777777" w:rsidR="00C300AB" w:rsidRDefault="00E27DA4">
                                  <w:pPr>
                                    <w:textDirection w:val="btLr"/>
                                  </w:pPr>
                                  <w:r>
                                    <w:rPr>
                                      <w:rFonts w:ascii="Arial" w:eastAsia="Arial" w:hAnsi="Arial" w:cs="Arial"/>
                                      <w:b/>
                                      <w:color w:val="FF0000"/>
                                      <w:sz w:val="22"/>
                                    </w:rPr>
                                    <w:t>2</w:t>
                                  </w:r>
                                </w:p>
                              </w:txbxContent>
                            </wps:txbx>
                            <wps:bodyPr spcFirstLastPara="1" wrap="square" lIns="91425" tIns="45700" rIns="91425" bIns="45700" anchor="t" anchorCtr="0">
                              <a:noAutofit/>
                            </wps:bodyPr>
                          </wps:wsp>
                        </a:graphicData>
                      </a:graphic>
                    </wp:anchor>
                  </w:drawing>
                </mc:Choice>
                <mc:Fallback>
                  <w:pict>
                    <v:rect w14:anchorId="068F8FAB" id="Rectángulo 243" o:spid="_x0000_s1031" style="position:absolute;left:0;text-align:left;margin-left:38pt;margin-top:88.6pt;width:186.65pt;height:111.3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" filled="f" stroked="f">
                      <v:textbox inset="2.53958mm,1.2694mm,2.53958mm,1.2694mm">
                        <w:txbxContent>
                          <w:p w14:paraId="22004815" w14:textId="77777777" w:rsidR="00C300AB" w:rsidRDefault="00E27DA4">
                            <w:pPr>
                              <w:textDirection w:val="btLr"/>
                            </w:pPr>
                            <w:r>
                              <w:rPr>
                                <w:rFonts w:ascii="Arial" w:eastAsia="Arial" w:hAnsi="Arial" w:cs="Arial"/>
                                <w:b/>
                                <w:color w:val="FF0000"/>
                                <w:sz w:val="22"/>
                              </w:rPr>
                              <w:t>2</w:t>
                            </w:r>
                          </w:p>
                        </w:txbxContent>
                      </v:textbox>
                    </v:rect>
                  </w:pict>
                </mc:Fallback>
              </mc:AlternateContent>
            </w:r>
          </w:p>
        </w:tc>
      </w:tr>
    </w:tbl>
    <w:p w14:paraId="56C4A2D8" w14:textId="77777777" w:rsidR="00C300AB" w:rsidRDefault="00C300AB">
      <w:pPr>
        <w:pBdr>
          <w:top w:val="nil"/>
          <w:left w:val="nil"/>
          <w:bottom w:val="nil"/>
          <w:right w:val="nil"/>
          <w:between w:val="nil"/>
        </w:pBdr>
        <w:rPr>
          <w:color w:val="000000"/>
        </w:rPr>
      </w:pPr>
    </w:p>
    <w:p w14:paraId="50A80AE4" w14:textId="77777777" w:rsidR="00C300AB" w:rsidRDefault="00C300AB">
      <w:pPr>
        <w:pBdr>
          <w:top w:val="nil"/>
          <w:left w:val="nil"/>
          <w:bottom w:val="nil"/>
          <w:right w:val="nil"/>
          <w:between w:val="nil"/>
        </w:pBdr>
        <w:rPr>
          <w:color w:val="000000"/>
          <w:sz w:val="16"/>
          <w:szCs w:val="16"/>
        </w:rPr>
      </w:pPr>
    </w:p>
    <w:p w14:paraId="59B69F2C" w14:textId="77777777" w:rsidR="00C300AB" w:rsidRDefault="00E27DA4">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2. Defensa</w:t>
      </w:r>
    </w:p>
    <w:p w14:paraId="4E054CBA" w14:textId="77777777" w:rsidR="00C300AB" w:rsidRDefault="00C300AB">
      <w:pPr>
        <w:pBdr>
          <w:top w:val="nil"/>
          <w:left w:val="nil"/>
          <w:bottom w:val="nil"/>
          <w:right w:val="nil"/>
          <w:between w:val="nil"/>
        </w:pBdr>
        <w:rPr>
          <w:color w:val="000000"/>
        </w:rPr>
      </w:pPr>
    </w:p>
    <w:p w14:paraId="3C5D4B12" w14:textId="77777777" w:rsidR="00C300AB" w:rsidRDefault="00E27DA4">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2.1. Defensa de Aldo Emmanuel Ruiz Sánchez. </w:t>
      </w:r>
      <w:r>
        <w:rPr>
          <w:rFonts w:ascii="Arial" w:eastAsia="Arial" w:hAnsi="Arial" w:cs="Arial"/>
          <w:color w:val="000000"/>
          <w:sz w:val="24"/>
          <w:szCs w:val="24"/>
        </w:rPr>
        <w:t>En su escrito de contestación, manifiesta lo siguiente:</w:t>
      </w:r>
    </w:p>
    <w:p w14:paraId="6215C0A9" w14:textId="77777777" w:rsidR="00C300AB" w:rsidRDefault="00E27DA4">
      <w:pPr>
        <w:numPr>
          <w:ilvl w:val="0"/>
          <w:numId w:val="8"/>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Afirma que el 27 de agosto de 2021, renunció a la titularidad de la Delegación de Programas para el Desarrollo en el Estado de Aguascalientes y, que actualmente, no ostenta algún cargo público por el cual pudiera acreditarse la infracción denunciada. </w:t>
      </w:r>
    </w:p>
    <w:p w14:paraId="778D0C67" w14:textId="77777777" w:rsidR="00C300AB" w:rsidRDefault="00E27DA4">
      <w:pPr>
        <w:numPr>
          <w:ilvl w:val="0"/>
          <w:numId w:val="8"/>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Asegura que su participación en los eventos de la candidatura cuestionada, la realizó en su calidad de ciudadano y en ejercicio de su derecho a asociarse libremente, consagrada en el artículo 35 de la Constitución general. </w:t>
      </w:r>
    </w:p>
    <w:p w14:paraId="7921B2AA" w14:textId="77777777" w:rsidR="00C300AB" w:rsidRDefault="00C300AB">
      <w:pPr>
        <w:pBdr>
          <w:top w:val="nil"/>
          <w:left w:val="nil"/>
          <w:bottom w:val="nil"/>
          <w:right w:val="nil"/>
          <w:between w:val="nil"/>
        </w:pBdr>
        <w:rPr>
          <w:color w:val="000000"/>
        </w:rPr>
      </w:pPr>
    </w:p>
    <w:p w14:paraId="1CD02FA7" w14:textId="77777777" w:rsidR="00C300AB" w:rsidRDefault="00E27DA4">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2.2. Defensa de Ana Laura Gómez Calzada</w:t>
      </w:r>
      <w:r>
        <w:rPr>
          <w:rFonts w:ascii="Arial" w:eastAsia="Arial" w:hAnsi="Arial" w:cs="Arial"/>
          <w:color w:val="000000"/>
          <w:sz w:val="24"/>
          <w:szCs w:val="24"/>
        </w:rPr>
        <w:t xml:space="preserve">. En su escrito de contestación, hace valer lo siguiente: </w:t>
      </w:r>
    </w:p>
    <w:p w14:paraId="79C0D1F0" w14:textId="77777777" w:rsidR="00C300AB" w:rsidRDefault="00E27DA4">
      <w:pPr>
        <w:numPr>
          <w:ilvl w:val="0"/>
          <w:numId w:val="1"/>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Estima que, derivado de su calidad de Diputada de la LXV Legislatura del Congreso del Estado de Aguascalientes, su participación en las fotografías difundidas por la entonces </w:t>
      </w:r>
      <w:r>
        <w:rPr>
          <w:rFonts w:ascii="Arial" w:eastAsia="Arial" w:hAnsi="Arial" w:cs="Arial"/>
          <w:color w:val="000000"/>
          <w:sz w:val="24"/>
          <w:szCs w:val="24"/>
        </w:rPr>
        <w:lastRenderedPageBreak/>
        <w:t xml:space="preserve">candidata de Morena, es un hecho que está amparado bajo el principio de la inmunidad parlamentaria. </w:t>
      </w:r>
    </w:p>
    <w:p w14:paraId="7542CDD5" w14:textId="77777777" w:rsidR="00C300AB" w:rsidRDefault="00E27DA4">
      <w:pPr>
        <w:numPr>
          <w:ilvl w:val="0"/>
          <w:numId w:val="1"/>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Considera que el s</w:t>
      </w:r>
      <w:r>
        <w:rPr>
          <w:rFonts w:ascii="Arial" w:eastAsia="Arial" w:hAnsi="Arial" w:cs="Arial"/>
          <w:sz w:val="24"/>
          <w:szCs w:val="24"/>
        </w:rPr>
        <w:t>o</w:t>
      </w:r>
      <w:r>
        <w:rPr>
          <w:rFonts w:ascii="Arial" w:eastAsia="Arial" w:hAnsi="Arial" w:cs="Arial"/>
          <w:color w:val="000000"/>
          <w:sz w:val="24"/>
          <w:szCs w:val="24"/>
        </w:rPr>
        <w:t>lo hecho de aparecer en el contenido de las publicaciones denunciadas, no es motivo para acreditar que se han utilizado recursos públicos.</w:t>
      </w:r>
    </w:p>
    <w:p w14:paraId="1EDF6914" w14:textId="77777777" w:rsidR="00C300AB" w:rsidRDefault="00E27DA4">
      <w:pPr>
        <w:numPr>
          <w:ilvl w:val="0"/>
          <w:numId w:val="1"/>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Asegura que su participación en las fotografías cuestionadas, es un acto encaminado a promover el derecho al voto informado de la ciudadanía y, además, que esta se realizó en el ejercicio de su libertad de expresión</w:t>
      </w:r>
      <w:r>
        <w:rPr>
          <w:rFonts w:ascii="Arial" w:eastAsia="Arial" w:hAnsi="Arial" w:cs="Arial"/>
          <w:sz w:val="24"/>
          <w:szCs w:val="24"/>
        </w:rPr>
        <w:t xml:space="preserve"> y</w:t>
      </w:r>
      <w:r>
        <w:rPr>
          <w:rFonts w:ascii="Arial" w:eastAsia="Arial" w:hAnsi="Arial" w:cs="Arial"/>
          <w:color w:val="000000"/>
          <w:sz w:val="24"/>
          <w:szCs w:val="24"/>
        </w:rPr>
        <w:t xml:space="preserve"> de reunión.</w:t>
      </w:r>
    </w:p>
    <w:p w14:paraId="7BCEF21D" w14:textId="77777777" w:rsidR="00C300AB" w:rsidRDefault="00E27DA4">
      <w:pPr>
        <w:numPr>
          <w:ilvl w:val="0"/>
          <w:numId w:val="1"/>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Afirma que no emitió ninguna opinión en los eventos denunciados, por tanto, no se puede acreditar que </w:t>
      </w:r>
      <w:r>
        <w:rPr>
          <w:rFonts w:ascii="Arial" w:eastAsia="Arial" w:hAnsi="Arial" w:cs="Arial"/>
          <w:sz w:val="24"/>
          <w:szCs w:val="24"/>
        </w:rPr>
        <w:t>vulneró</w:t>
      </w:r>
      <w:r>
        <w:rPr>
          <w:rFonts w:ascii="Arial" w:eastAsia="Arial" w:hAnsi="Arial" w:cs="Arial"/>
          <w:color w:val="000000"/>
          <w:sz w:val="24"/>
          <w:szCs w:val="24"/>
        </w:rPr>
        <w:t xml:space="preserve"> los principios de imparcialidad y neutralidad de la contienda electoral. </w:t>
      </w:r>
    </w:p>
    <w:p w14:paraId="4D2B382C" w14:textId="77777777" w:rsidR="00C300AB" w:rsidRDefault="00C300AB">
      <w:pPr>
        <w:pBdr>
          <w:top w:val="nil"/>
          <w:left w:val="nil"/>
          <w:bottom w:val="nil"/>
          <w:right w:val="nil"/>
          <w:between w:val="nil"/>
        </w:pBdr>
        <w:jc w:val="both"/>
        <w:rPr>
          <w:rFonts w:ascii="Arial" w:eastAsia="Arial" w:hAnsi="Arial" w:cs="Arial"/>
          <w:color w:val="000000"/>
          <w:sz w:val="24"/>
          <w:szCs w:val="24"/>
        </w:rPr>
      </w:pPr>
    </w:p>
    <w:p w14:paraId="0E16D0B8" w14:textId="77777777" w:rsidR="00C300AB" w:rsidRDefault="00E27DA4">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2.3. Defensas de Nora Ruvalcaba Gámez y Morena. </w:t>
      </w:r>
      <w:r>
        <w:rPr>
          <w:rFonts w:ascii="Arial" w:eastAsia="Arial" w:hAnsi="Arial" w:cs="Arial"/>
          <w:color w:val="000000"/>
          <w:sz w:val="24"/>
          <w:szCs w:val="24"/>
        </w:rPr>
        <w:t>En sus respectivos escritos de contestación, argumentan lo siguiente:</w:t>
      </w:r>
    </w:p>
    <w:p w14:paraId="1C51E96E" w14:textId="77777777" w:rsidR="00C300AB" w:rsidRDefault="00E27DA4">
      <w:pPr>
        <w:numPr>
          <w:ilvl w:val="0"/>
          <w:numId w:val="1"/>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Estiman que no existe relación entre los hechos planteados y las probanzas ofrecidas, pues de estas no se desprenden las circunstancias de modo, tiempo y lugar que acrediten la supuesta participación de los servidores públicos en los actos proselitistas,</w:t>
      </w:r>
      <w:r>
        <w:rPr>
          <w:rFonts w:ascii="Arial" w:eastAsia="Arial" w:hAnsi="Arial" w:cs="Arial"/>
          <w:sz w:val="24"/>
          <w:szCs w:val="24"/>
        </w:rPr>
        <w:t xml:space="preserve"> ni que ello constituya una vulneración a</w:t>
      </w:r>
      <w:r>
        <w:rPr>
          <w:rFonts w:ascii="Arial" w:eastAsia="Arial" w:hAnsi="Arial" w:cs="Arial"/>
          <w:color w:val="000000"/>
          <w:sz w:val="24"/>
          <w:szCs w:val="24"/>
        </w:rPr>
        <w:t xml:space="preserve"> los principios de imparcialidad, neutralidad y equidad en la contienda.</w:t>
      </w:r>
    </w:p>
    <w:p w14:paraId="0D74D87C" w14:textId="77777777" w:rsidR="00C300AB" w:rsidRDefault="00E27DA4">
      <w:pPr>
        <w:numPr>
          <w:ilvl w:val="0"/>
          <w:numId w:val="1"/>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Afirman que, de las publicaciones denunciadas, no es posible advertir manifestaciones o conductas que hubieran influido en el ánimo del electorado y, por tanto, no es posible que se acredite una v</w:t>
      </w:r>
      <w:r>
        <w:rPr>
          <w:rFonts w:ascii="Arial" w:eastAsia="Arial" w:hAnsi="Arial" w:cs="Arial"/>
          <w:sz w:val="24"/>
          <w:szCs w:val="24"/>
        </w:rPr>
        <w:t>ulneración</w:t>
      </w:r>
      <w:r>
        <w:rPr>
          <w:rFonts w:ascii="Arial" w:eastAsia="Arial" w:hAnsi="Arial" w:cs="Arial"/>
          <w:color w:val="000000"/>
          <w:sz w:val="24"/>
          <w:szCs w:val="24"/>
        </w:rPr>
        <w:t xml:space="preserve"> al principio de equidad.</w:t>
      </w:r>
    </w:p>
    <w:p w14:paraId="56A1D760" w14:textId="77777777" w:rsidR="00C300AB" w:rsidRDefault="00E27DA4">
      <w:pPr>
        <w:numPr>
          <w:ilvl w:val="0"/>
          <w:numId w:val="1"/>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Consideran que la sola aparición de las partes denunciadas en las fotografías en comento, no supone: </w:t>
      </w:r>
      <w:r>
        <w:rPr>
          <w:rFonts w:ascii="Arial" w:eastAsia="Arial" w:hAnsi="Arial" w:cs="Arial"/>
          <w:b/>
          <w:i/>
          <w:color w:val="000000"/>
          <w:sz w:val="24"/>
          <w:szCs w:val="24"/>
        </w:rPr>
        <w:t>i)</w:t>
      </w:r>
      <w:r>
        <w:rPr>
          <w:rFonts w:ascii="Arial" w:eastAsia="Arial" w:hAnsi="Arial" w:cs="Arial"/>
          <w:color w:val="000000"/>
          <w:sz w:val="24"/>
          <w:szCs w:val="24"/>
        </w:rPr>
        <w:t xml:space="preserve"> que se ostentaran como servidores públicos, </w:t>
      </w:r>
      <w:proofErr w:type="spellStart"/>
      <w:r>
        <w:rPr>
          <w:rFonts w:ascii="Arial" w:eastAsia="Arial" w:hAnsi="Arial" w:cs="Arial"/>
          <w:b/>
          <w:i/>
          <w:color w:val="000000"/>
          <w:sz w:val="24"/>
          <w:szCs w:val="24"/>
        </w:rPr>
        <w:t>ii</w:t>
      </w:r>
      <w:proofErr w:type="spellEnd"/>
      <w:r>
        <w:rPr>
          <w:rFonts w:ascii="Arial" w:eastAsia="Arial" w:hAnsi="Arial" w:cs="Arial"/>
          <w:b/>
          <w:i/>
          <w:color w:val="000000"/>
          <w:sz w:val="24"/>
          <w:szCs w:val="24"/>
        </w:rPr>
        <w:t>)</w:t>
      </w:r>
      <w:r>
        <w:rPr>
          <w:rFonts w:ascii="Arial" w:eastAsia="Arial" w:hAnsi="Arial" w:cs="Arial"/>
          <w:color w:val="000000"/>
          <w:sz w:val="24"/>
          <w:szCs w:val="24"/>
        </w:rPr>
        <w:t xml:space="preserve"> que hubieran desatendido, en el supuesto, sus funciones encomendadas o, </w:t>
      </w:r>
      <w:proofErr w:type="spellStart"/>
      <w:r>
        <w:rPr>
          <w:rFonts w:ascii="Arial" w:eastAsia="Arial" w:hAnsi="Arial" w:cs="Arial"/>
          <w:b/>
          <w:i/>
          <w:color w:val="000000"/>
          <w:sz w:val="24"/>
          <w:szCs w:val="24"/>
        </w:rPr>
        <w:t>iii</w:t>
      </w:r>
      <w:proofErr w:type="spellEnd"/>
      <w:r>
        <w:rPr>
          <w:rFonts w:ascii="Arial" w:eastAsia="Arial" w:hAnsi="Arial" w:cs="Arial"/>
          <w:b/>
          <w:i/>
          <w:color w:val="000000"/>
          <w:sz w:val="24"/>
          <w:szCs w:val="24"/>
        </w:rPr>
        <w:t>)</w:t>
      </w:r>
      <w:r>
        <w:rPr>
          <w:rFonts w:ascii="Arial" w:eastAsia="Arial" w:hAnsi="Arial" w:cs="Arial"/>
          <w:color w:val="000000"/>
          <w:sz w:val="24"/>
          <w:szCs w:val="24"/>
        </w:rPr>
        <w:t xml:space="preserve"> el uso de recursos públicos con fines partidistas; en consecuencia, no se vulneró el principio de imparcialidad y neutralidad en la contienda. </w:t>
      </w:r>
    </w:p>
    <w:p w14:paraId="19D05EE9" w14:textId="77777777" w:rsidR="00C300AB" w:rsidRDefault="00E27DA4">
      <w:pPr>
        <w:numPr>
          <w:ilvl w:val="0"/>
          <w:numId w:val="1"/>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Aseguran que, en todo caso, no existe restricción alguna para que los servidores públicos se aparten de sus preferencias partidistas, pues debe preservar su derecho de asociación y su libertad de expresión.</w:t>
      </w:r>
    </w:p>
    <w:p w14:paraId="69D5CCBC" w14:textId="77777777" w:rsidR="00C300AB" w:rsidRDefault="00C300AB">
      <w:pPr>
        <w:pBdr>
          <w:top w:val="nil"/>
          <w:left w:val="nil"/>
          <w:bottom w:val="nil"/>
          <w:right w:val="nil"/>
          <w:between w:val="nil"/>
        </w:pBdr>
        <w:rPr>
          <w:color w:val="000000"/>
          <w:sz w:val="16"/>
          <w:szCs w:val="16"/>
        </w:rPr>
      </w:pPr>
    </w:p>
    <w:p w14:paraId="4A1C3C10" w14:textId="77777777" w:rsidR="00C300AB" w:rsidRDefault="00E27DA4">
      <w:pPr>
        <w:pBdr>
          <w:top w:val="nil"/>
          <w:left w:val="nil"/>
          <w:bottom w:val="nil"/>
          <w:right w:val="nil"/>
          <w:between w:val="nil"/>
        </w:pBdr>
        <w:tabs>
          <w:tab w:val="left" w:pos="567"/>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3. Descripción de los medios de prueba. </w:t>
      </w:r>
      <w:r>
        <w:rPr>
          <w:rFonts w:ascii="Arial" w:eastAsia="Arial" w:hAnsi="Arial" w:cs="Arial"/>
          <w:color w:val="000000"/>
          <w:sz w:val="24"/>
          <w:szCs w:val="24"/>
        </w:rPr>
        <w:t>Como se advierte de la audiencia de pruebas y alegatos, a las partes les fueron admitidas y desahogadas las siguientes probanzas:</w:t>
      </w:r>
    </w:p>
    <w:p w14:paraId="3838FDA4" w14:textId="77777777" w:rsidR="00C300AB" w:rsidRDefault="00C300AB">
      <w:pPr>
        <w:pBdr>
          <w:top w:val="nil"/>
          <w:left w:val="nil"/>
          <w:bottom w:val="nil"/>
          <w:right w:val="nil"/>
          <w:between w:val="nil"/>
        </w:pBdr>
        <w:rPr>
          <w:color w:val="000000"/>
        </w:rPr>
      </w:pPr>
    </w:p>
    <w:p w14:paraId="7D674F85" w14:textId="77777777" w:rsidR="00C300AB" w:rsidRDefault="00E27DA4">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3.1. Pruebas aportadas por el partido político denunciante: </w:t>
      </w:r>
    </w:p>
    <w:tbl>
      <w:tblPr>
        <w:tblStyle w:val="af"/>
        <w:tblW w:w="9855"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20"/>
        <w:gridCol w:w="2145"/>
        <w:gridCol w:w="7290"/>
      </w:tblGrid>
      <w:tr w:rsidR="00C300AB" w14:paraId="1B1936C3" w14:textId="77777777" w:rsidTr="00C30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shd w:val="clear" w:color="auto" w:fill="A6A6A6"/>
          </w:tcPr>
          <w:p w14:paraId="7F62A470" w14:textId="77777777" w:rsidR="00C300AB" w:rsidRDefault="00E27DA4">
            <w:pPr>
              <w:jc w:val="center"/>
              <w:rPr>
                <w:rFonts w:ascii="Arial" w:eastAsia="Arial" w:hAnsi="Arial" w:cs="Arial"/>
                <w:sz w:val="16"/>
                <w:szCs w:val="16"/>
              </w:rPr>
            </w:pPr>
            <w:r>
              <w:rPr>
                <w:rFonts w:ascii="Arial" w:eastAsia="Arial" w:hAnsi="Arial" w:cs="Arial"/>
                <w:color w:val="000000"/>
                <w:sz w:val="16"/>
                <w:szCs w:val="16"/>
              </w:rPr>
              <w:t>#</w:t>
            </w:r>
          </w:p>
        </w:tc>
        <w:tc>
          <w:tcPr>
            <w:tcW w:w="2145" w:type="dxa"/>
            <w:shd w:val="clear" w:color="auto" w:fill="A6A6A6"/>
          </w:tcPr>
          <w:p w14:paraId="064B5819" w14:textId="77777777" w:rsidR="00C300AB" w:rsidRDefault="00E27DA4">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Prueba</w:t>
            </w:r>
          </w:p>
        </w:tc>
        <w:tc>
          <w:tcPr>
            <w:tcW w:w="7290" w:type="dxa"/>
            <w:shd w:val="clear" w:color="auto" w:fill="A6A6A6"/>
          </w:tcPr>
          <w:p w14:paraId="137F70DB" w14:textId="77777777" w:rsidR="00C300AB" w:rsidRDefault="00E27DA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Consistente en</w:t>
            </w:r>
          </w:p>
        </w:tc>
      </w:tr>
      <w:tr w:rsidR="00C300AB" w14:paraId="7A529387" w14:textId="77777777" w:rsidTr="00C300AB">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20" w:type="dxa"/>
            <w:shd w:val="clear" w:color="auto" w:fill="D9D9D9"/>
          </w:tcPr>
          <w:p w14:paraId="315688F8" w14:textId="77777777" w:rsidR="00C300AB" w:rsidRDefault="00E27DA4">
            <w:pPr>
              <w:jc w:val="center"/>
              <w:rPr>
                <w:rFonts w:ascii="Arial" w:eastAsia="Arial" w:hAnsi="Arial" w:cs="Arial"/>
                <w:sz w:val="16"/>
                <w:szCs w:val="16"/>
              </w:rPr>
            </w:pPr>
            <w:r>
              <w:rPr>
                <w:rFonts w:ascii="Arial" w:eastAsia="Arial" w:hAnsi="Arial" w:cs="Arial"/>
                <w:sz w:val="16"/>
                <w:szCs w:val="16"/>
              </w:rPr>
              <w:t>1</w:t>
            </w:r>
          </w:p>
        </w:tc>
        <w:tc>
          <w:tcPr>
            <w:tcW w:w="2145" w:type="dxa"/>
            <w:shd w:val="clear" w:color="auto" w:fill="D9D9D9"/>
          </w:tcPr>
          <w:p w14:paraId="5FD1596D" w14:textId="77777777" w:rsidR="00C300AB" w:rsidRDefault="00E27DA4">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proofErr w:type="gramStart"/>
            <w:r>
              <w:rPr>
                <w:rFonts w:ascii="Arial" w:eastAsia="Arial" w:hAnsi="Arial" w:cs="Arial"/>
                <w:b/>
                <w:sz w:val="16"/>
                <w:szCs w:val="16"/>
              </w:rPr>
              <w:t>Documental pública</w:t>
            </w:r>
            <w:proofErr w:type="gramEnd"/>
          </w:p>
        </w:tc>
        <w:tc>
          <w:tcPr>
            <w:tcW w:w="7290" w:type="dxa"/>
            <w:shd w:val="clear" w:color="auto" w:fill="D9D9D9"/>
          </w:tcPr>
          <w:p w14:paraId="7D608170" w14:textId="77777777" w:rsidR="00C300AB" w:rsidRDefault="00E27DA4">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Oficialía Electoral IEE/OE/132/2022.</w:t>
            </w:r>
          </w:p>
        </w:tc>
      </w:tr>
      <w:tr w:rsidR="00C300AB" w14:paraId="69FD66BA" w14:textId="77777777" w:rsidTr="00C300AB">
        <w:trPr>
          <w:trHeight w:val="225"/>
        </w:trPr>
        <w:tc>
          <w:tcPr>
            <w:cnfStyle w:val="001000000000" w:firstRow="0" w:lastRow="0" w:firstColumn="1" w:lastColumn="0" w:oddVBand="0" w:evenVBand="0" w:oddHBand="0" w:evenHBand="0" w:firstRowFirstColumn="0" w:firstRowLastColumn="0" w:lastRowFirstColumn="0" w:lastRowLastColumn="0"/>
            <w:tcW w:w="420" w:type="dxa"/>
          </w:tcPr>
          <w:p w14:paraId="4CF2AD56" w14:textId="77777777" w:rsidR="00C300AB" w:rsidRDefault="00E27DA4">
            <w:pPr>
              <w:rPr>
                <w:rFonts w:ascii="Arial" w:eastAsia="Arial" w:hAnsi="Arial" w:cs="Arial"/>
                <w:sz w:val="16"/>
                <w:szCs w:val="16"/>
              </w:rPr>
            </w:pPr>
            <w:r>
              <w:rPr>
                <w:rFonts w:ascii="Arial" w:eastAsia="Arial" w:hAnsi="Arial" w:cs="Arial"/>
                <w:sz w:val="16"/>
                <w:szCs w:val="16"/>
              </w:rPr>
              <w:t xml:space="preserve"> 2</w:t>
            </w:r>
          </w:p>
        </w:tc>
        <w:tc>
          <w:tcPr>
            <w:tcW w:w="2145" w:type="dxa"/>
          </w:tcPr>
          <w:p w14:paraId="14F0897F" w14:textId="77777777" w:rsidR="00C300AB" w:rsidRDefault="00E27DA4">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 xml:space="preserve">Instrumental de actuaciones </w:t>
            </w:r>
          </w:p>
        </w:tc>
        <w:tc>
          <w:tcPr>
            <w:tcW w:w="7290" w:type="dxa"/>
          </w:tcPr>
          <w:p w14:paraId="6AD78B06" w14:textId="77777777" w:rsidR="00C300AB" w:rsidRDefault="00E27DA4">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r w:rsidR="00C300AB" w14:paraId="23D9F6A1" w14:textId="77777777" w:rsidTr="00C30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shd w:val="clear" w:color="auto" w:fill="D9D9D9"/>
          </w:tcPr>
          <w:p w14:paraId="395AF005" w14:textId="77777777" w:rsidR="00C300AB" w:rsidRDefault="00E27DA4">
            <w:pPr>
              <w:jc w:val="center"/>
              <w:rPr>
                <w:rFonts w:ascii="Arial" w:eastAsia="Arial" w:hAnsi="Arial" w:cs="Arial"/>
                <w:sz w:val="16"/>
                <w:szCs w:val="16"/>
              </w:rPr>
            </w:pPr>
            <w:r>
              <w:rPr>
                <w:rFonts w:ascii="Arial" w:eastAsia="Arial" w:hAnsi="Arial" w:cs="Arial"/>
                <w:sz w:val="16"/>
                <w:szCs w:val="16"/>
              </w:rPr>
              <w:t>3</w:t>
            </w:r>
          </w:p>
        </w:tc>
        <w:tc>
          <w:tcPr>
            <w:tcW w:w="2145" w:type="dxa"/>
            <w:shd w:val="clear" w:color="auto" w:fill="D9D9D9"/>
          </w:tcPr>
          <w:p w14:paraId="70B6D2B8" w14:textId="77777777" w:rsidR="00C300AB" w:rsidRDefault="00E27DA4">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Presuncional legal y humana</w:t>
            </w:r>
          </w:p>
        </w:tc>
        <w:tc>
          <w:tcPr>
            <w:tcW w:w="7290" w:type="dxa"/>
            <w:shd w:val="clear" w:color="auto" w:fill="D9D9D9"/>
          </w:tcPr>
          <w:p w14:paraId="30BED40E" w14:textId="77777777" w:rsidR="00C300AB" w:rsidRDefault="00E27DA4">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bl>
    <w:p w14:paraId="7BD73449" w14:textId="77777777" w:rsidR="00C300AB" w:rsidRDefault="00C300AB">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p>
    <w:p w14:paraId="77EF4402" w14:textId="77777777" w:rsidR="00A714FF" w:rsidRDefault="00A714FF">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p>
    <w:p w14:paraId="70F0DAA7" w14:textId="77777777" w:rsidR="00A714FF" w:rsidRDefault="00A714FF">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p>
    <w:p w14:paraId="09FDBE66" w14:textId="3110EA14" w:rsidR="00C300AB" w:rsidRDefault="00E27DA4">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3.2. Pruebas aportadas por Aldo Emmanuel Ruíz Sánchez: </w:t>
      </w:r>
    </w:p>
    <w:tbl>
      <w:tblPr>
        <w:tblStyle w:val="af0"/>
        <w:tblW w:w="9825"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20"/>
        <w:gridCol w:w="2145"/>
        <w:gridCol w:w="7260"/>
      </w:tblGrid>
      <w:tr w:rsidR="00C300AB" w14:paraId="00D704FB" w14:textId="77777777">
        <w:tc>
          <w:tcPr>
            <w:tcW w:w="420" w:type="dxa"/>
            <w:shd w:val="clear" w:color="auto" w:fill="A6A6A6"/>
          </w:tcPr>
          <w:p w14:paraId="667DF57E" w14:textId="77777777" w:rsidR="00C300AB" w:rsidRDefault="00E27DA4">
            <w:pPr>
              <w:jc w:val="center"/>
              <w:rPr>
                <w:rFonts w:ascii="Arial" w:eastAsia="Arial" w:hAnsi="Arial" w:cs="Arial"/>
                <w:b/>
                <w:sz w:val="16"/>
                <w:szCs w:val="16"/>
              </w:rPr>
            </w:pPr>
            <w:r>
              <w:rPr>
                <w:rFonts w:ascii="Arial" w:eastAsia="Arial" w:hAnsi="Arial" w:cs="Arial"/>
                <w:b/>
                <w:color w:val="000000"/>
                <w:sz w:val="16"/>
                <w:szCs w:val="16"/>
              </w:rPr>
              <w:t>#</w:t>
            </w:r>
          </w:p>
        </w:tc>
        <w:tc>
          <w:tcPr>
            <w:tcW w:w="2145" w:type="dxa"/>
            <w:shd w:val="clear" w:color="auto" w:fill="A6A6A6"/>
          </w:tcPr>
          <w:p w14:paraId="093FC396" w14:textId="77777777" w:rsidR="00C300AB" w:rsidRDefault="00E27DA4">
            <w:pPr>
              <w:rPr>
                <w:rFonts w:ascii="Arial" w:eastAsia="Arial" w:hAnsi="Arial" w:cs="Arial"/>
                <w:b/>
                <w:sz w:val="16"/>
                <w:szCs w:val="16"/>
              </w:rPr>
            </w:pPr>
            <w:r>
              <w:rPr>
                <w:rFonts w:ascii="Arial" w:eastAsia="Arial" w:hAnsi="Arial" w:cs="Arial"/>
                <w:b/>
                <w:color w:val="000000"/>
                <w:sz w:val="16"/>
                <w:szCs w:val="16"/>
              </w:rPr>
              <w:t>Prueba</w:t>
            </w:r>
          </w:p>
        </w:tc>
        <w:tc>
          <w:tcPr>
            <w:tcW w:w="7260" w:type="dxa"/>
            <w:shd w:val="clear" w:color="auto" w:fill="A6A6A6"/>
          </w:tcPr>
          <w:p w14:paraId="6E3EF8AD" w14:textId="77777777" w:rsidR="00C300AB" w:rsidRDefault="00E27DA4">
            <w:pPr>
              <w:jc w:val="center"/>
              <w:rPr>
                <w:rFonts w:ascii="Arial" w:eastAsia="Arial" w:hAnsi="Arial" w:cs="Arial"/>
                <w:b/>
                <w:sz w:val="16"/>
                <w:szCs w:val="16"/>
              </w:rPr>
            </w:pPr>
            <w:r>
              <w:rPr>
                <w:rFonts w:ascii="Arial" w:eastAsia="Arial" w:hAnsi="Arial" w:cs="Arial"/>
                <w:b/>
                <w:color w:val="000000"/>
                <w:sz w:val="16"/>
                <w:szCs w:val="16"/>
              </w:rPr>
              <w:t>Consistente en</w:t>
            </w:r>
          </w:p>
        </w:tc>
      </w:tr>
      <w:tr w:rsidR="00C300AB" w14:paraId="34B73E90" w14:textId="77777777">
        <w:trPr>
          <w:trHeight w:val="431"/>
        </w:trPr>
        <w:tc>
          <w:tcPr>
            <w:tcW w:w="420" w:type="dxa"/>
            <w:shd w:val="clear" w:color="auto" w:fill="D9D9D9"/>
          </w:tcPr>
          <w:p w14:paraId="53E6B5AC" w14:textId="77777777" w:rsidR="00C300AB" w:rsidRDefault="00E27DA4">
            <w:pPr>
              <w:jc w:val="center"/>
              <w:rPr>
                <w:rFonts w:ascii="Arial" w:eastAsia="Arial" w:hAnsi="Arial" w:cs="Arial"/>
                <w:b/>
                <w:sz w:val="16"/>
                <w:szCs w:val="16"/>
              </w:rPr>
            </w:pPr>
            <w:r>
              <w:rPr>
                <w:rFonts w:ascii="Arial" w:eastAsia="Arial" w:hAnsi="Arial" w:cs="Arial"/>
                <w:b/>
                <w:sz w:val="16"/>
                <w:szCs w:val="16"/>
              </w:rPr>
              <w:t>1</w:t>
            </w:r>
          </w:p>
        </w:tc>
        <w:tc>
          <w:tcPr>
            <w:tcW w:w="2145" w:type="dxa"/>
            <w:shd w:val="clear" w:color="auto" w:fill="D9D9D9"/>
          </w:tcPr>
          <w:p w14:paraId="54D472EF" w14:textId="77777777" w:rsidR="00C300AB" w:rsidRDefault="00E27DA4">
            <w:pPr>
              <w:rPr>
                <w:rFonts w:ascii="Arial" w:eastAsia="Arial" w:hAnsi="Arial" w:cs="Arial"/>
                <w:b/>
                <w:sz w:val="16"/>
                <w:szCs w:val="16"/>
              </w:rPr>
            </w:pPr>
            <w:proofErr w:type="gramStart"/>
            <w:r>
              <w:rPr>
                <w:rFonts w:ascii="Arial" w:eastAsia="Arial" w:hAnsi="Arial" w:cs="Arial"/>
                <w:b/>
                <w:sz w:val="16"/>
                <w:szCs w:val="16"/>
              </w:rPr>
              <w:t>Documental privada</w:t>
            </w:r>
            <w:proofErr w:type="gramEnd"/>
          </w:p>
        </w:tc>
        <w:tc>
          <w:tcPr>
            <w:tcW w:w="7260" w:type="dxa"/>
            <w:shd w:val="clear" w:color="auto" w:fill="D9D9D9"/>
          </w:tcPr>
          <w:p w14:paraId="754A0BE5" w14:textId="77777777" w:rsidR="00C300AB" w:rsidRDefault="00E27DA4">
            <w:pPr>
              <w:jc w:val="both"/>
              <w:rPr>
                <w:rFonts w:ascii="Arial" w:eastAsia="Arial" w:hAnsi="Arial" w:cs="Arial"/>
                <w:sz w:val="16"/>
                <w:szCs w:val="16"/>
              </w:rPr>
            </w:pPr>
            <w:r>
              <w:rPr>
                <w:rFonts w:ascii="Arial" w:eastAsia="Arial" w:hAnsi="Arial" w:cs="Arial"/>
                <w:sz w:val="16"/>
                <w:szCs w:val="16"/>
              </w:rPr>
              <w:t xml:space="preserve">Renuncia del ciudadano Aldo Emmanuel Ruíz Sánchez de su encargo como </w:t>
            </w:r>
            <w:proofErr w:type="gramStart"/>
            <w:r>
              <w:rPr>
                <w:rFonts w:ascii="Arial" w:eastAsia="Arial" w:hAnsi="Arial" w:cs="Arial"/>
                <w:sz w:val="16"/>
                <w:szCs w:val="16"/>
              </w:rPr>
              <w:t>Delegado</w:t>
            </w:r>
            <w:proofErr w:type="gramEnd"/>
            <w:r>
              <w:rPr>
                <w:rFonts w:ascii="Arial" w:eastAsia="Arial" w:hAnsi="Arial" w:cs="Arial"/>
                <w:sz w:val="16"/>
                <w:szCs w:val="16"/>
              </w:rPr>
              <w:t xml:space="preserve"> Estatal de Programas para el Desarrollo en el Estado de Aguascalientes. </w:t>
            </w:r>
          </w:p>
        </w:tc>
      </w:tr>
      <w:tr w:rsidR="00C300AB" w14:paraId="7C39AA9C" w14:textId="77777777">
        <w:trPr>
          <w:trHeight w:val="431"/>
        </w:trPr>
        <w:tc>
          <w:tcPr>
            <w:tcW w:w="420" w:type="dxa"/>
            <w:tcBorders>
              <w:top w:val="single" w:sz="4" w:space="0" w:color="666666"/>
              <w:left w:val="single" w:sz="4" w:space="0" w:color="666666"/>
              <w:bottom w:val="single" w:sz="4" w:space="0" w:color="666666"/>
              <w:right w:val="single" w:sz="4" w:space="0" w:color="666666"/>
            </w:tcBorders>
            <w:shd w:val="clear" w:color="auto" w:fill="auto"/>
          </w:tcPr>
          <w:p w14:paraId="74E7E337" w14:textId="77777777" w:rsidR="00C300AB" w:rsidRDefault="00E27DA4">
            <w:pPr>
              <w:jc w:val="center"/>
              <w:rPr>
                <w:rFonts w:ascii="Arial" w:eastAsia="Arial" w:hAnsi="Arial" w:cs="Arial"/>
                <w:b/>
                <w:sz w:val="16"/>
                <w:szCs w:val="16"/>
              </w:rPr>
            </w:pPr>
            <w:r>
              <w:rPr>
                <w:rFonts w:ascii="Arial" w:eastAsia="Arial" w:hAnsi="Arial" w:cs="Arial"/>
                <w:b/>
                <w:sz w:val="16"/>
                <w:szCs w:val="16"/>
              </w:rPr>
              <w:t>2</w:t>
            </w:r>
          </w:p>
        </w:tc>
        <w:tc>
          <w:tcPr>
            <w:tcW w:w="2145" w:type="dxa"/>
            <w:tcBorders>
              <w:top w:val="single" w:sz="4" w:space="0" w:color="666666"/>
              <w:left w:val="single" w:sz="4" w:space="0" w:color="666666"/>
              <w:bottom w:val="single" w:sz="4" w:space="0" w:color="666666"/>
              <w:right w:val="single" w:sz="4" w:space="0" w:color="666666"/>
            </w:tcBorders>
            <w:shd w:val="clear" w:color="auto" w:fill="auto"/>
          </w:tcPr>
          <w:p w14:paraId="7F04AB10" w14:textId="77777777" w:rsidR="00C300AB" w:rsidRDefault="00E27DA4">
            <w:pPr>
              <w:rPr>
                <w:rFonts w:ascii="Arial" w:eastAsia="Arial" w:hAnsi="Arial" w:cs="Arial"/>
                <w:b/>
                <w:sz w:val="16"/>
                <w:szCs w:val="16"/>
              </w:rPr>
            </w:pPr>
            <w:r>
              <w:rPr>
                <w:rFonts w:ascii="Arial" w:eastAsia="Arial" w:hAnsi="Arial" w:cs="Arial"/>
                <w:b/>
                <w:sz w:val="16"/>
                <w:szCs w:val="16"/>
              </w:rPr>
              <w:t xml:space="preserve">Instrumental de actuaciones </w:t>
            </w:r>
          </w:p>
        </w:tc>
        <w:tc>
          <w:tcPr>
            <w:tcW w:w="7260" w:type="dxa"/>
            <w:tcBorders>
              <w:top w:val="single" w:sz="4" w:space="0" w:color="666666"/>
              <w:left w:val="single" w:sz="4" w:space="0" w:color="666666"/>
              <w:bottom w:val="single" w:sz="4" w:space="0" w:color="666666"/>
              <w:right w:val="single" w:sz="4" w:space="0" w:color="666666"/>
            </w:tcBorders>
            <w:shd w:val="clear" w:color="auto" w:fill="auto"/>
          </w:tcPr>
          <w:p w14:paraId="71238F34" w14:textId="77777777" w:rsidR="00C300AB" w:rsidRDefault="00E27DA4">
            <w:pPr>
              <w:jc w:val="both"/>
              <w:rPr>
                <w:rFonts w:ascii="Arial" w:eastAsia="Arial" w:hAnsi="Arial" w:cs="Arial"/>
                <w:sz w:val="16"/>
                <w:szCs w:val="16"/>
              </w:rPr>
            </w:pPr>
            <w:r>
              <w:rPr>
                <w:rFonts w:ascii="Arial" w:eastAsia="Arial" w:hAnsi="Arial" w:cs="Arial"/>
                <w:sz w:val="16"/>
                <w:szCs w:val="16"/>
              </w:rPr>
              <w:t>Todo lo que por su contenido y alcance favorezca a sus intereses.</w:t>
            </w:r>
          </w:p>
        </w:tc>
      </w:tr>
      <w:tr w:rsidR="00C300AB" w14:paraId="0C2C2673" w14:textId="77777777">
        <w:trPr>
          <w:trHeight w:val="431"/>
        </w:trPr>
        <w:tc>
          <w:tcPr>
            <w:tcW w:w="420" w:type="dxa"/>
            <w:tcBorders>
              <w:top w:val="single" w:sz="4" w:space="0" w:color="666666"/>
              <w:left w:val="single" w:sz="4" w:space="0" w:color="666666"/>
              <w:bottom w:val="single" w:sz="4" w:space="0" w:color="666666"/>
              <w:right w:val="single" w:sz="4" w:space="0" w:color="666666"/>
            </w:tcBorders>
            <w:shd w:val="clear" w:color="auto" w:fill="D9D9D9"/>
          </w:tcPr>
          <w:p w14:paraId="4B531217" w14:textId="77777777" w:rsidR="00C300AB" w:rsidRDefault="00E27DA4">
            <w:pPr>
              <w:jc w:val="center"/>
              <w:rPr>
                <w:rFonts w:ascii="Arial" w:eastAsia="Arial" w:hAnsi="Arial" w:cs="Arial"/>
                <w:b/>
                <w:sz w:val="16"/>
                <w:szCs w:val="16"/>
              </w:rPr>
            </w:pPr>
            <w:r>
              <w:rPr>
                <w:rFonts w:ascii="Arial" w:eastAsia="Arial" w:hAnsi="Arial" w:cs="Arial"/>
                <w:b/>
                <w:sz w:val="16"/>
                <w:szCs w:val="16"/>
              </w:rPr>
              <w:t>3</w:t>
            </w:r>
          </w:p>
        </w:tc>
        <w:tc>
          <w:tcPr>
            <w:tcW w:w="2145" w:type="dxa"/>
            <w:tcBorders>
              <w:top w:val="single" w:sz="4" w:space="0" w:color="666666"/>
              <w:left w:val="single" w:sz="4" w:space="0" w:color="666666"/>
              <w:bottom w:val="single" w:sz="4" w:space="0" w:color="666666"/>
              <w:right w:val="single" w:sz="4" w:space="0" w:color="666666"/>
            </w:tcBorders>
            <w:shd w:val="clear" w:color="auto" w:fill="D9D9D9"/>
          </w:tcPr>
          <w:p w14:paraId="4CE9DA17" w14:textId="77777777" w:rsidR="00C300AB" w:rsidRDefault="00E27DA4">
            <w:pPr>
              <w:rPr>
                <w:rFonts w:ascii="Arial" w:eastAsia="Arial" w:hAnsi="Arial" w:cs="Arial"/>
                <w:b/>
                <w:sz w:val="16"/>
                <w:szCs w:val="16"/>
              </w:rPr>
            </w:pPr>
            <w:r>
              <w:rPr>
                <w:rFonts w:ascii="Arial" w:eastAsia="Arial" w:hAnsi="Arial" w:cs="Arial"/>
                <w:b/>
                <w:sz w:val="16"/>
                <w:szCs w:val="16"/>
              </w:rPr>
              <w:t>Presuncional legal y humana</w:t>
            </w:r>
          </w:p>
        </w:tc>
        <w:tc>
          <w:tcPr>
            <w:tcW w:w="7260" w:type="dxa"/>
            <w:tcBorders>
              <w:top w:val="single" w:sz="4" w:space="0" w:color="666666"/>
              <w:left w:val="single" w:sz="4" w:space="0" w:color="666666"/>
              <w:bottom w:val="single" w:sz="4" w:space="0" w:color="666666"/>
              <w:right w:val="single" w:sz="4" w:space="0" w:color="666666"/>
            </w:tcBorders>
            <w:shd w:val="clear" w:color="auto" w:fill="D9D9D9"/>
          </w:tcPr>
          <w:p w14:paraId="4260871C" w14:textId="77777777" w:rsidR="00C300AB" w:rsidRDefault="00E27DA4">
            <w:pPr>
              <w:jc w:val="both"/>
              <w:rPr>
                <w:rFonts w:ascii="Arial" w:eastAsia="Arial" w:hAnsi="Arial" w:cs="Arial"/>
                <w:sz w:val="16"/>
                <w:szCs w:val="16"/>
              </w:rPr>
            </w:pPr>
            <w:r>
              <w:rPr>
                <w:rFonts w:ascii="Arial" w:eastAsia="Arial" w:hAnsi="Arial" w:cs="Arial"/>
                <w:sz w:val="16"/>
                <w:szCs w:val="16"/>
              </w:rPr>
              <w:t>Todo lo que por su contenido y alcance favorezca a sus intereses.</w:t>
            </w:r>
          </w:p>
        </w:tc>
      </w:tr>
    </w:tbl>
    <w:p w14:paraId="2E273B6E" w14:textId="77777777" w:rsidR="00957EB1" w:rsidRDefault="00957EB1">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p>
    <w:p w14:paraId="68560AB4" w14:textId="77777777" w:rsidR="00C300AB" w:rsidRDefault="00E27DA4">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3.3. Pruebas aportadas por Ana Laura Gómez Calzada: </w:t>
      </w:r>
    </w:p>
    <w:tbl>
      <w:tblPr>
        <w:tblStyle w:val="af1"/>
        <w:tblW w:w="9765"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20"/>
        <w:gridCol w:w="2145"/>
        <w:gridCol w:w="7200"/>
      </w:tblGrid>
      <w:tr w:rsidR="00C300AB" w14:paraId="1215575C" w14:textId="77777777">
        <w:tc>
          <w:tcPr>
            <w:tcW w:w="420" w:type="dxa"/>
            <w:shd w:val="clear" w:color="auto" w:fill="A6A6A6"/>
          </w:tcPr>
          <w:p w14:paraId="47E5906E" w14:textId="77777777" w:rsidR="00C300AB" w:rsidRDefault="00E27DA4">
            <w:pPr>
              <w:jc w:val="center"/>
              <w:rPr>
                <w:rFonts w:ascii="Arial" w:eastAsia="Arial" w:hAnsi="Arial" w:cs="Arial"/>
                <w:b/>
                <w:sz w:val="16"/>
                <w:szCs w:val="16"/>
              </w:rPr>
            </w:pPr>
            <w:r>
              <w:rPr>
                <w:rFonts w:ascii="Arial" w:eastAsia="Arial" w:hAnsi="Arial" w:cs="Arial"/>
                <w:b/>
                <w:color w:val="000000"/>
                <w:sz w:val="16"/>
                <w:szCs w:val="16"/>
              </w:rPr>
              <w:t>#</w:t>
            </w:r>
          </w:p>
        </w:tc>
        <w:tc>
          <w:tcPr>
            <w:tcW w:w="2145" w:type="dxa"/>
            <w:shd w:val="clear" w:color="auto" w:fill="A6A6A6"/>
          </w:tcPr>
          <w:p w14:paraId="4CE29B29" w14:textId="77777777" w:rsidR="00C300AB" w:rsidRDefault="00E27DA4">
            <w:pPr>
              <w:rPr>
                <w:rFonts w:ascii="Arial" w:eastAsia="Arial" w:hAnsi="Arial" w:cs="Arial"/>
                <w:b/>
                <w:sz w:val="16"/>
                <w:szCs w:val="16"/>
              </w:rPr>
            </w:pPr>
            <w:r>
              <w:rPr>
                <w:rFonts w:ascii="Arial" w:eastAsia="Arial" w:hAnsi="Arial" w:cs="Arial"/>
                <w:b/>
                <w:color w:val="000000"/>
                <w:sz w:val="16"/>
                <w:szCs w:val="16"/>
              </w:rPr>
              <w:t>Prueba</w:t>
            </w:r>
          </w:p>
        </w:tc>
        <w:tc>
          <w:tcPr>
            <w:tcW w:w="7200" w:type="dxa"/>
            <w:shd w:val="clear" w:color="auto" w:fill="A6A6A6"/>
          </w:tcPr>
          <w:p w14:paraId="2C674D83" w14:textId="77777777" w:rsidR="00C300AB" w:rsidRDefault="00E27DA4">
            <w:pPr>
              <w:jc w:val="center"/>
              <w:rPr>
                <w:rFonts w:ascii="Arial" w:eastAsia="Arial" w:hAnsi="Arial" w:cs="Arial"/>
                <w:b/>
                <w:sz w:val="16"/>
                <w:szCs w:val="16"/>
              </w:rPr>
            </w:pPr>
            <w:r>
              <w:rPr>
                <w:rFonts w:ascii="Arial" w:eastAsia="Arial" w:hAnsi="Arial" w:cs="Arial"/>
                <w:b/>
                <w:color w:val="000000"/>
                <w:sz w:val="16"/>
                <w:szCs w:val="16"/>
              </w:rPr>
              <w:t>Consistente en</w:t>
            </w:r>
          </w:p>
        </w:tc>
      </w:tr>
      <w:tr w:rsidR="00C300AB" w14:paraId="0EAA3356" w14:textId="77777777">
        <w:trPr>
          <w:trHeight w:val="431"/>
        </w:trPr>
        <w:tc>
          <w:tcPr>
            <w:tcW w:w="420" w:type="dxa"/>
            <w:shd w:val="clear" w:color="auto" w:fill="D9D9D9"/>
          </w:tcPr>
          <w:p w14:paraId="57C523CF" w14:textId="77777777" w:rsidR="00C300AB" w:rsidRDefault="00E27DA4">
            <w:pPr>
              <w:jc w:val="center"/>
              <w:rPr>
                <w:rFonts w:ascii="Arial" w:eastAsia="Arial" w:hAnsi="Arial" w:cs="Arial"/>
                <w:b/>
                <w:sz w:val="16"/>
                <w:szCs w:val="16"/>
              </w:rPr>
            </w:pPr>
            <w:r>
              <w:rPr>
                <w:rFonts w:ascii="Arial" w:eastAsia="Arial" w:hAnsi="Arial" w:cs="Arial"/>
                <w:b/>
                <w:sz w:val="16"/>
                <w:szCs w:val="16"/>
              </w:rPr>
              <w:t>1</w:t>
            </w:r>
          </w:p>
        </w:tc>
        <w:tc>
          <w:tcPr>
            <w:tcW w:w="2145" w:type="dxa"/>
            <w:shd w:val="clear" w:color="auto" w:fill="D9D9D9"/>
          </w:tcPr>
          <w:p w14:paraId="40FBAFAA" w14:textId="77777777" w:rsidR="00C300AB" w:rsidRDefault="00E27DA4">
            <w:pPr>
              <w:rPr>
                <w:rFonts w:ascii="Arial" w:eastAsia="Arial" w:hAnsi="Arial" w:cs="Arial"/>
                <w:b/>
                <w:sz w:val="16"/>
                <w:szCs w:val="16"/>
              </w:rPr>
            </w:pPr>
            <w:r>
              <w:rPr>
                <w:rFonts w:ascii="Arial" w:eastAsia="Arial" w:hAnsi="Arial" w:cs="Arial"/>
                <w:b/>
                <w:sz w:val="16"/>
                <w:szCs w:val="16"/>
              </w:rPr>
              <w:t>Técnica</w:t>
            </w:r>
          </w:p>
        </w:tc>
        <w:tc>
          <w:tcPr>
            <w:tcW w:w="7200" w:type="dxa"/>
            <w:shd w:val="clear" w:color="auto" w:fill="D9D9D9"/>
          </w:tcPr>
          <w:p w14:paraId="128EE314" w14:textId="77777777" w:rsidR="00C300AB" w:rsidRDefault="00E27DA4">
            <w:pPr>
              <w:jc w:val="both"/>
              <w:rPr>
                <w:rFonts w:ascii="Arial" w:eastAsia="Arial" w:hAnsi="Arial" w:cs="Arial"/>
                <w:sz w:val="16"/>
                <w:szCs w:val="16"/>
              </w:rPr>
            </w:pPr>
            <w:r>
              <w:rPr>
                <w:rFonts w:ascii="Arial" w:eastAsia="Arial" w:hAnsi="Arial" w:cs="Arial"/>
                <w:sz w:val="16"/>
                <w:szCs w:val="16"/>
              </w:rPr>
              <w:t xml:space="preserve">Las direcciones electrónicas siguientes: </w:t>
            </w:r>
            <w:hyperlink r:id="rId10">
              <w:r>
                <w:rPr>
                  <w:rFonts w:ascii="Arial" w:eastAsia="Arial" w:hAnsi="Arial" w:cs="Arial"/>
                  <w:color w:val="0000FF"/>
                  <w:sz w:val="16"/>
                  <w:szCs w:val="16"/>
                  <w:u w:val="single"/>
                </w:rPr>
                <w:t>https://www.facebook.com/photo/?fbid=496452468876582&amp;set=pb.100055354991877.-2207520000</w:t>
              </w:r>
            </w:hyperlink>
            <w:r>
              <w:rPr>
                <w:rFonts w:ascii="Arial" w:eastAsia="Arial" w:hAnsi="Arial" w:cs="Arial"/>
                <w:sz w:val="16"/>
                <w:szCs w:val="16"/>
              </w:rPr>
              <w:t xml:space="preserve"> y </w:t>
            </w:r>
            <w:hyperlink r:id="rId11">
              <w:r>
                <w:rPr>
                  <w:rFonts w:ascii="Arial" w:eastAsia="Arial" w:hAnsi="Arial" w:cs="Arial"/>
                  <w:color w:val="0000FF"/>
                  <w:sz w:val="16"/>
                  <w:szCs w:val="16"/>
                  <w:u w:val="single"/>
                </w:rPr>
                <w:t>https://www.facebook.com/photo/?fbid=491933075995188&amp;set=pb.100055354991877.-2207520000</w:t>
              </w:r>
            </w:hyperlink>
          </w:p>
        </w:tc>
      </w:tr>
      <w:tr w:rsidR="00C300AB" w14:paraId="4737840C" w14:textId="77777777">
        <w:trPr>
          <w:trHeight w:val="431"/>
        </w:trPr>
        <w:tc>
          <w:tcPr>
            <w:tcW w:w="420" w:type="dxa"/>
            <w:tcBorders>
              <w:top w:val="single" w:sz="4" w:space="0" w:color="666666"/>
              <w:left w:val="single" w:sz="4" w:space="0" w:color="666666"/>
              <w:bottom w:val="single" w:sz="4" w:space="0" w:color="666666"/>
              <w:right w:val="single" w:sz="4" w:space="0" w:color="666666"/>
            </w:tcBorders>
            <w:shd w:val="clear" w:color="auto" w:fill="auto"/>
          </w:tcPr>
          <w:p w14:paraId="32801F25" w14:textId="77777777" w:rsidR="00C300AB" w:rsidRDefault="00E27DA4">
            <w:pPr>
              <w:jc w:val="center"/>
              <w:rPr>
                <w:rFonts w:ascii="Arial" w:eastAsia="Arial" w:hAnsi="Arial" w:cs="Arial"/>
                <w:b/>
                <w:sz w:val="16"/>
                <w:szCs w:val="16"/>
              </w:rPr>
            </w:pPr>
            <w:r>
              <w:rPr>
                <w:rFonts w:ascii="Arial" w:eastAsia="Arial" w:hAnsi="Arial" w:cs="Arial"/>
                <w:b/>
                <w:sz w:val="16"/>
                <w:szCs w:val="16"/>
              </w:rPr>
              <w:t>2</w:t>
            </w:r>
          </w:p>
        </w:tc>
        <w:tc>
          <w:tcPr>
            <w:tcW w:w="2145" w:type="dxa"/>
            <w:tcBorders>
              <w:top w:val="single" w:sz="4" w:space="0" w:color="666666"/>
              <w:left w:val="single" w:sz="4" w:space="0" w:color="666666"/>
              <w:bottom w:val="single" w:sz="4" w:space="0" w:color="666666"/>
              <w:right w:val="single" w:sz="4" w:space="0" w:color="666666"/>
            </w:tcBorders>
            <w:shd w:val="clear" w:color="auto" w:fill="auto"/>
          </w:tcPr>
          <w:p w14:paraId="78378B0E" w14:textId="77777777" w:rsidR="00C300AB" w:rsidRDefault="00E27DA4">
            <w:pPr>
              <w:rPr>
                <w:rFonts w:ascii="Arial" w:eastAsia="Arial" w:hAnsi="Arial" w:cs="Arial"/>
                <w:b/>
                <w:sz w:val="16"/>
                <w:szCs w:val="16"/>
              </w:rPr>
            </w:pPr>
            <w:r>
              <w:rPr>
                <w:rFonts w:ascii="Arial" w:eastAsia="Arial" w:hAnsi="Arial" w:cs="Arial"/>
                <w:b/>
                <w:sz w:val="16"/>
                <w:szCs w:val="16"/>
              </w:rPr>
              <w:t xml:space="preserve">Presuncional legal y humana </w:t>
            </w:r>
          </w:p>
        </w:tc>
        <w:tc>
          <w:tcPr>
            <w:tcW w:w="7200" w:type="dxa"/>
            <w:tcBorders>
              <w:top w:val="single" w:sz="4" w:space="0" w:color="666666"/>
              <w:left w:val="single" w:sz="4" w:space="0" w:color="666666"/>
              <w:bottom w:val="single" w:sz="4" w:space="0" w:color="666666"/>
              <w:right w:val="single" w:sz="4" w:space="0" w:color="666666"/>
            </w:tcBorders>
            <w:shd w:val="clear" w:color="auto" w:fill="auto"/>
          </w:tcPr>
          <w:p w14:paraId="05DE9645" w14:textId="77777777" w:rsidR="00C300AB" w:rsidRDefault="00E27DA4">
            <w:pPr>
              <w:jc w:val="both"/>
              <w:rPr>
                <w:rFonts w:ascii="Arial" w:eastAsia="Arial" w:hAnsi="Arial" w:cs="Arial"/>
                <w:sz w:val="16"/>
                <w:szCs w:val="16"/>
              </w:rPr>
            </w:pPr>
            <w:r>
              <w:rPr>
                <w:rFonts w:ascii="Arial" w:eastAsia="Arial" w:hAnsi="Arial" w:cs="Arial"/>
                <w:sz w:val="16"/>
                <w:szCs w:val="16"/>
              </w:rPr>
              <w:t>Todo lo que por su contenido y alcance favorezca a sus intereses.</w:t>
            </w:r>
          </w:p>
        </w:tc>
      </w:tr>
      <w:tr w:rsidR="00C300AB" w14:paraId="6DC83B09" w14:textId="77777777">
        <w:trPr>
          <w:trHeight w:val="431"/>
        </w:trPr>
        <w:tc>
          <w:tcPr>
            <w:tcW w:w="420" w:type="dxa"/>
            <w:tcBorders>
              <w:top w:val="single" w:sz="4" w:space="0" w:color="666666"/>
              <w:left w:val="single" w:sz="4" w:space="0" w:color="666666"/>
              <w:bottom w:val="single" w:sz="4" w:space="0" w:color="666666"/>
              <w:right w:val="single" w:sz="4" w:space="0" w:color="666666"/>
            </w:tcBorders>
            <w:shd w:val="clear" w:color="auto" w:fill="D9D9D9"/>
          </w:tcPr>
          <w:p w14:paraId="37D195EE" w14:textId="77777777" w:rsidR="00C300AB" w:rsidRDefault="00E27DA4">
            <w:pPr>
              <w:jc w:val="center"/>
              <w:rPr>
                <w:rFonts w:ascii="Arial" w:eastAsia="Arial" w:hAnsi="Arial" w:cs="Arial"/>
                <w:b/>
                <w:sz w:val="16"/>
                <w:szCs w:val="16"/>
              </w:rPr>
            </w:pPr>
            <w:r>
              <w:rPr>
                <w:rFonts w:ascii="Arial" w:eastAsia="Arial" w:hAnsi="Arial" w:cs="Arial"/>
                <w:b/>
                <w:sz w:val="16"/>
                <w:szCs w:val="16"/>
              </w:rPr>
              <w:t>3</w:t>
            </w:r>
          </w:p>
        </w:tc>
        <w:tc>
          <w:tcPr>
            <w:tcW w:w="2145" w:type="dxa"/>
            <w:tcBorders>
              <w:top w:val="single" w:sz="4" w:space="0" w:color="666666"/>
              <w:left w:val="single" w:sz="4" w:space="0" w:color="666666"/>
              <w:bottom w:val="single" w:sz="4" w:space="0" w:color="666666"/>
              <w:right w:val="single" w:sz="4" w:space="0" w:color="666666"/>
            </w:tcBorders>
            <w:shd w:val="clear" w:color="auto" w:fill="D9D9D9"/>
          </w:tcPr>
          <w:p w14:paraId="7E718F91" w14:textId="77777777" w:rsidR="00C300AB" w:rsidRDefault="00E27DA4">
            <w:pPr>
              <w:rPr>
                <w:rFonts w:ascii="Arial" w:eastAsia="Arial" w:hAnsi="Arial" w:cs="Arial"/>
                <w:b/>
                <w:sz w:val="16"/>
                <w:szCs w:val="16"/>
              </w:rPr>
            </w:pPr>
            <w:r>
              <w:rPr>
                <w:rFonts w:ascii="Arial" w:eastAsia="Arial" w:hAnsi="Arial" w:cs="Arial"/>
                <w:b/>
                <w:sz w:val="16"/>
                <w:szCs w:val="16"/>
              </w:rPr>
              <w:t>Instrumental de actuaciones</w:t>
            </w:r>
          </w:p>
        </w:tc>
        <w:tc>
          <w:tcPr>
            <w:tcW w:w="7200" w:type="dxa"/>
            <w:tcBorders>
              <w:top w:val="single" w:sz="4" w:space="0" w:color="666666"/>
              <w:left w:val="single" w:sz="4" w:space="0" w:color="666666"/>
              <w:bottom w:val="single" w:sz="4" w:space="0" w:color="666666"/>
              <w:right w:val="single" w:sz="4" w:space="0" w:color="666666"/>
            </w:tcBorders>
            <w:shd w:val="clear" w:color="auto" w:fill="D9D9D9"/>
          </w:tcPr>
          <w:p w14:paraId="659DB226" w14:textId="77777777" w:rsidR="00C300AB" w:rsidRDefault="00E27DA4">
            <w:pPr>
              <w:jc w:val="both"/>
              <w:rPr>
                <w:rFonts w:ascii="Arial" w:eastAsia="Arial" w:hAnsi="Arial" w:cs="Arial"/>
                <w:sz w:val="16"/>
                <w:szCs w:val="16"/>
              </w:rPr>
            </w:pPr>
            <w:r>
              <w:rPr>
                <w:rFonts w:ascii="Arial" w:eastAsia="Arial" w:hAnsi="Arial" w:cs="Arial"/>
                <w:sz w:val="16"/>
                <w:szCs w:val="16"/>
              </w:rPr>
              <w:t>Todo lo que por su contenido y alcance favorezca a sus intereses.</w:t>
            </w:r>
          </w:p>
        </w:tc>
      </w:tr>
    </w:tbl>
    <w:p w14:paraId="358DC34E" w14:textId="77777777" w:rsidR="00C300AB" w:rsidRDefault="00C300AB">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p>
    <w:p w14:paraId="1A8A44B4" w14:textId="77777777" w:rsidR="00C300AB" w:rsidRDefault="00E27DA4">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3.</w:t>
      </w:r>
      <w:r>
        <w:rPr>
          <w:rFonts w:ascii="Arial" w:eastAsia="Arial" w:hAnsi="Arial" w:cs="Arial"/>
          <w:b/>
          <w:sz w:val="24"/>
          <w:szCs w:val="24"/>
        </w:rPr>
        <w:t>4</w:t>
      </w:r>
      <w:r>
        <w:rPr>
          <w:rFonts w:ascii="Arial" w:eastAsia="Arial" w:hAnsi="Arial" w:cs="Arial"/>
          <w:b/>
          <w:color w:val="000000"/>
          <w:sz w:val="24"/>
          <w:szCs w:val="24"/>
        </w:rPr>
        <w:t>. Pruebas aportadas por Nora Ruvalcaba Gámez y el partido político denunciado:</w:t>
      </w:r>
    </w:p>
    <w:p w14:paraId="457A7E2A" w14:textId="77777777" w:rsidR="00C300AB" w:rsidRDefault="00C300AB">
      <w:pPr>
        <w:pBdr>
          <w:top w:val="nil"/>
          <w:left w:val="nil"/>
          <w:bottom w:val="nil"/>
          <w:right w:val="nil"/>
          <w:between w:val="nil"/>
        </w:pBdr>
        <w:rPr>
          <w:color w:val="000000"/>
        </w:rPr>
      </w:pPr>
    </w:p>
    <w:tbl>
      <w:tblPr>
        <w:tblStyle w:val="af2"/>
        <w:tblW w:w="9795"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420"/>
        <w:gridCol w:w="2145"/>
        <w:gridCol w:w="7230"/>
      </w:tblGrid>
      <w:tr w:rsidR="00C300AB" w14:paraId="109FA738" w14:textId="77777777" w:rsidTr="00C30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tcPr>
          <w:p w14:paraId="0746E3C2" w14:textId="77777777" w:rsidR="00C300AB" w:rsidRDefault="00E27DA4">
            <w:pPr>
              <w:jc w:val="center"/>
              <w:rPr>
                <w:rFonts w:ascii="Arial" w:eastAsia="Arial" w:hAnsi="Arial" w:cs="Arial"/>
                <w:sz w:val="16"/>
                <w:szCs w:val="16"/>
              </w:rPr>
            </w:pPr>
            <w:r>
              <w:rPr>
                <w:rFonts w:ascii="Arial" w:eastAsia="Arial" w:hAnsi="Arial" w:cs="Arial"/>
                <w:color w:val="000000"/>
                <w:sz w:val="16"/>
                <w:szCs w:val="16"/>
              </w:rPr>
              <w:t>#</w:t>
            </w:r>
          </w:p>
        </w:tc>
        <w:tc>
          <w:tcPr>
            <w:tcW w:w="2145" w:type="dxa"/>
          </w:tcPr>
          <w:p w14:paraId="459C3C6E" w14:textId="77777777" w:rsidR="00C300AB" w:rsidRDefault="00E27DA4">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Prueba</w:t>
            </w:r>
          </w:p>
        </w:tc>
        <w:tc>
          <w:tcPr>
            <w:tcW w:w="7230" w:type="dxa"/>
          </w:tcPr>
          <w:p w14:paraId="15C70F38" w14:textId="77777777" w:rsidR="00C300AB" w:rsidRDefault="00E27DA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Consistente en</w:t>
            </w:r>
          </w:p>
        </w:tc>
      </w:tr>
      <w:tr w:rsidR="00C300AB" w14:paraId="26CDFAFF" w14:textId="77777777" w:rsidTr="00C300A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20" w:type="dxa"/>
          </w:tcPr>
          <w:p w14:paraId="57DEDAF2" w14:textId="77777777" w:rsidR="00C300AB" w:rsidRDefault="00E27DA4">
            <w:pPr>
              <w:jc w:val="center"/>
              <w:rPr>
                <w:rFonts w:ascii="Arial" w:eastAsia="Arial" w:hAnsi="Arial" w:cs="Arial"/>
                <w:sz w:val="16"/>
                <w:szCs w:val="16"/>
              </w:rPr>
            </w:pPr>
            <w:r>
              <w:rPr>
                <w:rFonts w:ascii="Arial" w:eastAsia="Arial" w:hAnsi="Arial" w:cs="Arial"/>
                <w:sz w:val="16"/>
                <w:szCs w:val="16"/>
              </w:rPr>
              <w:t>1</w:t>
            </w:r>
          </w:p>
        </w:tc>
        <w:tc>
          <w:tcPr>
            <w:tcW w:w="2145" w:type="dxa"/>
          </w:tcPr>
          <w:p w14:paraId="1B825A52" w14:textId="77777777" w:rsidR="00C300AB" w:rsidRDefault="00E27DA4">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 xml:space="preserve">Instrumental de actuaciones </w:t>
            </w:r>
          </w:p>
        </w:tc>
        <w:tc>
          <w:tcPr>
            <w:tcW w:w="7230" w:type="dxa"/>
          </w:tcPr>
          <w:p w14:paraId="72CFBE8C" w14:textId="77777777" w:rsidR="00C300AB" w:rsidRDefault="00E27DA4">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r w:rsidR="00C300AB" w14:paraId="48A51847" w14:textId="77777777" w:rsidTr="00C300AB">
        <w:tc>
          <w:tcPr>
            <w:cnfStyle w:val="001000000000" w:firstRow="0" w:lastRow="0" w:firstColumn="1" w:lastColumn="0" w:oddVBand="0" w:evenVBand="0" w:oddHBand="0" w:evenHBand="0" w:firstRowFirstColumn="0" w:firstRowLastColumn="0" w:lastRowFirstColumn="0" w:lastRowLastColumn="0"/>
            <w:tcW w:w="420" w:type="dxa"/>
          </w:tcPr>
          <w:p w14:paraId="4722BF1C" w14:textId="77777777" w:rsidR="00C300AB" w:rsidRDefault="00E27DA4">
            <w:pPr>
              <w:jc w:val="center"/>
              <w:rPr>
                <w:rFonts w:ascii="Arial" w:eastAsia="Arial" w:hAnsi="Arial" w:cs="Arial"/>
                <w:sz w:val="16"/>
                <w:szCs w:val="16"/>
              </w:rPr>
            </w:pPr>
            <w:r>
              <w:rPr>
                <w:rFonts w:ascii="Arial" w:eastAsia="Arial" w:hAnsi="Arial" w:cs="Arial"/>
                <w:sz w:val="16"/>
                <w:szCs w:val="16"/>
              </w:rPr>
              <w:t>2</w:t>
            </w:r>
          </w:p>
        </w:tc>
        <w:tc>
          <w:tcPr>
            <w:tcW w:w="2145" w:type="dxa"/>
          </w:tcPr>
          <w:p w14:paraId="1B0A7109" w14:textId="77777777" w:rsidR="00C300AB" w:rsidRDefault="00E27DA4">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Presuncional legal y humana</w:t>
            </w:r>
          </w:p>
        </w:tc>
        <w:tc>
          <w:tcPr>
            <w:tcW w:w="7230" w:type="dxa"/>
          </w:tcPr>
          <w:p w14:paraId="7A9F3444" w14:textId="77777777" w:rsidR="00C300AB" w:rsidRDefault="00E27DA4">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bl>
    <w:p w14:paraId="00A13423" w14:textId="77777777" w:rsidR="00C300AB" w:rsidRDefault="00C300AB">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p>
    <w:p w14:paraId="4359DC1C" w14:textId="77777777" w:rsidR="00C300AB" w:rsidRDefault="00E27DA4">
      <w:pPr>
        <w:pBdr>
          <w:top w:val="nil"/>
          <w:left w:val="nil"/>
          <w:bottom w:val="nil"/>
          <w:right w:val="nil"/>
          <w:between w:val="nil"/>
        </w:pBdr>
        <w:tabs>
          <w:tab w:val="left" w:pos="567"/>
        </w:tabs>
        <w:spacing w:line="360" w:lineRule="auto"/>
        <w:jc w:val="both"/>
        <w:rPr>
          <w:rFonts w:ascii="Arial" w:eastAsia="Arial" w:hAnsi="Arial" w:cs="Arial"/>
          <w:color w:val="000000"/>
          <w:sz w:val="24"/>
          <w:szCs w:val="24"/>
          <w:vertAlign w:val="superscript"/>
        </w:rPr>
      </w:pPr>
      <w:r>
        <w:rPr>
          <w:rFonts w:ascii="Arial" w:eastAsia="Arial" w:hAnsi="Arial" w:cs="Arial"/>
          <w:b/>
          <w:color w:val="000000"/>
          <w:sz w:val="24"/>
          <w:szCs w:val="24"/>
        </w:rPr>
        <w:t>3.</w:t>
      </w:r>
      <w:r>
        <w:rPr>
          <w:rFonts w:ascii="Arial" w:eastAsia="Arial" w:hAnsi="Arial" w:cs="Arial"/>
          <w:b/>
          <w:sz w:val="24"/>
          <w:szCs w:val="24"/>
        </w:rPr>
        <w:t>5</w:t>
      </w:r>
      <w:r>
        <w:rPr>
          <w:rFonts w:ascii="Arial" w:eastAsia="Arial" w:hAnsi="Arial" w:cs="Arial"/>
          <w:b/>
          <w:color w:val="000000"/>
          <w:sz w:val="24"/>
          <w:szCs w:val="24"/>
        </w:rPr>
        <w:t xml:space="preserve">. Valoración de pruebas. </w:t>
      </w:r>
      <w:r>
        <w:rPr>
          <w:rFonts w:ascii="Arial" w:eastAsia="Arial" w:hAnsi="Arial" w:cs="Arial"/>
          <w:color w:val="000000"/>
          <w:sz w:val="24"/>
          <w:szCs w:val="24"/>
        </w:rPr>
        <w:t xml:space="preserve">Las pruebas antes descritas, se valoran </w:t>
      </w:r>
      <w:r>
        <w:rPr>
          <w:rFonts w:ascii="Arial" w:eastAsia="Arial" w:hAnsi="Arial" w:cs="Arial"/>
          <w:sz w:val="24"/>
          <w:szCs w:val="24"/>
        </w:rPr>
        <w:t>conforme al</w:t>
      </w:r>
      <w:r>
        <w:rPr>
          <w:rFonts w:ascii="Arial" w:eastAsia="Arial" w:hAnsi="Arial" w:cs="Arial"/>
          <w:color w:val="000000"/>
          <w:sz w:val="24"/>
          <w:szCs w:val="24"/>
        </w:rPr>
        <w:t xml:space="preserve"> Código Electoral.</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5"/>
      </w:r>
    </w:p>
    <w:p w14:paraId="695DFD41" w14:textId="77777777" w:rsidR="00C300AB" w:rsidRDefault="00C300AB">
      <w:pPr>
        <w:pBdr>
          <w:top w:val="nil"/>
          <w:left w:val="nil"/>
          <w:bottom w:val="nil"/>
          <w:right w:val="nil"/>
          <w:between w:val="nil"/>
        </w:pBdr>
        <w:rPr>
          <w:color w:val="000000"/>
        </w:rPr>
      </w:pPr>
    </w:p>
    <w:p w14:paraId="55C99F2C" w14:textId="77777777" w:rsidR="00C300AB" w:rsidRDefault="00E27DA4">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32EC3ECA" w14:textId="77777777" w:rsidR="00C300AB" w:rsidRDefault="00C300AB">
      <w:pPr>
        <w:pBdr>
          <w:top w:val="nil"/>
          <w:left w:val="nil"/>
          <w:bottom w:val="nil"/>
          <w:right w:val="nil"/>
          <w:between w:val="nil"/>
        </w:pBdr>
        <w:rPr>
          <w:color w:val="000000"/>
          <w:sz w:val="10"/>
          <w:szCs w:val="10"/>
        </w:rPr>
      </w:pPr>
    </w:p>
    <w:p w14:paraId="2C31A320" w14:textId="77777777" w:rsidR="00C300AB" w:rsidRDefault="00E27DA4">
      <w:pPr>
        <w:numPr>
          <w:ilvl w:val="0"/>
          <w:numId w:val="2"/>
        </w:numPr>
        <w:pBdr>
          <w:top w:val="nil"/>
          <w:left w:val="nil"/>
          <w:bottom w:val="nil"/>
          <w:right w:val="nil"/>
          <w:between w:val="nil"/>
        </w:pBdr>
        <w:tabs>
          <w:tab w:val="left" w:pos="-155"/>
        </w:tabs>
        <w:spacing w:line="360" w:lineRule="auto"/>
        <w:ind w:left="0" w:right="36" w:firstLine="0"/>
        <w:jc w:val="both"/>
        <w:rPr>
          <w:color w:val="000000"/>
          <w:sz w:val="24"/>
          <w:szCs w:val="24"/>
        </w:rPr>
      </w:pPr>
      <w:r>
        <w:rPr>
          <w:rFonts w:ascii="Arial" w:eastAsia="Arial" w:hAnsi="Arial" w:cs="Arial"/>
          <w:color w:val="000000"/>
          <w:sz w:val="24"/>
          <w:szCs w:val="24"/>
        </w:rPr>
        <w:t xml:space="preserve">La existencia de las publicaciones denunciadas, en las cuales aparece </w:t>
      </w:r>
      <w:r>
        <w:rPr>
          <w:rFonts w:ascii="Arial" w:eastAsia="Arial" w:hAnsi="Arial" w:cs="Arial"/>
          <w:sz w:val="24"/>
          <w:szCs w:val="24"/>
        </w:rPr>
        <w:t>Nora Ruvalcaba Gámez, entonces</w:t>
      </w:r>
      <w:r>
        <w:rPr>
          <w:rFonts w:ascii="Arial" w:eastAsia="Arial" w:hAnsi="Arial" w:cs="Arial"/>
          <w:color w:val="000000"/>
          <w:sz w:val="24"/>
          <w:szCs w:val="24"/>
        </w:rPr>
        <w:t xml:space="preserve"> candidata de Morena, acompañada de Aldo Emmanuel Ruiz Sánchez y Ana Laura Gómez Calzada. </w:t>
      </w:r>
    </w:p>
    <w:p w14:paraId="074BD101" w14:textId="77777777" w:rsidR="00C300AB" w:rsidRDefault="00E27DA4">
      <w:pPr>
        <w:numPr>
          <w:ilvl w:val="0"/>
          <w:numId w:val="2"/>
        </w:numPr>
        <w:pBdr>
          <w:top w:val="nil"/>
          <w:left w:val="nil"/>
          <w:bottom w:val="nil"/>
          <w:right w:val="nil"/>
          <w:between w:val="nil"/>
        </w:pBdr>
        <w:tabs>
          <w:tab w:val="left" w:pos="-155"/>
        </w:tabs>
        <w:spacing w:line="360" w:lineRule="auto"/>
        <w:ind w:left="0" w:right="36" w:firstLine="0"/>
        <w:jc w:val="both"/>
        <w:rPr>
          <w:color w:val="000000"/>
          <w:sz w:val="24"/>
          <w:szCs w:val="24"/>
        </w:rPr>
      </w:pPr>
      <w:r>
        <w:rPr>
          <w:rFonts w:ascii="Arial" w:eastAsia="Arial" w:hAnsi="Arial" w:cs="Arial"/>
          <w:color w:val="000000"/>
          <w:sz w:val="24"/>
          <w:szCs w:val="24"/>
        </w:rPr>
        <w:t xml:space="preserve">La calidad de Ana Laura Gómez Calzada, como Diputada de la LXV Legislatura del Congreso del Estado de Aguascalientes. </w:t>
      </w:r>
    </w:p>
    <w:p w14:paraId="029DC6B1" w14:textId="77777777" w:rsidR="00C300AB" w:rsidRDefault="00E27DA4">
      <w:pPr>
        <w:numPr>
          <w:ilvl w:val="0"/>
          <w:numId w:val="2"/>
        </w:numPr>
        <w:pBdr>
          <w:top w:val="nil"/>
          <w:left w:val="nil"/>
          <w:bottom w:val="nil"/>
          <w:right w:val="nil"/>
          <w:between w:val="nil"/>
        </w:pBdr>
        <w:tabs>
          <w:tab w:val="left" w:pos="-155"/>
        </w:tabs>
        <w:spacing w:line="360" w:lineRule="auto"/>
        <w:ind w:left="0" w:right="36" w:firstLine="0"/>
        <w:jc w:val="both"/>
        <w:rPr>
          <w:color w:val="000000"/>
          <w:sz w:val="24"/>
          <w:szCs w:val="24"/>
        </w:rPr>
      </w:pPr>
      <w:r>
        <w:rPr>
          <w:rFonts w:ascii="Arial" w:eastAsia="Arial" w:hAnsi="Arial" w:cs="Arial"/>
          <w:color w:val="000000"/>
          <w:sz w:val="24"/>
          <w:szCs w:val="24"/>
        </w:rPr>
        <w:lastRenderedPageBreak/>
        <w:t xml:space="preserve">La renuncia del ciudadano Aldo Emmanuel Ruiz Sánchez como titular de la Delegación Estatal de Programas para el Desarrollo en el Estado de Aguascalientes. </w:t>
      </w:r>
    </w:p>
    <w:p w14:paraId="79DC3808" w14:textId="77777777" w:rsidR="00C300AB" w:rsidRDefault="00C300AB">
      <w:pPr>
        <w:pBdr>
          <w:top w:val="nil"/>
          <w:left w:val="nil"/>
          <w:bottom w:val="nil"/>
          <w:right w:val="nil"/>
          <w:between w:val="nil"/>
        </w:pBdr>
        <w:rPr>
          <w:color w:val="000000"/>
        </w:rPr>
      </w:pPr>
    </w:p>
    <w:p w14:paraId="105E92E8" w14:textId="77777777" w:rsidR="00C300AB" w:rsidRDefault="00E27DA4">
      <w:pPr>
        <w:numPr>
          <w:ilvl w:val="0"/>
          <w:numId w:val="4"/>
        </w:numPr>
        <w:pBdr>
          <w:top w:val="nil"/>
          <w:left w:val="nil"/>
          <w:bottom w:val="nil"/>
          <w:right w:val="nil"/>
          <w:between w:val="nil"/>
        </w:pBdr>
        <w:tabs>
          <w:tab w:val="left" w:pos="426"/>
        </w:tabs>
        <w:spacing w:line="360" w:lineRule="auto"/>
        <w:ind w:right="36" w:hanging="862"/>
        <w:jc w:val="both"/>
        <w:rPr>
          <w:rFonts w:ascii="Arial" w:eastAsia="Arial" w:hAnsi="Arial" w:cs="Arial"/>
          <w:color w:val="000000"/>
          <w:sz w:val="24"/>
          <w:szCs w:val="24"/>
        </w:rPr>
      </w:pPr>
      <w:r>
        <w:rPr>
          <w:rFonts w:ascii="Arial" w:eastAsia="Arial" w:hAnsi="Arial" w:cs="Arial"/>
          <w:b/>
          <w:color w:val="000000"/>
          <w:sz w:val="24"/>
          <w:szCs w:val="24"/>
        </w:rPr>
        <w:t>Análisis de fondo</w:t>
      </w:r>
    </w:p>
    <w:p w14:paraId="17368C66" w14:textId="77777777" w:rsidR="00C300AB" w:rsidRDefault="00C300AB">
      <w:pPr>
        <w:pBdr>
          <w:top w:val="nil"/>
          <w:left w:val="nil"/>
          <w:bottom w:val="nil"/>
          <w:right w:val="nil"/>
          <w:between w:val="nil"/>
        </w:pBdr>
        <w:rPr>
          <w:color w:val="000000"/>
        </w:rPr>
      </w:pPr>
    </w:p>
    <w:p w14:paraId="22B4EEC9" w14:textId="77777777" w:rsidR="00C300AB" w:rsidRDefault="00E27DA4">
      <w:pPr>
        <w:numPr>
          <w:ilvl w:val="0"/>
          <w:numId w:val="6"/>
        </w:numPr>
        <w:pBdr>
          <w:top w:val="nil"/>
          <w:left w:val="nil"/>
          <w:bottom w:val="nil"/>
          <w:right w:val="nil"/>
          <w:between w:val="nil"/>
        </w:pBdr>
        <w:tabs>
          <w:tab w:val="left" w:pos="426"/>
        </w:tabs>
        <w:spacing w:line="276"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123964AC" w14:textId="77777777" w:rsidR="00C300AB" w:rsidRDefault="00C300AB">
      <w:pPr>
        <w:pBdr>
          <w:top w:val="nil"/>
          <w:left w:val="nil"/>
          <w:bottom w:val="nil"/>
          <w:right w:val="nil"/>
          <w:between w:val="nil"/>
        </w:pBdr>
        <w:rPr>
          <w:color w:val="000000"/>
        </w:rPr>
      </w:pPr>
    </w:p>
    <w:p w14:paraId="3ED7D12F" w14:textId="77777777" w:rsidR="00C300AB" w:rsidRDefault="00E27DA4">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i/>
          <w:color w:val="000000"/>
          <w:sz w:val="24"/>
          <w:szCs w:val="24"/>
        </w:rPr>
        <w:t>i)</w:t>
      </w:r>
      <w:r>
        <w:rPr>
          <w:rFonts w:ascii="Arial" w:eastAsia="Arial" w:hAnsi="Arial" w:cs="Arial"/>
          <w:color w:val="000000"/>
          <w:sz w:val="24"/>
          <w:szCs w:val="24"/>
        </w:rPr>
        <w:t xml:space="preserve"> ¿Si la aparición del ciudadano Aldo Emmanuel Ruíz Sánchez y la Diputada Ana Laura Gómez Calzada en las fotografías difundidas en el perfil de Facebook de </w:t>
      </w:r>
      <w:r>
        <w:rPr>
          <w:rFonts w:ascii="Arial" w:eastAsia="Arial" w:hAnsi="Arial" w:cs="Arial"/>
          <w:sz w:val="24"/>
          <w:szCs w:val="24"/>
        </w:rPr>
        <w:t>Nora Ruvalcaba Gámez,</w:t>
      </w:r>
      <w:r>
        <w:rPr>
          <w:rFonts w:ascii="Arial" w:eastAsia="Arial" w:hAnsi="Arial" w:cs="Arial"/>
          <w:color w:val="000000"/>
          <w:sz w:val="24"/>
          <w:szCs w:val="24"/>
        </w:rPr>
        <w:t xml:space="preserve"> entonces candidata de Morena,</w:t>
      </w:r>
      <w:r>
        <w:rPr>
          <w:rFonts w:ascii="Arial" w:eastAsia="Arial" w:hAnsi="Arial" w:cs="Arial"/>
          <w:sz w:val="24"/>
          <w:szCs w:val="24"/>
        </w:rPr>
        <w:t xml:space="preserve"> implica una vulneración a</w:t>
      </w:r>
      <w:r>
        <w:rPr>
          <w:rFonts w:ascii="Arial" w:eastAsia="Arial" w:hAnsi="Arial" w:cs="Arial"/>
          <w:color w:val="000000"/>
          <w:sz w:val="24"/>
          <w:szCs w:val="24"/>
        </w:rPr>
        <w:t xml:space="preserve"> los principios de imparcialidad, neutralidad y equidad en la contienda, al hacer uso indebido de los recursos públicos?</w:t>
      </w:r>
    </w:p>
    <w:p w14:paraId="7880C27A" w14:textId="77777777" w:rsidR="00C300AB" w:rsidRDefault="00C300AB">
      <w:pPr>
        <w:pBdr>
          <w:top w:val="nil"/>
          <w:left w:val="nil"/>
          <w:bottom w:val="nil"/>
          <w:right w:val="nil"/>
          <w:between w:val="nil"/>
        </w:pBdr>
        <w:rPr>
          <w:color w:val="000000"/>
        </w:rPr>
      </w:pPr>
    </w:p>
    <w:p w14:paraId="7EB1AA51" w14:textId="77777777" w:rsidR="00C300AB" w:rsidRPr="00957EB1" w:rsidRDefault="00E27DA4">
      <w:pPr>
        <w:spacing w:line="360" w:lineRule="auto"/>
        <w:jc w:val="both"/>
        <w:rPr>
          <w:rFonts w:ascii="Arial" w:eastAsia="Arial" w:hAnsi="Arial" w:cs="Arial"/>
          <w:b/>
          <w:sz w:val="24"/>
          <w:szCs w:val="24"/>
        </w:rPr>
      </w:pPr>
      <w:r w:rsidRPr="00957EB1">
        <w:rPr>
          <w:rFonts w:ascii="Arial" w:eastAsia="Arial" w:hAnsi="Arial" w:cs="Arial"/>
          <w:b/>
          <w:sz w:val="24"/>
          <w:szCs w:val="24"/>
          <w:u w:val="single"/>
        </w:rPr>
        <w:t>Aparatado I.</w:t>
      </w:r>
      <w:r w:rsidRPr="00957EB1">
        <w:rPr>
          <w:rFonts w:ascii="Arial" w:eastAsia="Arial" w:hAnsi="Arial" w:cs="Arial"/>
          <w:b/>
          <w:sz w:val="24"/>
          <w:szCs w:val="24"/>
        </w:rPr>
        <w:t xml:space="preserve"> Decisión. </w:t>
      </w:r>
    </w:p>
    <w:p w14:paraId="00DFEA21" w14:textId="77777777" w:rsidR="00C300AB" w:rsidRDefault="00C300AB" w:rsidP="00957EB1">
      <w:pPr>
        <w:pStyle w:val="Sinespaciado"/>
        <w:rPr>
          <w:rFonts w:eastAsia="Arial"/>
          <w:highlight w:val="yellow"/>
        </w:rPr>
      </w:pPr>
    </w:p>
    <w:p w14:paraId="29259B7A" w14:textId="77777777" w:rsidR="00C300AB" w:rsidRDefault="00E27DA4">
      <w:pPr>
        <w:spacing w:line="360" w:lineRule="auto"/>
        <w:jc w:val="both"/>
        <w:rPr>
          <w:rFonts w:ascii="Arial" w:eastAsia="Arial" w:hAnsi="Arial" w:cs="Arial"/>
          <w:sz w:val="24"/>
          <w:szCs w:val="24"/>
        </w:rPr>
      </w:pPr>
      <w:r>
        <w:rPr>
          <w:rFonts w:ascii="Arial" w:eastAsia="Arial" w:hAnsi="Arial" w:cs="Arial"/>
          <w:sz w:val="24"/>
          <w:szCs w:val="24"/>
        </w:rPr>
        <w:t xml:space="preserve">Este Tribunal Electoral considera que debe declarase: </w:t>
      </w:r>
      <w:r>
        <w:rPr>
          <w:rFonts w:ascii="Arial" w:eastAsia="Arial" w:hAnsi="Arial" w:cs="Arial"/>
          <w:b/>
          <w:i/>
          <w:sz w:val="24"/>
          <w:szCs w:val="24"/>
        </w:rPr>
        <w:t xml:space="preserve">a) </w:t>
      </w:r>
      <w:r>
        <w:rPr>
          <w:rFonts w:ascii="Arial" w:eastAsia="Arial" w:hAnsi="Arial" w:cs="Arial"/>
          <w:sz w:val="24"/>
          <w:szCs w:val="24"/>
        </w:rPr>
        <w:t xml:space="preserve">la </w:t>
      </w:r>
      <w:r>
        <w:rPr>
          <w:rFonts w:ascii="Arial" w:eastAsia="Arial" w:hAnsi="Arial" w:cs="Arial"/>
          <w:b/>
          <w:sz w:val="24"/>
          <w:szCs w:val="24"/>
        </w:rPr>
        <w:t>inexistencia</w:t>
      </w:r>
      <w:r>
        <w:rPr>
          <w:rFonts w:ascii="Arial" w:eastAsia="Arial" w:hAnsi="Arial" w:cs="Arial"/>
          <w:sz w:val="24"/>
          <w:szCs w:val="24"/>
        </w:rPr>
        <w:t xml:space="preserve"> de la infracción atribuida a la entonces candidata Nora Ruvalcaba Gámez, al ciudadano Aldo Emmanuel Ruiz Sánchez, y a la Diputada de la LXV Legislatura del Congreso, Ana Laura Gómez Calzada, consistente en la vulneración a los principios de equidad e imparcialidad en la contienda, derivado de su aparición en una serie de fotografías que promovieron la candidatura postulada por Morena y, </w:t>
      </w:r>
      <w:r>
        <w:rPr>
          <w:rFonts w:ascii="Arial" w:eastAsia="Arial" w:hAnsi="Arial" w:cs="Arial"/>
          <w:b/>
          <w:i/>
          <w:sz w:val="24"/>
          <w:szCs w:val="24"/>
        </w:rPr>
        <w:t xml:space="preserve">b) </w:t>
      </w:r>
      <w:r>
        <w:rPr>
          <w:rFonts w:ascii="Arial" w:eastAsia="Arial" w:hAnsi="Arial" w:cs="Arial"/>
          <w:sz w:val="24"/>
          <w:szCs w:val="24"/>
        </w:rPr>
        <w:t xml:space="preserve">la </w:t>
      </w:r>
      <w:r>
        <w:rPr>
          <w:rFonts w:ascii="Arial" w:eastAsia="Arial" w:hAnsi="Arial" w:cs="Arial"/>
          <w:b/>
          <w:sz w:val="24"/>
          <w:szCs w:val="24"/>
        </w:rPr>
        <w:t xml:space="preserve">inexistencia </w:t>
      </w:r>
      <w:r>
        <w:rPr>
          <w:rFonts w:ascii="Arial" w:eastAsia="Arial" w:hAnsi="Arial" w:cs="Arial"/>
          <w:sz w:val="24"/>
          <w:szCs w:val="24"/>
        </w:rPr>
        <w:t xml:space="preserve">de la infracción de </w:t>
      </w:r>
      <w:r>
        <w:rPr>
          <w:rFonts w:ascii="Arial" w:eastAsia="Arial" w:hAnsi="Arial" w:cs="Arial"/>
          <w:i/>
          <w:sz w:val="24"/>
          <w:szCs w:val="24"/>
        </w:rPr>
        <w:t xml:space="preserve">culpa in vigilando </w:t>
      </w:r>
      <w:r>
        <w:rPr>
          <w:rFonts w:ascii="Arial" w:eastAsia="Arial" w:hAnsi="Arial" w:cs="Arial"/>
          <w:sz w:val="24"/>
          <w:szCs w:val="24"/>
        </w:rPr>
        <w:t>atribuida a Morena.</w:t>
      </w:r>
    </w:p>
    <w:p w14:paraId="22CA6699" w14:textId="77777777" w:rsidR="00C300AB" w:rsidRDefault="00C300AB"/>
    <w:p w14:paraId="49CEC14D" w14:textId="77777777" w:rsidR="00C300AB" w:rsidRDefault="00E27DA4">
      <w:pPr>
        <w:spacing w:line="360" w:lineRule="auto"/>
        <w:jc w:val="both"/>
        <w:rPr>
          <w:rFonts w:ascii="Arial" w:eastAsia="Arial" w:hAnsi="Arial" w:cs="Arial"/>
          <w:sz w:val="24"/>
          <w:szCs w:val="24"/>
        </w:rPr>
      </w:pPr>
      <w:r>
        <w:rPr>
          <w:rFonts w:ascii="Arial" w:eastAsia="Arial" w:hAnsi="Arial" w:cs="Arial"/>
          <w:sz w:val="24"/>
          <w:szCs w:val="24"/>
        </w:rPr>
        <w:t xml:space="preserve">Lo anterior, porque </w:t>
      </w:r>
      <w:r>
        <w:rPr>
          <w:rFonts w:ascii="Arial" w:eastAsia="Arial" w:hAnsi="Arial" w:cs="Arial"/>
          <w:b/>
          <w:sz w:val="24"/>
          <w:szCs w:val="24"/>
        </w:rPr>
        <w:t>este Tribunal Electoral considera</w:t>
      </w:r>
      <w:r>
        <w:rPr>
          <w:rFonts w:ascii="Arial" w:eastAsia="Arial" w:hAnsi="Arial" w:cs="Arial"/>
          <w:sz w:val="24"/>
          <w:szCs w:val="24"/>
        </w:rPr>
        <w:t xml:space="preserve"> que, del análisis de los hechos denunciados y del material probatorio que obra en el expediente, se advierte que: </w:t>
      </w:r>
      <w:r>
        <w:rPr>
          <w:rFonts w:ascii="Arial" w:eastAsia="Arial" w:hAnsi="Arial" w:cs="Arial"/>
          <w:b/>
          <w:i/>
          <w:sz w:val="24"/>
          <w:szCs w:val="24"/>
        </w:rPr>
        <w:t>i)</w:t>
      </w:r>
      <w:r>
        <w:rPr>
          <w:rFonts w:ascii="Arial" w:eastAsia="Arial" w:hAnsi="Arial" w:cs="Arial"/>
          <w:sz w:val="24"/>
          <w:szCs w:val="24"/>
        </w:rPr>
        <w:t xml:space="preserve"> el solo hecho de que la diputada cuestionada aparezca en fotografías con la entonces candidata Nora Ruvalcaba Gámez, no implica que se esté en presencia de una vulneración al principio alegado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no se logró comprobar que el denunciado Aldo Emmanuel Ruiz Sánchez, se desempeñe como funcionario público, ya que si bien se le denunció en su calidad de Delegado Estatal de Programas para el Desarrollo en el Estado de Aguascalientes, lo cierto es que tal carácter concluyó el 27 de agosto de 2021; por tanto, se estima que este órgano jurisdiccional no cuenta con elementos probatorios suficientes que adminiculados entre sí, permitan advertir alguna vulneración al artículo 134 constitucional. </w:t>
      </w:r>
    </w:p>
    <w:p w14:paraId="1BDA94A2" w14:textId="77777777" w:rsidR="00C300AB" w:rsidRDefault="00C300AB">
      <w:pPr>
        <w:pBdr>
          <w:top w:val="nil"/>
          <w:left w:val="nil"/>
          <w:bottom w:val="nil"/>
          <w:right w:val="nil"/>
          <w:between w:val="nil"/>
        </w:pBdr>
        <w:rPr>
          <w:color w:val="000000"/>
          <w:sz w:val="18"/>
          <w:szCs w:val="18"/>
        </w:rPr>
      </w:pPr>
    </w:p>
    <w:p w14:paraId="2B84CAFE" w14:textId="77777777" w:rsidR="00C300AB" w:rsidRDefault="00E27DA4">
      <w:pPr>
        <w:spacing w:line="360" w:lineRule="auto"/>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206C3855" w14:textId="77777777" w:rsidR="00C300AB" w:rsidRDefault="00C300AB">
      <w:pPr>
        <w:pBdr>
          <w:top w:val="nil"/>
          <w:left w:val="nil"/>
          <w:bottom w:val="nil"/>
          <w:right w:val="nil"/>
          <w:between w:val="nil"/>
        </w:pBdr>
        <w:rPr>
          <w:color w:val="000000"/>
        </w:rPr>
      </w:pPr>
    </w:p>
    <w:p w14:paraId="72B9E859" w14:textId="77777777" w:rsidR="00C300AB" w:rsidRDefault="00E27DA4">
      <w:pPr>
        <w:numPr>
          <w:ilvl w:val="0"/>
          <w:numId w:val="5"/>
        </w:numPr>
        <w:pBdr>
          <w:top w:val="nil"/>
          <w:left w:val="nil"/>
          <w:bottom w:val="nil"/>
          <w:right w:val="nil"/>
          <w:between w:val="nil"/>
        </w:pBdr>
        <w:spacing w:line="360" w:lineRule="auto"/>
        <w:ind w:left="0" w:firstLine="0"/>
        <w:jc w:val="both"/>
        <w:rPr>
          <w:color w:val="000000"/>
        </w:rPr>
      </w:pPr>
      <w:r>
        <w:rPr>
          <w:rFonts w:ascii="Arial" w:eastAsia="Arial" w:hAnsi="Arial" w:cs="Arial"/>
          <w:b/>
          <w:color w:val="000000"/>
          <w:sz w:val="24"/>
          <w:szCs w:val="24"/>
        </w:rPr>
        <w:t xml:space="preserve">Marco normativo de los bienes jurídicos tutelados por el artículo 134 de la Constitución </w:t>
      </w:r>
      <w:r>
        <w:rPr>
          <w:rFonts w:ascii="Arial" w:eastAsia="Arial" w:hAnsi="Arial" w:cs="Arial"/>
          <w:b/>
          <w:sz w:val="24"/>
          <w:szCs w:val="24"/>
        </w:rPr>
        <w:t>gene</w:t>
      </w:r>
      <w:r>
        <w:rPr>
          <w:rFonts w:ascii="Arial" w:eastAsia="Arial" w:hAnsi="Arial" w:cs="Arial"/>
          <w:b/>
          <w:color w:val="000000"/>
          <w:sz w:val="24"/>
          <w:szCs w:val="24"/>
        </w:rPr>
        <w:t>ral</w:t>
      </w:r>
    </w:p>
    <w:p w14:paraId="61138582" w14:textId="77777777" w:rsidR="00C300AB" w:rsidRDefault="00C300AB">
      <w:pPr>
        <w:pBdr>
          <w:top w:val="nil"/>
          <w:left w:val="nil"/>
          <w:bottom w:val="nil"/>
          <w:right w:val="nil"/>
          <w:between w:val="nil"/>
        </w:pBdr>
        <w:rPr>
          <w:color w:val="000000"/>
        </w:rPr>
      </w:pPr>
    </w:p>
    <w:p w14:paraId="44F5AAB6" w14:textId="77777777" w:rsidR="00C300AB" w:rsidRDefault="00E27DA4">
      <w:pPr>
        <w:tabs>
          <w:tab w:val="left" w:pos="426"/>
        </w:tabs>
        <w:spacing w:line="360" w:lineRule="auto"/>
        <w:jc w:val="both"/>
        <w:rPr>
          <w:rFonts w:ascii="Arial" w:eastAsia="Arial" w:hAnsi="Arial" w:cs="Arial"/>
          <w:sz w:val="24"/>
          <w:szCs w:val="24"/>
        </w:rPr>
      </w:pPr>
      <w:r>
        <w:rPr>
          <w:rFonts w:ascii="Arial" w:eastAsia="Arial" w:hAnsi="Arial" w:cs="Arial"/>
          <w:sz w:val="24"/>
          <w:szCs w:val="24"/>
        </w:rPr>
        <w:t>Es conveniente señalar que en la exposición de motivos de la iniciativa de la reforma constitucional de fecha trece de noviembre de dos mil siete, refiere que la inclusión de los párrafos séptimo y octavo del artículo 134 de la Constitución,</w:t>
      </w:r>
      <w:r>
        <w:rPr>
          <w:rFonts w:ascii="Arial" w:eastAsia="Arial" w:hAnsi="Arial" w:cs="Arial"/>
          <w:b/>
          <w:sz w:val="24"/>
          <w:szCs w:val="24"/>
        </w:rPr>
        <w:t xml:space="preserve"> tiene como objetivo impedir que actores ajenos incidan en los procesos electorales, así </w:t>
      </w:r>
      <w:r>
        <w:rPr>
          <w:rFonts w:ascii="Arial" w:eastAsia="Arial" w:hAnsi="Arial" w:cs="Arial"/>
          <w:sz w:val="24"/>
          <w:szCs w:val="24"/>
        </w:rPr>
        <w:t xml:space="preserve">como elevar a rango </w:t>
      </w:r>
      <w:r>
        <w:rPr>
          <w:rFonts w:ascii="Arial" w:eastAsia="Arial" w:hAnsi="Arial" w:cs="Arial"/>
          <w:sz w:val="24"/>
          <w:szCs w:val="24"/>
        </w:rPr>
        <w:lastRenderedPageBreak/>
        <w:t>constitucional las regulaciones en materia de propaganda gubernamental tanto en periodo electoral como en tiempo no electoral.</w:t>
      </w:r>
    </w:p>
    <w:p w14:paraId="1FA2E3D5" w14:textId="77777777" w:rsidR="00C300AB" w:rsidRDefault="00C300AB">
      <w:pPr>
        <w:pBdr>
          <w:top w:val="nil"/>
          <w:left w:val="nil"/>
          <w:bottom w:val="nil"/>
          <w:right w:val="nil"/>
          <w:between w:val="nil"/>
        </w:pBdr>
        <w:rPr>
          <w:color w:val="000000"/>
        </w:rPr>
      </w:pPr>
    </w:p>
    <w:p w14:paraId="470B2271" w14:textId="77777777" w:rsidR="00C300AB" w:rsidRDefault="00E27DA4">
      <w:pPr>
        <w:tabs>
          <w:tab w:val="left" w:pos="426"/>
        </w:tabs>
        <w:spacing w:line="360" w:lineRule="auto"/>
        <w:jc w:val="both"/>
        <w:rPr>
          <w:rFonts w:ascii="Arial" w:eastAsia="Arial" w:hAnsi="Arial" w:cs="Arial"/>
          <w:sz w:val="24"/>
          <w:szCs w:val="24"/>
        </w:rPr>
      </w:pPr>
      <w:r>
        <w:rPr>
          <w:rFonts w:ascii="Arial" w:eastAsia="Arial" w:hAnsi="Arial" w:cs="Arial"/>
          <w:sz w:val="24"/>
          <w:szCs w:val="24"/>
        </w:rPr>
        <w:t>De ahí que el artículo 134 de la Constitución general tutela dos bienes</w:t>
      </w:r>
      <w:r>
        <w:rPr>
          <w:rFonts w:ascii="Arial" w:eastAsia="Arial" w:hAnsi="Arial" w:cs="Arial"/>
          <w:b/>
          <w:sz w:val="24"/>
          <w:szCs w:val="24"/>
        </w:rPr>
        <w:t xml:space="preserve"> jurídicos de los sistemas democráticos: </w:t>
      </w:r>
      <w:r>
        <w:rPr>
          <w:rFonts w:ascii="Arial" w:eastAsia="Arial" w:hAnsi="Arial" w:cs="Arial"/>
          <w:b/>
          <w:i/>
          <w:sz w:val="24"/>
          <w:szCs w:val="24"/>
        </w:rPr>
        <w:t>i)</w:t>
      </w:r>
      <w:r>
        <w:rPr>
          <w:rFonts w:ascii="Arial" w:eastAsia="Arial" w:hAnsi="Arial" w:cs="Arial"/>
          <w:b/>
          <w:sz w:val="24"/>
          <w:szCs w:val="24"/>
        </w:rPr>
        <w:t xml:space="preserve"> la imparcialidad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b/>
          <w:sz w:val="24"/>
          <w:szCs w:val="24"/>
        </w:rPr>
        <w:t xml:space="preserve"> la neutralidad </w:t>
      </w:r>
      <w:r>
        <w:rPr>
          <w:rFonts w:ascii="Arial" w:eastAsia="Arial" w:hAnsi="Arial" w:cs="Arial"/>
          <w:sz w:val="24"/>
          <w:szCs w:val="24"/>
        </w:rPr>
        <w:t>con que deben actuar las y los servidores públicos y la equidad en los procesos electorales.</w:t>
      </w:r>
    </w:p>
    <w:p w14:paraId="11352E82" w14:textId="77777777" w:rsidR="00C300AB" w:rsidRDefault="00C300AB">
      <w:pPr>
        <w:pBdr>
          <w:top w:val="nil"/>
          <w:left w:val="nil"/>
          <w:bottom w:val="nil"/>
          <w:right w:val="nil"/>
          <w:between w:val="nil"/>
        </w:pBdr>
        <w:rPr>
          <w:color w:val="000000"/>
        </w:rPr>
      </w:pPr>
    </w:p>
    <w:p w14:paraId="4045E274" w14:textId="77777777" w:rsidR="00C300AB" w:rsidRDefault="00E27DA4">
      <w:pPr>
        <w:tabs>
          <w:tab w:val="left" w:pos="426"/>
        </w:tabs>
        <w:spacing w:line="360" w:lineRule="auto"/>
        <w:jc w:val="both"/>
        <w:rPr>
          <w:rFonts w:ascii="Arial" w:eastAsia="Arial" w:hAnsi="Arial" w:cs="Arial"/>
          <w:sz w:val="24"/>
          <w:szCs w:val="24"/>
        </w:rPr>
      </w:pPr>
      <w:r>
        <w:rPr>
          <w:rFonts w:ascii="Arial" w:eastAsia="Arial" w:hAnsi="Arial" w:cs="Arial"/>
          <w:sz w:val="24"/>
          <w:szCs w:val="24"/>
        </w:rPr>
        <w:t>De lo anterior podemos advertir que</w:t>
      </w:r>
      <w:r>
        <w:rPr>
          <w:rFonts w:ascii="Arial" w:eastAsia="Arial" w:hAnsi="Arial" w:cs="Arial"/>
          <w:b/>
          <w:sz w:val="24"/>
          <w:szCs w:val="24"/>
        </w:rPr>
        <w:t xml:space="preserve"> el artículo 134 de la Constitución Federal tiene como finalidad procurar la mayor </w:t>
      </w:r>
      <w:r>
        <w:rPr>
          <w:rFonts w:ascii="Arial" w:eastAsia="Arial" w:hAnsi="Arial" w:cs="Arial"/>
          <w:sz w:val="24"/>
          <w:szCs w:val="24"/>
        </w:rPr>
        <w:t>equidad posible en los procesos electorales.</w:t>
      </w:r>
    </w:p>
    <w:p w14:paraId="540D62F1" w14:textId="77777777" w:rsidR="00C300AB" w:rsidRDefault="00C300AB">
      <w:pPr>
        <w:pBdr>
          <w:top w:val="nil"/>
          <w:left w:val="nil"/>
          <w:bottom w:val="nil"/>
          <w:right w:val="nil"/>
          <w:between w:val="nil"/>
        </w:pBdr>
        <w:rPr>
          <w:color w:val="000000"/>
        </w:rPr>
      </w:pPr>
    </w:p>
    <w:p w14:paraId="2099997C" w14:textId="77777777" w:rsidR="00C300AB" w:rsidRDefault="00E27DA4">
      <w:pPr>
        <w:numPr>
          <w:ilvl w:val="1"/>
          <w:numId w:val="3"/>
        </w:numPr>
        <w:pBdr>
          <w:top w:val="nil"/>
          <w:left w:val="nil"/>
          <w:bottom w:val="nil"/>
          <w:right w:val="nil"/>
          <w:between w:val="nil"/>
        </w:pBdr>
        <w:spacing w:line="360" w:lineRule="auto"/>
        <w:ind w:left="0" w:firstLine="0"/>
        <w:jc w:val="both"/>
        <w:rPr>
          <w:rFonts w:ascii="Arial" w:eastAsia="Arial" w:hAnsi="Arial" w:cs="Arial"/>
          <w:b/>
          <w:color w:val="000000"/>
          <w:sz w:val="24"/>
          <w:szCs w:val="24"/>
        </w:rPr>
      </w:pPr>
      <w:r>
        <w:rPr>
          <w:rFonts w:ascii="Arial" w:eastAsia="Arial" w:hAnsi="Arial" w:cs="Arial"/>
          <w:b/>
          <w:color w:val="000000"/>
          <w:sz w:val="24"/>
          <w:szCs w:val="24"/>
        </w:rPr>
        <w:t>Marco normativo sobre la asistencia de servidores y servidoras públicas a eventos proselitistas en días y horas hábiles</w:t>
      </w:r>
    </w:p>
    <w:p w14:paraId="3FA1ED08" w14:textId="77777777" w:rsidR="00C300AB" w:rsidRDefault="00C300AB">
      <w:pPr>
        <w:pBdr>
          <w:top w:val="nil"/>
          <w:left w:val="nil"/>
          <w:bottom w:val="nil"/>
          <w:right w:val="nil"/>
          <w:between w:val="nil"/>
        </w:pBdr>
        <w:rPr>
          <w:color w:val="000000"/>
        </w:rPr>
      </w:pPr>
    </w:p>
    <w:p w14:paraId="420F3495" w14:textId="33BAF409" w:rsidR="00C300AB" w:rsidRDefault="00E27DA4">
      <w:pPr>
        <w:spacing w:after="160" w:line="360" w:lineRule="auto"/>
        <w:jc w:val="both"/>
        <w:rPr>
          <w:rFonts w:ascii="Arial" w:eastAsia="Arial" w:hAnsi="Arial" w:cs="Arial"/>
          <w:sz w:val="24"/>
          <w:szCs w:val="24"/>
          <w:highlight w:val="yellow"/>
        </w:rPr>
      </w:pPr>
      <w:bookmarkStart w:id="3" w:name="_heading=h.1t3h5sf" w:colFirst="0" w:colLast="0"/>
      <w:bookmarkEnd w:id="3"/>
      <w:r>
        <w:rPr>
          <w:rFonts w:ascii="Arial" w:eastAsia="Arial" w:hAnsi="Arial" w:cs="Arial"/>
          <w:sz w:val="24"/>
          <w:szCs w:val="24"/>
        </w:rPr>
        <w:t>Al respecto, la</w:t>
      </w:r>
      <w:r>
        <w:rPr>
          <w:rFonts w:ascii="Arial" w:eastAsia="Arial" w:hAnsi="Arial" w:cs="Arial"/>
          <w:b/>
          <w:sz w:val="24"/>
          <w:szCs w:val="24"/>
        </w:rPr>
        <w:t xml:space="preserve"> </w:t>
      </w:r>
      <w:r>
        <w:rPr>
          <w:rFonts w:ascii="Arial" w:eastAsia="Arial" w:hAnsi="Arial" w:cs="Arial"/>
          <w:sz w:val="24"/>
          <w:szCs w:val="24"/>
        </w:rPr>
        <w:t>Sala Superior</w:t>
      </w:r>
      <w:r>
        <w:rPr>
          <w:rFonts w:ascii="Arial" w:eastAsia="Arial" w:hAnsi="Arial" w:cs="Arial"/>
          <w:sz w:val="24"/>
          <w:szCs w:val="24"/>
          <w:vertAlign w:val="superscript"/>
        </w:rPr>
        <w:t xml:space="preserve"> </w:t>
      </w:r>
      <w:r>
        <w:rPr>
          <w:rFonts w:ascii="Arial" w:eastAsia="Arial" w:hAnsi="Arial" w:cs="Arial"/>
          <w:sz w:val="24"/>
          <w:szCs w:val="24"/>
        </w:rPr>
        <w:t>ha determinado que el solo hecho de que las y los funcionarios públicos asistan a eventos de carácter proselitista en </w:t>
      </w:r>
      <w:r>
        <w:rPr>
          <w:rFonts w:ascii="Arial" w:eastAsia="Arial" w:hAnsi="Arial" w:cs="Arial"/>
          <w:b/>
          <w:sz w:val="24"/>
          <w:szCs w:val="24"/>
        </w:rPr>
        <w:t>días hábiles</w:t>
      </w:r>
      <w:r>
        <w:rPr>
          <w:rFonts w:ascii="Arial" w:eastAsia="Arial" w:hAnsi="Arial" w:cs="Arial"/>
          <w:sz w:val="24"/>
          <w:szCs w:val="24"/>
        </w:rPr>
        <w:t xml:space="preserve">, constituye, por sí sola, una conducta contraria al principio de imparcialidad. </w:t>
      </w:r>
    </w:p>
    <w:p w14:paraId="5C610873" w14:textId="63F6385D" w:rsidR="00C300AB" w:rsidRDefault="00E27DA4">
      <w:pPr>
        <w:spacing w:line="360" w:lineRule="auto"/>
        <w:jc w:val="both"/>
        <w:rPr>
          <w:rFonts w:ascii="Arial" w:eastAsia="Arial" w:hAnsi="Arial" w:cs="Arial"/>
          <w:b/>
          <w:sz w:val="24"/>
          <w:szCs w:val="24"/>
          <w:highlight w:val="yellow"/>
        </w:rPr>
      </w:pPr>
      <w:r>
        <w:rPr>
          <w:rFonts w:ascii="Arial" w:eastAsia="Arial" w:hAnsi="Arial" w:cs="Arial"/>
          <w:sz w:val="24"/>
          <w:szCs w:val="24"/>
        </w:rPr>
        <w:t xml:space="preserve">Asimismo, ha establecido el criterio relativo que las y los servidores públicos no deben descuidar las funciones propias que tienen encomendadas por asistir a eventos proselitistas, ya que tal actuar </w:t>
      </w:r>
      <w:r>
        <w:rPr>
          <w:rFonts w:ascii="Arial" w:eastAsia="Arial" w:hAnsi="Arial" w:cs="Arial"/>
          <w:b/>
          <w:sz w:val="24"/>
          <w:szCs w:val="24"/>
        </w:rPr>
        <w:t>resulta equiparable al uso indebido de recursos públicos.</w:t>
      </w:r>
      <w:r w:rsidR="00A714FF">
        <w:rPr>
          <w:rStyle w:val="Refdenotaalpie"/>
          <w:rFonts w:ascii="Arial" w:eastAsia="Arial" w:hAnsi="Arial" w:cs="Arial"/>
          <w:b/>
          <w:sz w:val="24"/>
          <w:szCs w:val="24"/>
        </w:rPr>
        <w:footnoteReference w:id="6"/>
      </w:r>
      <w:r>
        <w:rPr>
          <w:rFonts w:ascii="Arial" w:eastAsia="Arial" w:hAnsi="Arial" w:cs="Arial"/>
          <w:b/>
          <w:sz w:val="24"/>
          <w:szCs w:val="24"/>
        </w:rPr>
        <w:t xml:space="preserve"> </w:t>
      </w:r>
    </w:p>
    <w:p w14:paraId="118E1931" w14:textId="77777777" w:rsidR="00C300AB" w:rsidRDefault="00C300AB">
      <w:pPr>
        <w:pBdr>
          <w:top w:val="nil"/>
          <w:left w:val="nil"/>
          <w:bottom w:val="nil"/>
          <w:right w:val="nil"/>
          <w:between w:val="nil"/>
        </w:pBdr>
        <w:rPr>
          <w:color w:val="000000"/>
        </w:rPr>
      </w:pPr>
    </w:p>
    <w:p w14:paraId="1369387B" w14:textId="77777777" w:rsidR="00C300AB" w:rsidRDefault="00E27DA4">
      <w:pPr>
        <w:spacing w:line="360" w:lineRule="auto"/>
        <w:jc w:val="both"/>
        <w:rPr>
          <w:rFonts w:ascii="Arial" w:eastAsia="Arial" w:hAnsi="Arial" w:cs="Arial"/>
          <w:sz w:val="24"/>
          <w:szCs w:val="24"/>
        </w:rPr>
      </w:pPr>
      <w:r>
        <w:rPr>
          <w:rFonts w:ascii="Arial" w:eastAsia="Arial" w:hAnsi="Arial" w:cs="Arial"/>
          <w:sz w:val="24"/>
          <w:szCs w:val="24"/>
        </w:rPr>
        <w:t>En tal sentido, la sola asistencia de servidores públicos en </w:t>
      </w:r>
      <w:r>
        <w:rPr>
          <w:rFonts w:ascii="Arial" w:eastAsia="Arial" w:hAnsi="Arial" w:cs="Arial"/>
          <w:b/>
          <w:sz w:val="24"/>
          <w:szCs w:val="24"/>
        </w:rPr>
        <w:t>días inhábiles</w:t>
      </w:r>
      <w:r>
        <w:rPr>
          <w:rFonts w:ascii="Arial" w:eastAsia="Arial" w:hAnsi="Arial" w:cs="Arial"/>
          <w:sz w:val="24"/>
          <w:szCs w:val="24"/>
        </w:rPr>
        <w:t xml:space="preserve"> a eventos de tales características, </w:t>
      </w:r>
      <w:r>
        <w:rPr>
          <w:rFonts w:ascii="Arial" w:eastAsia="Arial" w:hAnsi="Arial" w:cs="Arial"/>
          <w:b/>
          <w:sz w:val="24"/>
          <w:szCs w:val="24"/>
        </w:rPr>
        <w:t>no contraviene el principio de imparcialidad</w:t>
      </w:r>
      <w:r>
        <w:rPr>
          <w:rFonts w:ascii="Arial" w:eastAsia="Arial" w:hAnsi="Arial" w:cs="Arial"/>
          <w:sz w:val="24"/>
          <w:szCs w:val="24"/>
        </w:rPr>
        <w:t>, puesto que se ha reconocido que dicha asistencia se puede realizar en pleno ejercicio de los derechos político-electorales de asociación en materia política y libertad de expresión.</w:t>
      </w:r>
    </w:p>
    <w:p w14:paraId="46A88BB1" w14:textId="77777777" w:rsidR="00C300AB" w:rsidRDefault="00C300AB">
      <w:pPr>
        <w:pBdr>
          <w:top w:val="nil"/>
          <w:left w:val="nil"/>
          <w:bottom w:val="nil"/>
          <w:right w:val="nil"/>
          <w:between w:val="nil"/>
        </w:pBdr>
        <w:rPr>
          <w:color w:val="000000"/>
        </w:rPr>
      </w:pPr>
    </w:p>
    <w:p w14:paraId="4B03EA4E" w14:textId="0C689465" w:rsidR="00C300AB" w:rsidRDefault="00E27DA4">
      <w:pPr>
        <w:spacing w:line="360" w:lineRule="auto"/>
        <w:jc w:val="both"/>
        <w:rPr>
          <w:rFonts w:ascii="Arial" w:eastAsia="Arial" w:hAnsi="Arial" w:cs="Arial"/>
          <w:sz w:val="24"/>
          <w:szCs w:val="24"/>
        </w:rPr>
      </w:pPr>
      <w:r>
        <w:rPr>
          <w:rFonts w:ascii="Arial" w:eastAsia="Arial" w:hAnsi="Arial" w:cs="Arial"/>
          <w:sz w:val="24"/>
          <w:szCs w:val="24"/>
        </w:rPr>
        <w:t>Es conveniente precisar que, en el caso de quienes ostentan la gubernatura y presidencias municipales de la entidad federativa, dada la naturaleza de su encargo, solo pueden asistir a eventos proselitistas cuando estos sean en días inhábiles previstos por la ley.</w:t>
      </w:r>
      <w:r w:rsidR="00A714FF">
        <w:rPr>
          <w:rStyle w:val="Refdenotaalpie"/>
          <w:rFonts w:ascii="Arial" w:eastAsia="Arial" w:hAnsi="Arial" w:cs="Arial"/>
          <w:sz w:val="24"/>
          <w:szCs w:val="24"/>
        </w:rPr>
        <w:footnoteReference w:id="7"/>
      </w:r>
    </w:p>
    <w:p w14:paraId="7040867A" w14:textId="77777777" w:rsidR="00C300AB" w:rsidRDefault="00C300AB">
      <w:pPr>
        <w:pBdr>
          <w:top w:val="nil"/>
          <w:left w:val="nil"/>
          <w:bottom w:val="nil"/>
          <w:right w:val="nil"/>
          <w:between w:val="nil"/>
        </w:pBdr>
        <w:rPr>
          <w:color w:val="000000"/>
        </w:rPr>
      </w:pPr>
    </w:p>
    <w:p w14:paraId="7673F5D8" w14:textId="77777777" w:rsidR="00C300AB" w:rsidRDefault="00E27DA4">
      <w:pPr>
        <w:spacing w:line="360" w:lineRule="auto"/>
        <w:jc w:val="both"/>
        <w:rPr>
          <w:rFonts w:ascii="Arial" w:eastAsia="Arial" w:hAnsi="Arial" w:cs="Arial"/>
          <w:sz w:val="24"/>
          <w:szCs w:val="24"/>
        </w:rPr>
      </w:pPr>
      <w:r>
        <w:rPr>
          <w:rFonts w:ascii="Arial" w:eastAsia="Arial" w:hAnsi="Arial" w:cs="Arial"/>
          <w:sz w:val="24"/>
          <w:szCs w:val="24"/>
        </w:rPr>
        <w:t>Por su parte, la Sala Superior ha sostenido que las y los servidores públicos tienen derecho a militar en un partido político de su interés y a realizar todos los actos inherentes a dicha filiación en ejercicio de sus derechos fundamentales en materia política, sin que ello implique o se traduzca en la autorización para el ejercicio indebido de su empleo</w:t>
      </w:r>
      <w:r>
        <w:rPr>
          <w:rFonts w:ascii="Arial" w:eastAsia="Arial" w:hAnsi="Arial" w:cs="Arial"/>
          <w:sz w:val="24"/>
          <w:szCs w:val="24"/>
          <w:vertAlign w:val="superscript"/>
        </w:rPr>
        <w:footnoteReference w:id="8"/>
      </w:r>
      <w:r>
        <w:rPr>
          <w:rFonts w:ascii="Arial" w:eastAsia="Arial" w:hAnsi="Arial" w:cs="Arial"/>
          <w:sz w:val="24"/>
          <w:szCs w:val="24"/>
        </w:rPr>
        <w:t xml:space="preserve">. </w:t>
      </w:r>
    </w:p>
    <w:p w14:paraId="59AB65AA" w14:textId="77777777" w:rsidR="00C300AB" w:rsidRDefault="00C300AB">
      <w:pPr>
        <w:pBdr>
          <w:top w:val="nil"/>
          <w:left w:val="nil"/>
          <w:bottom w:val="nil"/>
          <w:right w:val="nil"/>
          <w:between w:val="nil"/>
        </w:pBdr>
        <w:rPr>
          <w:color w:val="000000"/>
        </w:rPr>
      </w:pPr>
    </w:p>
    <w:p w14:paraId="7C32CACE" w14:textId="63012D41" w:rsidR="00A714FF" w:rsidRDefault="00E27DA4">
      <w:pPr>
        <w:spacing w:line="360" w:lineRule="auto"/>
        <w:jc w:val="both"/>
        <w:rPr>
          <w:rFonts w:ascii="Arial" w:eastAsia="Arial" w:hAnsi="Arial" w:cs="Arial"/>
          <w:sz w:val="24"/>
          <w:szCs w:val="24"/>
        </w:rPr>
      </w:pPr>
      <w:r>
        <w:rPr>
          <w:rFonts w:ascii="Arial" w:eastAsia="Arial" w:hAnsi="Arial" w:cs="Arial"/>
          <w:sz w:val="24"/>
          <w:szCs w:val="24"/>
        </w:rPr>
        <w:t>Asimismo, considero la permisión relativa a que las y los funcionarios públicos pueden asistir a un evento proselitista en un día inhábil, no se trata de un derecho absoluto, pues en dicha asistencia, no podrán tener una participación activa y preponderante en el vento ni tampoco pueden hacer uso indebido de los recursos públicos</w:t>
      </w:r>
      <w:r>
        <w:rPr>
          <w:rFonts w:ascii="Arial" w:eastAsia="Arial" w:hAnsi="Arial" w:cs="Arial"/>
          <w:sz w:val="24"/>
          <w:szCs w:val="24"/>
          <w:vertAlign w:val="superscript"/>
        </w:rPr>
        <w:footnoteReference w:id="9"/>
      </w:r>
      <w:r>
        <w:rPr>
          <w:rFonts w:ascii="Arial" w:eastAsia="Arial" w:hAnsi="Arial" w:cs="Arial"/>
          <w:sz w:val="24"/>
          <w:szCs w:val="24"/>
        </w:rPr>
        <w:t xml:space="preserve">. Para esto, señaló que las horas y días </w:t>
      </w:r>
      <w:r>
        <w:rPr>
          <w:rFonts w:ascii="Arial" w:eastAsia="Arial" w:hAnsi="Arial" w:cs="Arial"/>
          <w:sz w:val="24"/>
          <w:szCs w:val="24"/>
        </w:rPr>
        <w:lastRenderedPageBreak/>
        <w:t>inhábiles se determinan con base en la legislación y en aquellos que les corresponde ejercer el derecho a un día de descaso por haber laborado durante seis días</w:t>
      </w:r>
      <w:r>
        <w:rPr>
          <w:rFonts w:ascii="Arial" w:eastAsia="Arial" w:hAnsi="Arial" w:cs="Arial"/>
          <w:sz w:val="24"/>
          <w:szCs w:val="24"/>
          <w:vertAlign w:val="superscript"/>
        </w:rPr>
        <w:footnoteReference w:id="10"/>
      </w:r>
      <w:r>
        <w:rPr>
          <w:rFonts w:ascii="Arial" w:eastAsia="Arial" w:hAnsi="Arial" w:cs="Arial"/>
          <w:sz w:val="24"/>
          <w:szCs w:val="24"/>
        </w:rPr>
        <w:t xml:space="preserve">. </w:t>
      </w:r>
    </w:p>
    <w:p w14:paraId="765C9E0B" w14:textId="77777777" w:rsidR="00C300AB" w:rsidRDefault="00C300AB">
      <w:pPr>
        <w:pBdr>
          <w:top w:val="nil"/>
          <w:left w:val="nil"/>
          <w:bottom w:val="nil"/>
          <w:right w:val="nil"/>
          <w:between w:val="nil"/>
        </w:pBdr>
        <w:rPr>
          <w:color w:val="000000"/>
        </w:rPr>
      </w:pPr>
    </w:p>
    <w:p w14:paraId="5A27F412" w14:textId="77777777" w:rsidR="00C300AB" w:rsidRDefault="00E27DA4">
      <w:pPr>
        <w:numPr>
          <w:ilvl w:val="0"/>
          <w:numId w:val="5"/>
        </w:numPr>
        <w:pBdr>
          <w:top w:val="nil"/>
          <w:left w:val="nil"/>
          <w:bottom w:val="nil"/>
          <w:right w:val="nil"/>
          <w:between w:val="nil"/>
        </w:pBdr>
        <w:tabs>
          <w:tab w:val="left" w:pos="5461"/>
        </w:tabs>
        <w:spacing w:line="360" w:lineRule="auto"/>
        <w:ind w:left="425"/>
        <w:jc w:val="both"/>
        <w:rPr>
          <w:rFonts w:ascii="Arial" w:eastAsia="Arial" w:hAnsi="Arial" w:cs="Arial"/>
          <w:b/>
          <w:color w:val="000000"/>
          <w:sz w:val="24"/>
          <w:szCs w:val="24"/>
        </w:rPr>
      </w:pPr>
      <w:r>
        <w:rPr>
          <w:rFonts w:ascii="Arial" w:eastAsia="Arial" w:hAnsi="Arial" w:cs="Arial"/>
          <w:b/>
          <w:color w:val="000000"/>
          <w:sz w:val="24"/>
          <w:szCs w:val="24"/>
        </w:rPr>
        <w:t xml:space="preserve">Caso concreto </w:t>
      </w:r>
    </w:p>
    <w:p w14:paraId="49CB3BEB" w14:textId="77777777" w:rsidR="00C300AB" w:rsidRDefault="00C300AB">
      <w:pPr>
        <w:pBdr>
          <w:top w:val="nil"/>
          <w:left w:val="nil"/>
          <w:bottom w:val="nil"/>
          <w:right w:val="nil"/>
          <w:between w:val="nil"/>
        </w:pBdr>
        <w:rPr>
          <w:color w:val="000000"/>
        </w:rPr>
      </w:pPr>
    </w:p>
    <w:p w14:paraId="14C676FF" w14:textId="77777777" w:rsidR="00C300AB" w:rsidRDefault="00E27DA4">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El PAN, en el contexto del proceso electoral 2021-2022 en el que se renovó la gubernatura de Aguascalientes, presentó una queja ante el Instituto Local en contra de Morena, y su entonces candidata a la gubernatura del estado, así como de Aldo Emmanuel Ruiz Sánchez y Ana Laura Gómez Calzada, al considerar que</w:t>
      </w:r>
      <w:r>
        <w:rPr>
          <w:rFonts w:ascii="Arial" w:eastAsia="Arial" w:hAnsi="Arial" w:cs="Arial"/>
          <w:sz w:val="24"/>
          <w:szCs w:val="24"/>
        </w:rPr>
        <w:t xml:space="preserve"> </w:t>
      </w:r>
      <w:r>
        <w:rPr>
          <w:rFonts w:ascii="Arial" w:eastAsia="Arial" w:hAnsi="Arial" w:cs="Arial"/>
          <w:color w:val="000000"/>
          <w:sz w:val="24"/>
          <w:szCs w:val="24"/>
        </w:rPr>
        <w:t xml:space="preserve">los dos últimos, al ostentar un cargo público, vulneraron los principios de imparcialidad, equidad y neutralidad en la contienda, derivado de su asistencia a una serie de eventos proselitistas en favor de la candidatura cuestionada, </w:t>
      </w:r>
      <w:r>
        <w:rPr>
          <w:rFonts w:ascii="Arial" w:eastAsia="Arial" w:hAnsi="Arial" w:cs="Arial"/>
          <w:sz w:val="24"/>
          <w:szCs w:val="24"/>
        </w:rPr>
        <w:t>que</w:t>
      </w:r>
      <w:r>
        <w:rPr>
          <w:rFonts w:ascii="Arial" w:eastAsia="Arial" w:hAnsi="Arial" w:cs="Arial"/>
          <w:color w:val="000000"/>
          <w:sz w:val="24"/>
          <w:szCs w:val="24"/>
        </w:rPr>
        <w:t xml:space="preserve"> a su parecer, configura el uso indebido de recursos públicos y coacciona el voto de la ciudadanía. </w:t>
      </w:r>
    </w:p>
    <w:p w14:paraId="1CCFD933" w14:textId="77777777" w:rsidR="00C300AB" w:rsidRDefault="00C300AB">
      <w:pPr>
        <w:pBdr>
          <w:top w:val="nil"/>
          <w:left w:val="nil"/>
          <w:bottom w:val="nil"/>
          <w:right w:val="nil"/>
          <w:between w:val="nil"/>
        </w:pBdr>
        <w:rPr>
          <w:color w:val="000000"/>
        </w:rPr>
      </w:pPr>
    </w:p>
    <w:p w14:paraId="6CCC34B8" w14:textId="77777777" w:rsidR="00C300AB" w:rsidRDefault="00E27DA4">
      <w:pPr>
        <w:numPr>
          <w:ilvl w:val="0"/>
          <w:numId w:val="5"/>
        </w:numPr>
        <w:pBdr>
          <w:top w:val="nil"/>
          <w:left w:val="nil"/>
          <w:bottom w:val="nil"/>
          <w:right w:val="nil"/>
          <w:between w:val="nil"/>
        </w:pBdr>
        <w:tabs>
          <w:tab w:val="left" w:pos="284"/>
        </w:tabs>
        <w:spacing w:line="360" w:lineRule="auto"/>
        <w:ind w:left="0" w:right="36" w:firstLine="0"/>
        <w:jc w:val="both"/>
        <w:rPr>
          <w:rFonts w:ascii="Arial" w:eastAsia="Arial" w:hAnsi="Arial" w:cs="Arial"/>
          <w:b/>
          <w:color w:val="000000"/>
          <w:sz w:val="24"/>
          <w:szCs w:val="24"/>
        </w:rPr>
      </w:pPr>
      <w:r>
        <w:rPr>
          <w:rFonts w:ascii="Arial" w:eastAsia="Arial" w:hAnsi="Arial" w:cs="Arial"/>
          <w:b/>
          <w:color w:val="000000"/>
          <w:sz w:val="24"/>
          <w:szCs w:val="24"/>
        </w:rPr>
        <w:t xml:space="preserve">Valoración </w:t>
      </w:r>
    </w:p>
    <w:p w14:paraId="710F63B6" w14:textId="77777777" w:rsidR="00C300AB" w:rsidRDefault="00C300AB">
      <w:pPr>
        <w:pBdr>
          <w:top w:val="nil"/>
          <w:left w:val="nil"/>
          <w:bottom w:val="nil"/>
          <w:right w:val="nil"/>
          <w:between w:val="nil"/>
        </w:pBdr>
        <w:rPr>
          <w:color w:val="000000"/>
        </w:rPr>
      </w:pPr>
    </w:p>
    <w:p w14:paraId="76713A78" w14:textId="77777777" w:rsidR="00C300AB" w:rsidRDefault="00E27DA4">
      <w:pPr>
        <w:spacing w:line="360" w:lineRule="auto"/>
        <w:jc w:val="both"/>
        <w:rPr>
          <w:rFonts w:ascii="Arial" w:eastAsia="Arial" w:hAnsi="Arial" w:cs="Arial"/>
          <w:color w:val="000000"/>
          <w:sz w:val="24"/>
          <w:szCs w:val="24"/>
        </w:rPr>
      </w:pPr>
      <w:r>
        <w:rPr>
          <w:rFonts w:ascii="Arial" w:eastAsia="Arial" w:hAnsi="Arial" w:cs="Arial"/>
          <w:b/>
          <w:sz w:val="24"/>
          <w:szCs w:val="24"/>
        </w:rPr>
        <w:t>3.1.</w:t>
      </w:r>
      <w:r>
        <w:rPr>
          <w:rFonts w:ascii="Arial" w:eastAsia="Arial" w:hAnsi="Arial" w:cs="Arial"/>
          <w:sz w:val="24"/>
          <w:szCs w:val="24"/>
        </w:rPr>
        <w:t xml:space="preserve"> Este Tribunal Electoral estima que </w:t>
      </w:r>
      <w:r>
        <w:rPr>
          <w:rFonts w:ascii="Arial" w:eastAsia="Arial" w:hAnsi="Arial" w:cs="Arial"/>
          <w:color w:val="000000"/>
          <w:sz w:val="24"/>
          <w:szCs w:val="24"/>
        </w:rPr>
        <w:t xml:space="preserve">la infracción relativa a la supuesta vulneración al principio de imparcialidad previsto en el artículo 134 de la Constitución general </w:t>
      </w:r>
      <w:r>
        <w:rPr>
          <w:rFonts w:ascii="Arial" w:eastAsia="Arial" w:hAnsi="Arial" w:cs="Arial"/>
          <w:b/>
          <w:color w:val="000000"/>
          <w:sz w:val="24"/>
          <w:szCs w:val="24"/>
        </w:rPr>
        <w:t>es inexistente</w:t>
      </w:r>
      <w:r>
        <w:rPr>
          <w:rFonts w:ascii="Arial" w:eastAsia="Arial" w:hAnsi="Arial" w:cs="Arial"/>
          <w:color w:val="000000"/>
          <w:sz w:val="24"/>
          <w:szCs w:val="24"/>
        </w:rPr>
        <w:t xml:space="preserve">, ya que a través del análisis de las publicaciones cuestionadas, es posible asumir que </w:t>
      </w:r>
      <w:r>
        <w:rPr>
          <w:rFonts w:ascii="Arial" w:eastAsia="Arial" w:hAnsi="Arial" w:cs="Arial"/>
          <w:color w:val="000000"/>
          <w:sz w:val="24"/>
          <w:szCs w:val="24"/>
          <w:u w:val="single"/>
        </w:rPr>
        <w:t>el sólo hecho de que la diputada aparezca en una fotografía</w:t>
      </w:r>
      <w:r>
        <w:rPr>
          <w:rFonts w:ascii="Arial" w:eastAsia="Arial" w:hAnsi="Arial" w:cs="Arial"/>
          <w:color w:val="000000"/>
          <w:sz w:val="24"/>
          <w:szCs w:val="24"/>
        </w:rPr>
        <w:t xml:space="preserve"> en la que igualmente se encuentra la entonces candidata Nora Ruvalcaba Gámez, postulada por el partido político Morena, no implica que se esté en presencia de una vulneración al principio previsto en el referido artículo constitucional. </w:t>
      </w:r>
    </w:p>
    <w:p w14:paraId="70DD0973" w14:textId="77777777" w:rsidR="00C300AB" w:rsidRDefault="00C300AB">
      <w:pPr>
        <w:pBdr>
          <w:top w:val="nil"/>
          <w:left w:val="nil"/>
          <w:bottom w:val="nil"/>
          <w:right w:val="nil"/>
          <w:between w:val="nil"/>
        </w:pBdr>
        <w:rPr>
          <w:color w:val="000000"/>
        </w:rPr>
      </w:pPr>
    </w:p>
    <w:p w14:paraId="6AC0645B" w14:textId="77777777" w:rsidR="00C300AB" w:rsidRDefault="00E27DA4">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Lo anterior se debe, en primer lugar, a que no existe alguna porción normativa que prohíba a las y los servidores públicos ejercer sus derechos político-electorales de asociación y libertad de expresión, en específico, para mostrar su inclinación política en favor de determinada opción electoral, por lo cual, este órgano jurisdiccional se encuentra impedido legal y constitucionalmente para afectar el ejercicio pleno de tales prerrogativas, pues ello le causaría un perjuicio injustificado a la parte denunciada. </w:t>
      </w:r>
    </w:p>
    <w:p w14:paraId="71D6E055" w14:textId="77777777" w:rsidR="00C300AB" w:rsidRDefault="00C300AB">
      <w:pPr>
        <w:pBdr>
          <w:top w:val="nil"/>
          <w:left w:val="nil"/>
          <w:bottom w:val="nil"/>
          <w:right w:val="nil"/>
          <w:between w:val="nil"/>
        </w:pBdr>
        <w:rPr>
          <w:color w:val="000000"/>
        </w:rPr>
      </w:pPr>
    </w:p>
    <w:p w14:paraId="5B68FE96" w14:textId="77777777" w:rsidR="00C300AB" w:rsidRDefault="00E27DA4">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segundo lugar, tampoco constituye una infracción a los referidos principios -imparcialidad y equidad en la contienda- el hecho de que la parte denunciada, en su carácter de diputada del Congreso del Estado hubiese asistido con la entonces candidata Nora Ruvalcaba Gámez, a la </w:t>
      </w:r>
      <w:r>
        <w:rPr>
          <w:rFonts w:ascii="Arial" w:eastAsia="Arial" w:hAnsi="Arial" w:cs="Arial"/>
          <w:color w:val="000000"/>
          <w:sz w:val="24"/>
          <w:szCs w:val="24"/>
          <w:u w:val="single"/>
        </w:rPr>
        <w:t>celebración del debate electoral</w:t>
      </w:r>
      <w:r>
        <w:rPr>
          <w:rFonts w:ascii="Arial" w:eastAsia="Arial" w:hAnsi="Arial" w:cs="Arial"/>
          <w:color w:val="000000"/>
          <w:sz w:val="24"/>
          <w:szCs w:val="24"/>
        </w:rPr>
        <w:t>, organizado por la autoridad administrativa local, pues si bien asistió en un día hábil -martes 17 de mayo-, lo cierto es que la hora de este fue inhábil -20:00 horas-,</w:t>
      </w:r>
      <w:r>
        <w:rPr>
          <w:rFonts w:ascii="Arial" w:eastAsia="Arial" w:hAnsi="Arial" w:cs="Arial"/>
          <w:color w:val="000000"/>
          <w:sz w:val="24"/>
          <w:szCs w:val="24"/>
          <w:vertAlign w:val="superscript"/>
        </w:rPr>
        <w:footnoteReference w:id="11"/>
      </w:r>
      <w:r>
        <w:rPr>
          <w:rFonts w:ascii="Arial" w:eastAsia="Arial" w:hAnsi="Arial" w:cs="Arial"/>
          <w:color w:val="000000"/>
          <w:sz w:val="24"/>
          <w:szCs w:val="24"/>
        </w:rPr>
        <w:t xml:space="preserve"> por lo cual, a criterio de esta autoridad jurisdiccional, </w:t>
      </w:r>
      <w:r>
        <w:rPr>
          <w:rFonts w:ascii="Arial" w:eastAsia="Arial" w:hAnsi="Arial" w:cs="Arial"/>
          <w:b/>
          <w:color w:val="000000"/>
          <w:sz w:val="24"/>
          <w:szCs w:val="24"/>
        </w:rPr>
        <w:t>se trató de un ejercicio auténtico de participación política en favor de la parte denunciante.</w:t>
      </w:r>
      <w:r>
        <w:rPr>
          <w:rFonts w:ascii="Arial" w:eastAsia="Arial" w:hAnsi="Arial" w:cs="Arial"/>
          <w:color w:val="000000"/>
          <w:sz w:val="24"/>
          <w:szCs w:val="24"/>
        </w:rPr>
        <w:t xml:space="preserve"> </w:t>
      </w:r>
    </w:p>
    <w:p w14:paraId="65FB94EF" w14:textId="77777777" w:rsidR="00C300AB" w:rsidRDefault="00C300AB">
      <w:pPr>
        <w:pBdr>
          <w:top w:val="nil"/>
          <w:left w:val="nil"/>
          <w:bottom w:val="nil"/>
          <w:right w:val="nil"/>
          <w:between w:val="nil"/>
        </w:pBdr>
        <w:rPr>
          <w:color w:val="000000"/>
        </w:rPr>
      </w:pPr>
    </w:p>
    <w:p w14:paraId="7F8D89DC" w14:textId="77777777" w:rsidR="00C300AB" w:rsidRDefault="00E27DA4">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Asimismo, es conveniente tener presente que de la imagen cuestionada y dado que se trataba de un evento de carácter electoral en el que solamente participaron las entonces candidatas a la gubernatura del proceso electoral en curso, </w:t>
      </w:r>
      <w:r>
        <w:rPr>
          <w:rFonts w:ascii="Arial" w:eastAsia="Arial" w:hAnsi="Arial" w:cs="Arial"/>
          <w:b/>
          <w:color w:val="000000"/>
          <w:sz w:val="24"/>
          <w:szCs w:val="24"/>
        </w:rPr>
        <w:t>no se logró comprobar que la parte denunciada haya hecho uso de algún recurso público</w:t>
      </w:r>
      <w:r>
        <w:rPr>
          <w:rFonts w:ascii="Arial" w:eastAsia="Arial" w:hAnsi="Arial" w:cs="Arial"/>
          <w:color w:val="000000"/>
          <w:sz w:val="24"/>
          <w:szCs w:val="24"/>
        </w:rPr>
        <w:t xml:space="preserve"> </w:t>
      </w:r>
      <w:r>
        <w:rPr>
          <w:rFonts w:ascii="Arial" w:eastAsia="Arial" w:hAnsi="Arial" w:cs="Arial"/>
          <w:b/>
          <w:color w:val="000000"/>
          <w:sz w:val="24"/>
          <w:szCs w:val="24"/>
        </w:rPr>
        <w:t>o que haya tomado el uso de la voz</w:t>
      </w:r>
      <w:r>
        <w:rPr>
          <w:rFonts w:ascii="Arial" w:eastAsia="Arial" w:hAnsi="Arial" w:cs="Arial"/>
          <w:color w:val="000000"/>
          <w:sz w:val="24"/>
          <w:szCs w:val="24"/>
        </w:rPr>
        <w:t xml:space="preserve"> o bien, que hubiese participado de forma activa, pues contario a ello, solamente aparecen en primer plano, acompañada de la candidata postulada por el partido MORENA. </w:t>
      </w:r>
    </w:p>
    <w:p w14:paraId="73EEB27B" w14:textId="77777777" w:rsidR="00C300AB" w:rsidRDefault="00C300AB">
      <w:pPr>
        <w:pBdr>
          <w:top w:val="nil"/>
          <w:left w:val="nil"/>
          <w:bottom w:val="nil"/>
          <w:right w:val="nil"/>
          <w:between w:val="nil"/>
        </w:pBdr>
        <w:rPr>
          <w:color w:val="000000"/>
        </w:rPr>
      </w:pPr>
    </w:p>
    <w:p w14:paraId="274218BD" w14:textId="77777777" w:rsidR="00C300AB" w:rsidRDefault="00E27DA4">
      <w:pPr>
        <w:spacing w:line="360" w:lineRule="auto"/>
        <w:jc w:val="both"/>
        <w:rPr>
          <w:rFonts w:ascii="Arial" w:eastAsia="Arial" w:hAnsi="Arial" w:cs="Arial"/>
          <w:sz w:val="24"/>
          <w:szCs w:val="24"/>
        </w:rPr>
      </w:pPr>
      <w:r>
        <w:rPr>
          <w:rFonts w:ascii="Arial" w:eastAsia="Arial" w:hAnsi="Arial" w:cs="Arial"/>
          <w:sz w:val="24"/>
          <w:szCs w:val="24"/>
        </w:rPr>
        <w:t xml:space="preserve">De ahí que tal situación sea acorde al criterio de la Sala Superior, relativo a que las y los servidores públicos -legisladores y </w:t>
      </w:r>
      <w:r>
        <w:rPr>
          <w:rFonts w:ascii="Arial" w:eastAsia="Arial" w:hAnsi="Arial" w:cs="Arial"/>
          <w:b/>
          <w:sz w:val="24"/>
          <w:szCs w:val="24"/>
        </w:rPr>
        <w:t>legisladoras- tiene la permisión de acudir a eventos proselitistas en días hábiles</w:t>
      </w:r>
      <w:r>
        <w:rPr>
          <w:rFonts w:ascii="Arial" w:eastAsia="Arial" w:hAnsi="Arial" w:cs="Arial"/>
          <w:sz w:val="24"/>
          <w:szCs w:val="24"/>
        </w:rPr>
        <w:t xml:space="preserve">, siempre y cuando la hora en la cual se celebren tales eventos sean inhábiles, cuestión que debe ser valorada a través de la normativa interna de cada dependencia para que sea posible identificar de forma clara tales aspectos. </w:t>
      </w:r>
    </w:p>
    <w:p w14:paraId="2DBBCE79" w14:textId="77777777" w:rsidR="00C300AB" w:rsidRDefault="00C300AB">
      <w:pPr>
        <w:pBdr>
          <w:top w:val="nil"/>
          <w:left w:val="nil"/>
          <w:bottom w:val="nil"/>
          <w:right w:val="nil"/>
          <w:between w:val="nil"/>
        </w:pBdr>
        <w:rPr>
          <w:color w:val="000000"/>
        </w:rPr>
      </w:pPr>
    </w:p>
    <w:p w14:paraId="18ECBA32" w14:textId="77777777" w:rsidR="00C300AB" w:rsidRDefault="00E27DA4">
      <w:pPr>
        <w:spacing w:line="360" w:lineRule="auto"/>
        <w:jc w:val="both"/>
        <w:rPr>
          <w:rFonts w:ascii="Arial" w:eastAsia="Arial" w:hAnsi="Arial" w:cs="Arial"/>
          <w:sz w:val="24"/>
          <w:szCs w:val="24"/>
        </w:rPr>
      </w:pPr>
      <w:r>
        <w:rPr>
          <w:rFonts w:ascii="Arial" w:eastAsia="Arial" w:hAnsi="Arial" w:cs="Arial"/>
          <w:sz w:val="24"/>
          <w:szCs w:val="24"/>
        </w:rPr>
        <w:t xml:space="preserve">Ante ello, de las constancias que obran el asunto (TEEA-PES-071/2022), se advierte la existencia de un oficio elaborado por el </w:t>
      </w:r>
      <w:proofErr w:type="gramStart"/>
      <w:r>
        <w:rPr>
          <w:rFonts w:ascii="Arial" w:eastAsia="Arial" w:hAnsi="Arial" w:cs="Arial"/>
          <w:sz w:val="24"/>
          <w:szCs w:val="24"/>
        </w:rPr>
        <w:t>Secretario General</w:t>
      </w:r>
      <w:proofErr w:type="gramEnd"/>
      <w:r>
        <w:rPr>
          <w:rFonts w:ascii="Arial" w:eastAsia="Arial" w:hAnsi="Arial" w:cs="Arial"/>
          <w:sz w:val="24"/>
          <w:szCs w:val="24"/>
        </w:rPr>
        <w:t xml:space="preserve"> del Congreso, en el que refiere que las y los servidores públicos del referido órgano legislativo, tienen un horario laboral de lunes a viernes, de las 08:00 a las 15:30 horas, por lo cual, esta autoridad jurisdiccional estima que la funcionaria cuestionada no vulneró el principio de imparcialidad previsto en el texto constitucional. </w:t>
      </w:r>
    </w:p>
    <w:p w14:paraId="4CAFD985" w14:textId="77777777" w:rsidR="00C300AB" w:rsidRDefault="00C300AB" w:rsidP="00A714FF">
      <w:pPr>
        <w:pStyle w:val="Sinespaciado"/>
        <w:rPr>
          <w:rFonts w:eastAsia="Arial"/>
        </w:rPr>
      </w:pPr>
    </w:p>
    <w:p w14:paraId="1138967D" w14:textId="77777777" w:rsidR="00C300AB" w:rsidRDefault="00E27DA4">
      <w:pPr>
        <w:spacing w:line="360" w:lineRule="auto"/>
        <w:jc w:val="both"/>
        <w:rPr>
          <w:rFonts w:ascii="Arial" w:eastAsia="Arial" w:hAnsi="Arial" w:cs="Arial"/>
          <w:sz w:val="24"/>
          <w:szCs w:val="24"/>
        </w:rPr>
      </w:pPr>
      <w:r>
        <w:rPr>
          <w:rFonts w:ascii="Arial" w:eastAsia="Arial" w:hAnsi="Arial" w:cs="Arial"/>
          <w:sz w:val="24"/>
          <w:szCs w:val="24"/>
        </w:rPr>
        <w:t xml:space="preserve">La postura asumida en la presente resolución, como se adelantó, es congruente con la línea judicial sostenida por la Sala Superior, consistente en que las y los ciudadanos, así como quienes se desempeñan en la función pública, tiene el derecho de asistir en días inhábiles o en horas con tal calidad, a eventos de carácter político y electoral, con la firme intención de procurar </w:t>
      </w:r>
      <w:r>
        <w:rPr>
          <w:rFonts w:ascii="Arial" w:eastAsia="Arial" w:hAnsi="Arial" w:cs="Arial"/>
          <w:b/>
          <w:sz w:val="24"/>
          <w:szCs w:val="24"/>
        </w:rPr>
        <w:t>garantizar el derecho a la militancia en un partido político</w:t>
      </w:r>
      <w:r>
        <w:rPr>
          <w:rFonts w:ascii="Arial" w:eastAsia="Arial" w:hAnsi="Arial" w:cs="Arial"/>
          <w:sz w:val="24"/>
          <w:szCs w:val="24"/>
        </w:rPr>
        <w:t xml:space="preserve"> y, por ende, realizar todos los actos inherentes a dicha afiliación, </w:t>
      </w:r>
      <w:r>
        <w:rPr>
          <w:rFonts w:ascii="Arial" w:eastAsia="Arial" w:hAnsi="Arial" w:cs="Arial"/>
          <w:b/>
          <w:sz w:val="24"/>
          <w:szCs w:val="24"/>
        </w:rPr>
        <w:t>sin que ello implique un uso indebido a su empleo, cargo o comisión</w:t>
      </w:r>
      <w:r>
        <w:rPr>
          <w:rFonts w:ascii="Arial" w:eastAsia="Arial" w:hAnsi="Arial" w:cs="Arial"/>
          <w:sz w:val="24"/>
          <w:szCs w:val="24"/>
        </w:rPr>
        <w:t>.</w:t>
      </w:r>
      <w:r>
        <w:rPr>
          <w:rFonts w:ascii="Arial" w:eastAsia="Arial" w:hAnsi="Arial" w:cs="Arial"/>
          <w:sz w:val="24"/>
          <w:szCs w:val="24"/>
          <w:vertAlign w:val="superscript"/>
        </w:rPr>
        <w:footnoteReference w:id="12"/>
      </w:r>
    </w:p>
    <w:p w14:paraId="42F204B7" w14:textId="77777777" w:rsidR="00C300AB" w:rsidRDefault="00E27DA4">
      <w:pPr>
        <w:spacing w:before="240" w:after="240" w:line="360" w:lineRule="auto"/>
        <w:jc w:val="both"/>
        <w:rPr>
          <w:color w:val="000000"/>
        </w:rPr>
      </w:pPr>
      <w:r>
        <w:rPr>
          <w:rFonts w:ascii="Arial" w:eastAsia="Arial" w:hAnsi="Arial" w:cs="Arial"/>
          <w:sz w:val="24"/>
          <w:szCs w:val="24"/>
        </w:rPr>
        <w:t xml:space="preserve">Sobre dicha base, esta autoridad jurisdiccional considera que si se parte de la premisa encaminada a determinar que las y los servidores públicos tiene el derecho de asistir a eventos de carácter proselitista, ello implica que, </w:t>
      </w:r>
      <w:r>
        <w:rPr>
          <w:rFonts w:ascii="Arial" w:eastAsia="Arial" w:hAnsi="Arial" w:cs="Arial"/>
          <w:b/>
          <w:sz w:val="24"/>
          <w:szCs w:val="24"/>
        </w:rPr>
        <w:t>no existe una prohibición para que tales sujetos puedan aparecer en imágenes de carácter propagandístico,</w:t>
      </w:r>
      <w:r>
        <w:rPr>
          <w:rFonts w:ascii="Arial" w:eastAsia="Arial" w:hAnsi="Arial" w:cs="Arial"/>
          <w:sz w:val="24"/>
          <w:szCs w:val="24"/>
        </w:rPr>
        <w:t xml:space="preserve"> pues ello, por lo general, es consecuencia de la participación política que se desarrolla </w:t>
      </w:r>
      <w:r>
        <w:rPr>
          <w:rFonts w:ascii="Arial" w:eastAsia="Arial" w:hAnsi="Arial" w:cs="Arial"/>
          <w:sz w:val="24"/>
          <w:szCs w:val="24"/>
          <w:u w:val="single"/>
        </w:rPr>
        <w:t>como parte del derecho de reunión y asociación,</w:t>
      </w:r>
      <w:r>
        <w:rPr>
          <w:rFonts w:ascii="Arial" w:eastAsia="Arial" w:hAnsi="Arial" w:cs="Arial"/>
          <w:sz w:val="24"/>
          <w:szCs w:val="24"/>
        </w:rPr>
        <w:t xml:space="preserve"> de ahí la única forma de reconocer el desarrollo pleno de tales prerrogativas es permitir la difusión de tales imágenes.   </w:t>
      </w:r>
    </w:p>
    <w:p w14:paraId="59ABA903" w14:textId="77777777" w:rsidR="00C300AB" w:rsidRDefault="00E27DA4">
      <w:pPr>
        <w:spacing w:line="360" w:lineRule="auto"/>
        <w:jc w:val="both"/>
        <w:rPr>
          <w:rFonts w:ascii="Arial" w:eastAsia="Arial" w:hAnsi="Arial" w:cs="Arial"/>
          <w:sz w:val="24"/>
          <w:szCs w:val="24"/>
        </w:rPr>
      </w:pPr>
      <w:r>
        <w:rPr>
          <w:rFonts w:ascii="Arial" w:eastAsia="Arial" w:hAnsi="Arial" w:cs="Arial"/>
          <w:b/>
          <w:sz w:val="24"/>
          <w:szCs w:val="24"/>
        </w:rPr>
        <w:t>3.2.</w:t>
      </w:r>
      <w:r>
        <w:rPr>
          <w:rFonts w:ascii="Arial" w:eastAsia="Arial" w:hAnsi="Arial" w:cs="Arial"/>
          <w:sz w:val="24"/>
          <w:szCs w:val="24"/>
        </w:rPr>
        <w:t xml:space="preserve"> Por otra parte, en cuanto al ciudadano Aldo Emmanuel Ruiz Sánchez, quien también funge como parte denunciada en el presente asunto, es conveniente precisar que de las pruebas ofrecidas por la partes, </w:t>
      </w:r>
      <w:r>
        <w:rPr>
          <w:rFonts w:ascii="Arial" w:eastAsia="Arial" w:hAnsi="Arial" w:cs="Arial"/>
          <w:b/>
          <w:sz w:val="24"/>
          <w:szCs w:val="24"/>
        </w:rPr>
        <w:t>no se logró comprobar que tal sujeto fungiera como funcionario público</w:t>
      </w:r>
      <w:r>
        <w:rPr>
          <w:rFonts w:ascii="Arial" w:eastAsia="Arial" w:hAnsi="Arial" w:cs="Arial"/>
          <w:sz w:val="24"/>
          <w:szCs w:val="24"/>
        </w:rPr>
        <w:t xml:space="preserve">, ya que si bien se le denunció como Delegado Estatal de Programas </w:t>
      </w:r>
      <w:r>
        <w:rPr>
          <w:rFonts w:ascii="Arial" w:eastAsia="Arial" w:hAnsi="Arial" w:cs="Arial"/>
          <w:sz w:val="24"/>
          <w:szCs w:val="24"/>
        </w:rPr>
        <w:lastRenderedPageBreak/>
        <w:t xml:space="preserve">para el Desarrollo en el Estado de Aguascalientes, lo cierto es que tal carácter concluyó el 27 de agosto de 2021, situación que se comprobó con </w:t>
      </w:r>
      <w:r>
        <w:rPr>
          <w:rFonts w:ascii="Arial" w:eastAsia="Arial" w:hAnsi="Arial" w:cs="Arial"/>
          <w:sz w:val="24"/>
          <w:szCs w:val="24"/>
          <w:u w:val="single"/>
        </w:rPr>
        <w:t>la constancia de renuncia aprobada por la Secretaria del Bienestar</w:t>
      </w:r>
      <w:r>
        <w:rPr>
          <w:rFonts w:ascii="Arial" w:eastAsia="Arial" w:hAnsi="Arial" w:cs="Arial"/>
          <w:sz w:val="24"/>
          <w:szCs w:val="24"/>
        </w:rPr>
        <w:t xml:space="preserve">, sin que tal aspecto hubiese sido controvertido por la parte denunciante. </w:t>
      </w:r>
    </w:p>
    <w:p w14:paraId="297FAB56" w14:textId="77777777" w:rsidR="00C300AB" w:rsidRDefault="00C300AB">
      <w:pPr>
        <w:pBdr>
          <w:top w:val="nil"/>
          <w:left w:val="nil"/>
          <w:bottom w:val="nil"/>
          <w:right w:val="nil"/>
          <w:between w:val="nil"/>
        </w:pBdr>
        <w:rPr>
          <w:color w:val="000000"/>
        </w:rPr>
      </w:pPr>
    </w:p>
    <w:p w14:paraId="3290AD63" w14:textId="77777777" w:rsidR="00A714FF" w:rsidRDefault="00A714FF">
      <w:pPr>
        <w:spacing w:line="360" w:lineRule="auto"/>
        <w:jc w:val="both"/>
        <w:rPr>
          <w:rFonts w:ascii="Arial" w:eastAsia="Arial" w:hAnsi="Arial" w:cs="Arial"/>
          <w:sz w:val="24"/>
          <w:szCs w:val="24"/>
        </w:rPr>
      </w:pPr>
    </w:p>
    <w:p w14:paraId="21DCD484" w14:textId="08E0C921" w:rsidR="00C300AB" w:rsidRDefault="00E27DA4">
      <w:pPr>
        <w:spacing w:line="360" w:lineRule="auto"/>
        <w:jc w:val="both"/>
        <w:rPr>
          <w:rFonts w:ascii="Arial" w:eastAsia="Arial" w:hAnsi="Arial" w:cs="Arial"/>
          <w:sz w:val="24"/>
          <w:szCs w:val="24"/>
        </w:rPr>
      </w:pPr>
      <w:r>
        <w:rPr>
          <w:rFonts w:ascii="Arial" w:eastAsia="Arial" w:hAnsi="Arial" w:cs="Arial"/>
          <w:sz w:val="24"/>
          <w:szCs w:val="24"/>
        </w:rPr>
        <w:t xml:space="preserve">Así, dado que no se logró comprobar que dicha parte denunciante fungiera como servidor público en el hecho controvertido, implica que este Tribunal se encuentre en imposibilidad legal para continuar con el análisis de la infracción en cuestión, pues una de las exigencias es que la parte involucrada tenga el carácter como tal y, por tanto, sea un sujeto destinatario del artículo 134 constitucional, situación que no se logró comprobar en el presente asunto. </w:t>
      </w:r>
    </w:p>
    <w:p w14:paraId="2FD1905D" w14:textId="77777777" w:rsidR="00C300AB" w:rsidRDefault="00C300AB">
      <w:pPr>
        <w:pBdr>
          <w:top w:val="nil"/>
          <w:left w:val="nil"/>
          <w:bottom w:val="nil"/>
          <w:right w:val="nil"/>
          <w:between w:val="nil"/>
        </w:pBdr>
        <w:rPr>
          <w:color w:val="000000"/>
        </w:rPr>
      </w:pPr>
    </w:p>
    <w:p w14:paraId="25C7610C" w14:textId="77777777" w:rsidR="00A714FF" w:rsidRDefault="00A714FF">
      <w:pPr>
        <w:spacing w:line="360" w:lineRule="auto"/>
        <w:jc w:val="both"/>
        <w:rPr>
          <w:rFonts w:ascii="Arial" w:eastAsia="Arial" w:hAnsi="Arial" w:cs="Arial"/>
          <w:sz w:val="24"/>
          <w:szCs w:val="24"/>
        </w:rPr>
      </w:pPr>
    </w:p>
    <w:p w14:paraId="159C1368" w14:textId="735883DB" w:rsidR="00C300AB" w:rsidRDefault="00E27DA4">
      <w:pPr>
        <w:spacing w:line="360" w:lineRule="auto"/>
        <w:jc w:val="both"/>
        <w:rPr>
          <w:rFonts w:ascii="Arial" w:eastAsia="Arial" w:hAnsi="Arial" w:cs="Arial"/>
          <w:sz w:val="24"/>
          <w:szCs w:val="24"/>
        </w:rPr>
      </w:pPr>
      <w:r>
        <w:rPr>
          <w:rFonts w:ascii="Arial" w:eastAsia="Arial" w:hAnsi="Arial" w:cs="Arial"/>
          <w:sz w:val="24"/>
          <w:szCs w:val="24"/>
        </w:rPr>
        <w:t>Asimismo, esta exigencia también es congruente con la normativa electoral local -fracción III, del artículo 248 del Código Electoral</w:t>
      </w:r>
      <w:r>
        <w:rPr>
          <w:rFonts w:ascii="Arial" w:eastAsia="Arial" w:hAnsi="Arial" w:cs="Arial"/>
          <w:sz w:val="24"/>
          <w:szCs w:val="24"/>
          <w:vertAlign w:val="superscript"/>
        </w:rPr>
        <w:footnoteReference w:id="13"/>
      </w:r>
      <w:r>
        <w:rPr>
          <w:rFonts w:ascii="Arial" w:eastAsia="Arial" w:hAnsi="Arial" w:cs="Arial"/>
          <w:sz w:val="24"/>
          <w:szCs w:val="24"/>
        </w:rPr>
        <w:t xml:space="preserve">-, que establece que solamente podrán actualizar la infracción, las y los servidores públicos, por lo cual, como ya se explicó, al no cumplir con la condición necesaria para analizar la naturaleza de la infracción, debe desestimarse. </w:t>
      </w:r>
    </w:p>
    <w:p w14:paraId="1FA14B88" w14:textId="77777777" w:rsidR="00C300AB" w:rsidRDefault="00C300AB">
      <w:pPr>
        <w:pBdr>
          <w:top w:val="nil"/>
          <w:left w:val="nil"/>
          <w:bottom w:val="nil"/>
          <w:right w:val="nil"/>
          <w:between w:val="nil"/>
        </w:pBdr>
        <w:rPr>
          <w:color w:val="000000"/>
        </w:rPr>
      </w:pPr>
    </w:p>
    <w:p w14:paraId="51E62A3E" w14:textId="77777777" w:rsidR="00A714FF" w:rsidRDefault="00A714FF">
      <w:pPr>
        <w:spacing w:line="360" w:lineRule="auto"/>
        <w:jc w:val="both"/>
        <w:rPr>
          <w:rFonts w:ascii="Arial" w:eastAsia="Arial" w:hAnsi="Arial" w:cs="Arial"/>
          <w:sz w:val="24"/>
          <w:szCs w:val="24"/>
        </w:rPr>
      </w:pPr>
    </w:p>
    <w:p w14:paraId="09DB7694" w14:textId="6CE2BFD4" w:rsidR="00C300AB" w:rsidRDefault="00E27DA4">
      <w:pPr>
        <w:spacing w:line="360" w:lineRule="auto"/>
        <w:jc w:val="both"/>
        <w:rPr>
          <w:rFonts w:ascii="Arial" w:eastAsia="Arial" w:hAnsi="Arial" w:cs="Arial"/>
          <w:sz w:val="24"/>
          <w:szCs w:val="24"/>
        </w:rPr>
      </w:pPr>
      <w:r>
        <w:rPr>
          <w:rFonts w:ascii="Arial" w:eastAsia="Arial" w:hAnsi="Arial" w:cs="Arial"/>
          <w:sz w:val="24"/>
          <w:szCs w:val="24"/>
        </w:rPr>
        <w:t xml:space="preserve">Por ello, el hecho de que este órgano jurisdiccional hubiese declarado la inexistencia de la infracción relativa a la vulneración del artículo 134 de la Constitución general por parte de la funcionaria pública y el ciudadano como partes cuestionadas, implica que no sea posible acreditarles algún tipo de responsabilidad a la candidata y partido político, ambos denunciados. </w:t>
      </w:r>
    </w:p>
    <w:p w14:paraId="4360BAE5" w14:textId="77777777" w:rsidR="00C300AB" w:rsidRDefault="00C300AB">
      <w:pPr>
        <w:pBdr>
          <w:top w:val="nil"/>
          <w:left w:val="nil"/>
          <w:bottom w:val="nil"/>
          <w:right w:val="nil"/>
          <w:between w:val="nil"/>
        </w:pBdr>
        <w:rPr>
          <w:color w:val="000000"/>
        </w:rPr>
      </w:pPr>
    </w:p>
    <w:p w14:paraId="70EEC6B2" w14:textId="5BEBBCD3" w:rsidR="00C300AB" w:rsidRPr="00A714FF" w:rsidRDefault="00E27DA4" w:rsidP="00A714FF">
      <w:pPr>
        <w:pStyle w:val="Prrafodelista"/>
        <w:numPr>
          <w:ilvl w:val="0"/>
          <w:numId w:val="4"/>
        </w:num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A714FF">
        <w:rPr>
          <w:rFonts w:ascii="Arial" w:eastAsia="Arial" w:hAnsi="Arial" w:cs="Arial"/>
          <w:b/>
          <w:color w:val="000000"/>
          <w:sz w:val="24"/>
          <w:szCs w:val="24"/>
        </w:rPr>
        <w:t>Resolutivos</w:t>
      </w:r>
    </w:p>
    <w:p w14:paraId="62330FA3" w14:textId="77777777" w:rsidR="00A714FF" w:rsidRPr="00A714FF" w:rsidRDefault="00A714FF" w:rsidP="00A714FF">
      <w:pPr>
        <w:pStyle w:val="Prrafodelista"/>
        <w:pBdr>
          <w:top w:val="nil"/>
          <w:left w:val="nil"/>
          <w:bottom w:val="nil"/>
          <w:right w:val="nil"/>
          <w:between w:val="nil"/>
        </w:pBdr>
        <w:tabs>
          <w:tab w:val="left" w:pos="0"/>
          <w:tab w:val="left" w:pos="426"/>
        </w:tabs>
        <w:spacing w:line="360" w:lineRule="auto"/>
        <w:ind w:left="862"/>
        <w:rPr>
          <w:rFonts w:ascii="Arial" w:eastAsia="Arial" w:hAnsi="Arial" w:cs="Arial"/>
          <w:b/>
          <w:color w:val="000000"/>
          <w:sz w:val="24"/>
          <w:szCs w:val="24"/>
        </w:rPr>
      </w:pPr>
    </w:p>
    <w:p w14:paraId="13497CE6" w14:textId="77777777" w:rsidR="00C300AB" w:rsidRDefault="00C300AB">
      <w:pPr>
        <w:pBdr>
          <w:top w:val="nil"/>
          <w:left w:val="nil"/>
          <w:bottom w:val="nil"/>
          <w:right w:val="nil"/>
          <w:between w:val="nil"/>
        </w:pBdr>
        <w:rPr>
          <w:color w:val="000000"/>
          <w:sz w:val="10"/>
          <w:szCs w:val="10"/>
        </w:rPr>
      </w:pPr>
    </w:p>
    <w:p w14:paraId="05493C21" w14:textId="50E44B12" w:rsidR="00C300AB" w:rsidRDefault="00E27DA4">
      <w:pPr>
        <w:spacing w:line="360" w:lineRule="auto"/>
        <w:jc w:val="both"/>
        <w:rPr>
          <w:rFonts w:ascii="Arial" w:eastAsia="Arial" w:hAnsi="Arial" w:cs="Arial"/>
          <w:sz w:val="24"/>
          <w:szCs w:val="24"/>
        </w:rPr>
      </w:pPr>
      <w:r>
        <w:rPr>
          <w:rFonts w:ascii="Arial" w:eastAsia="Arial" w:hAnsi="Arial" w:cs="Arial"/>
          <w:b/>
          <w:sz w:val="24"/>
          <w:szCs w:val="24"/>
        </w:rPr>
        <w:t xml:space="preserve">Primero. </w:t>
      </w:r>
      <w:r>
        <w:rPr>
          <w:rFonts w:ascii="Arial" w:eastAsia="Arial" w:hAnsi="Arial" w:cs="Arial"/>
          <w:sz w:val="24"/>
          <w:szCs w:val="24"/>
        </w:rPr>
        <w:t xml:space="preserve">Se declara la </w:t>
      </w:r>
      <w:r>
        <w:rPr>
          <w:rFonts w:ascii="Arial" w:eastAsia="Arial" w:hAnsi="Arial" w:cs="Arial"/>
          <w:b/>
          <w:sz w:val="24"/>
          <w:szCs w:val="24"/>
        </w:rPr>
        <w:t>inexistencia</w:t>
      </w:r>
      <w:r>
        <w:rPr>
          <w:rFonts w:ascii="Arial" w:eastAsia="Arial" w:hAnsi="Arial" w:cs="Arial"/>
          <w:sz w:val="24"/>
          <w:szCs w:val="24"/>
        </w:rPr>
        <w:t xml:space="preserve"> de la infracción atribuida a la entonces candidata Nora Ruvalcaba Gámez, al ciudadano Aldo Emmanuel Ruiz Sánchez, y a la Diputada Ana Laura Gómez Calzada.</w:t>
      </w:r>
    </w:p>
    <w:p w14:paraId="6120DC16" w14:textId="77777777" w:rsidR="00A714FF" w:rsidRDefault="00A714FF">
      <w:pPr>
        <w:spacing w:line="360" w:lineRule="auto"/>
        <w:jc w:val="both"/>
        <w:rPr>
          <w:rFonts w:ascii="Arial" w:eastAsia="Arial" w:hAnsi="Arial" w:cs="Arial"/>
          <w:sz w:val="24"/>
          <w:szCs w:val="24"/>
        </w:rPr>
      </w:pPr>
    </w:p>
    <w:p w14:paraId="659476C8" w14:textId="77777777" w:rsidR="00C300AB" w:rsidRDefault="00C300AB">
      <w:pPr>
        <w:pBdr>
          <w:top w:val="nil"/>
          <w:left w:val="nil"/>
          <w:bottom w:val="nil"/>
          <w:right w:val="nil"/>
          <w:between w:val="nil"/>
        </w:pBdr>
        <w:rPr>
          <w:color w:val="000000"/>
          <w:sz w:val="12"/>
          <w:szCs w:val="12"/>
        </w:rPr>
      </w:pPr>
    </w:p>
    <w:p w14:paraId="0B9DCAB9" w14:textId="77777777" w:rsidR="00C300AB" w:rsidRDefault="00C300AB">
      <w:pPr>
        <w:pBdr>
          <w:top w:val="nil"/>
          <w:left w:val="nil"/>
          <w:bottom w:val="nil"/>
          <w:right w:val="nil"/>
          <w:between w:val="nil"/>
        </w:pBdr>
        <w:rPr>
          <w:color w:val="000000"/>
          <w:sz w:val="12"/>
          <w:szCs w:val="12"/>
        </w:rPr>
      </w:pPr>
    </w:p>
    <w:p w14:paraId="3F76DC8B" w14:textId="77777777" w:rsidR="00C300AB" w:rsidRDefault="00E27DA4">
      <w:pPr>
        <w:spacing w:line="360" w:lineRule="auto"/>
        <w:jc w:val="both"/>
        <w:rPr>
          <w:rFonts w:ascii="Arial" w:eastAsia="Arial" w:hAnsi="Arial" w:cs="Arial"/>
          <w:sz w:val="24"/>
          <w:szCs w:val="24"/>
        </w:rPr>
      </w:pPr>
      <w:r>
        <w:rPr>
          <w:rFonts w:ascii="Arial" w:eastAsia="Arial" w:hAnsi="Arial" w:cs="Arial"/>
          <w:b/>
          <w:sz w:val="24"/>
          <w:szCs w:val="24"/>
        </w:rPr>
        <w:t xml:space="preserve">Segundo. </w:t>
      </w:r>
      <w:r>
        <w:rPr>
          <w:rFonts w:ascii="Arial" w:eastAsia="Arial" w:hAnsi="Arial" w:cs="Arial"/>
          <w:sz w:val="24"/>
          <w:szCs w:val="24"/>
        </w:rPr>
        <w:t xml:space="preserve">Se declara la </w:t>
      </w:r>
      <w:r>
        <w:rPr>
          <w:rFonts w:ascii="Arial" w:eastAsia="Arial" w:hAnsi="Arial" w:cs="Arial"/>
          <w:b/>
          <w:sz w:val="24"/>
          <w:szCs w:val="24"/>
        </w:rPr>
        <w:t xml:space="preserve">inexistencia </w:t>
      </w:r>
      <w:r>
        <w:rPr>
          <w:rFonts w:ascii="Arial" w:eastAsia="Arial" w:hAnsi="Arial" w:cs="Arial"/>
          <w:sz w:val="24"/>
          <w:szCs w:val="24"/>
        </w:rPr>
        <w:t xml:space="preserve">de la infracción consistente en </w:t>
      </w:r>
      <w:r>
        <w:rPr>
          <w:rFonts w:ascii="Arial" w:eastAsia="Arial" w:hAnsi="Arial" w:cs="Arial"/>
          <w:b/>
          <w:i/>
          <w:sz w:val="24"/>
          <w:szCs w:val="24"/>
        </w:rPr>
        <w:t>culpa in vigilando</w:t>
      </w:r>
      <w:r>
        <w:rPr>
          <w:rFonts w:ascii="Arial" w:eastAsia="Arial" w:hAnsi="Arial" w:cs="Arial"/>
          <w:sz w:val="24"/>
          <w:szCs w:val="24"/>
        </w:rPr>
        <w:t xml:space="preserve"> atribuida a Morena.</w:t>
      </w:r>
    </w:p>
    <w:p w14:paraId="4DF7A952" w14:textId="77777777" w:rsidR="00C300AB" w:rsidRDefault="00C300AB">
      <w:pPr>
        <w:pBdr>
          <w:top w:val="nil"/>
          <w:left w:val="nil"/>
          <w:bottom w:val="nil"/>
          <w:right w:val="nil"/>
          <w:between w:val="nil"/>
        </w:pBdr>
        <w:rPr>
          <w:color w:val="000000"/>
          <w:sz w:val="12"/>
          <w:szCs w:val="12"/>
        </w:rPr>
      </w:pPr>
    </w:p>
    <w:p w14:paraId="31278D0D" w14:textId="77777777" w:rsidR="00C300AB" w:rsidRDefault="00C300AB">
      <w:pPr>
        <w:pBdr>
          <w:top w:val="nil"/>
          <w:left w:val="nil"/>
          <w:bottom w:val="nil"/>
          <w:right w:val="nil"/>
          <w:between w:val="nil"/>
        </w:pBdr>
        <w:rPr>
          <w:color w:val="000000"/>
          <w:sz w:val="12"/>
          <w:szCs w:val="12"/>
        </w:rPr>
      </w:pPr>
    </w:p>
    <w:p w14:paraId="7D85B9E8" w14:textId="77777777" w:rsidR="00A714FF" w:rsidRDefault="00A714FF">
      <w:pPr>
        <w:rPr>
          <w:rFonts w:ascii="Arial" w:eastAsia="Arial" w:hAnsi="Arial" w:cs="Arial"/>
          <w:b/>
          <w:color w:val="000000"/>
          <w:sz w:val="24"/>
          <w:szCs w:val="24"/>
        </w:rPr>
      </w:pPr>
      <w:bookmarkStart w:id="4" w:name="_heading=h.tyjcwt" w:colFirst="0" w:colLast="0"/>
      <w:bookmarkEnd w:id="4"/>
      <w:r>
        <w:rPr>
          <w:rFonts w:ascii="Arial" w:eastAsia="Arial" w:hAnsi="Arial" w:cs="Arial"/>
          <w:b/>
          <w:color w:val="000000"/>
          <w:sz w:val="24"/>
          <w:szCs w:val="24"/>
        </w:rPr>
        <w:br w:type="page"/>
      </w:r>
    </w:p>
    <w:p w14:paraId="555AF287" w14:textId="3F3208BB" w:rsidR="00C300AB" w:rsidRDefault="00E27DA4">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8"/>
          <w:szCs w:val="8"/>
        </w:rPr>
      </w:pPr>
      <w:r>
        <w:rPr>
          <w:rFonts w:ascii="Arial" w:eastAsia="Arial" w:hAnsi="Arial" w:cs="Arial"/>
          <w:b/>
          <w:color w:val="000000"/>
          <w:sz w:val="24"/>
          <w:szCs w:val="24"/>
        </w:rPr>
        <w:lastRenderedPageBreak/>
        <w:t xml:space="preserve">Notifíquese. </w:t>
      </w:r>
      <w:r>
        <w:rPr>
          <w:rFonts w:ascii="Arial" w:eastAsia="Arial" w:hAnsi="Arial" w:cs="Arial"/>
          <w:b/>
          <w:color w:val="000000"/>
          <w:sz w:val="24"/>
          <w:szCs w:val="24"/>
        </w:rPr>
        <w:br/>
      </w:r>
    </w:p>
    <w:p w14:paraId="1D1717D6" w14:textId="1071341C" w:rsidR="00C300AB" w:rsidRDefault="00E27DA4">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Así lo resolvió el Tribunal Electoral del Estado de Aguascalientes, por unanimidad de votos de las </w:t>
      </w:r>
      <w:r>
        <w:rPr>
          <w:rFonts w:ascii="Arial" w:eastAsia="Arial" w:hAnsi="Arial" w:cs="Arial"/>
          <w:sz w:val="24"/>
          <w:szCs w:val="24"/>
        </w:rPr>
        <w:t xml:space="preserve">Magistradas y el </w:t>
      </w:r>
      <w:r>
        <w:rPr>
          <w:rFonts w:ascii="Arial" w:eastAsia="Arial" w:hAnsi="Arial" w:cs="Arial"/>
          <w:color w:val="000000"/>
          <w:sz w:val="24"/>
          <w:szCs w:val="24"/>
        </w:rPr>
        <w:t xml:space="preserve">Magistrado que lo integran, ante el </w:t>
      </w:r>
      <w:proofErr w:type="gramStart"/>
      <w:r>
        <w:rPr>
          <w:rFonts w:ascii="Arial" w:eastAsia="Arial" w:hAnsi="Arial" w:cs="Arial"/>
          <w:color w:val="000000"/>
          <w:sz w:val="24"/>
          <w:szCs w:val="24"/>
        </w:rPr>
        <w:t>Secretario General</w:t>
      </w:r>
      <w:proofErr w:type="gramEnd"/>
      <w:r>
        <w:rPr>
          <w:rFonts w:ascii="Arial" w:eastAsia="Arial" w:hAnsi="Arial" w:cs="Arial"/>
          <w:color w:val="000000"/>
          <w:sz w:val="24"/>
          <w:szCs w:val="24"/>
        </w:rPr>
        <w:t xml:space="preserve"> de Acuerdos, quien autoriza y da fe.</w:t>
      </w:r>
    </w:p>
    <w:tbl>
      <w:tblPr>
        <w:tblStyle w:val="af3"/>
        <w:tblW w:w="9120" w:type="dxa"/>
        <w:jc w:val="center"/>
        <w:tblInd w:w="0" w:type="dxa"/>
        <w:tblLayout w:type="fixed"/>
        <w:tblLook w:val="0400" w:firstRow="0" w:lastRow="0" w:firstColumn="0" w:lastColumn="0" w:noHBand="0" w:noVBand="1"/>
      </w:tblPr>
      <w:tblGrid>
        <w:gridCol w:w="4559"/>
        <w:gridCol w:w="4561"/>
      </w:tblGrid>
      <w:tr w:rsidR="00C300AB" w14:paraId="7B74EC13" w14:textId="77777777" w:rsidTr="00303888">
        <w:trPr>
          <w:trHeight w:val="1180"/>
          <w:jc w:val="center"/>
        </w:trPr>
        <w:tc>
          <w:tcPr>
            <w:tcW w:w="9120" w:type="dxa"/>
            <w:gridSpan w:val="2"/>
          </w:tcPr>
          <w:p w14:paraId="554B1989" w14:textId="6C8543E7" w:rsidR="00C300AB" w:rsidRDefault="00E27DA4" w:rsidP="00303888">
            <w:pPr>
              <w:spacing w:line="360" w:lineRule="auto"/>
              <w:jc w:val="center"/>
              <w:rPr>
                <w:rFonts w:ascii="Arial" w:eastAsia="Arial" w:hAnsi="Arial" w:cs="Arial"/>
                <w:b/>
                <w:sz w:val="24"/>
                <w:szCs w:val="24"/>
              </w:rPr>
            </w:pPr>
            <w:bookmarkStart w:id="5" w:name="_heading=h.4d34og8" w:colFirst="0" w:colLast="0"/>
            <w:bookmarkEnd w:id="5"/>
            <w:r>
              <w:rPr>
                <w:rFonts w:ascii="Arial" w:eastAsia="Arial" w:hAnsi="Arial" w:cs="Arial"/>
                <w:b/>
                <w:sz w:val="24"/>
                <w:szCs w:val="24"/>
              </w:rPr>
              <w:t>MAGISTRADA PRESIDENTA</w:t>
            </w:r>
          </w:p>
          <w:p w14:paraId="4A7663A2" w14:textId="7B44C71C" w:rsidR="00A714FF" w:rsidRDefault="00A714FF" w:rsidP="00303888">
            <w:pPr>
              <w:spacing w:line="360" w:lineRule="auto"/>
              <w:jc w:val="center"/>
              <w:rPr>
                <w:rFonts w:ascii="Arial" w:eastAsia="Arial" w:hAnsi="Arial" w:cs="Arial"/>
                <w:b/>
                <w:sz w:val="24"/>
                <w:szCs w:val="24"/>
              </w:rPr>
            </w:pPr>
          </w:p>
          <w:p w14:paraId="5462D5C0" w14:textId="77777777" w:rsidR="00303888" w:rsidRDefault="00303888" w:rsidP="00303888">
            <w:pPr>
              <w:pStyle w:val="Sinespaciado"/>
              <w:rPr>
                <w:rFonts w:eastAsia="Arial"/>
              </w:rPr>
            </w:pPr>
          </w:p>
          <w:p w14:paraId="3D1F7915" w14:textId="77777777" w:rsidR="00C300AB" w:rsidRDefault="00E27DA4">
            <w:pPr>
              <w:spacing w:line="360" w:lineRule="auto"/>
              <w:jc w:val="center"/>
              <w:rPr>
                <w:rFonts w:ascii="Arial" w:eastAsia="Arial" w:hAnsi="Arial" w:cs="Arial"/>
                <w:b/>
                <w:sz w:val="24"/>
                <w:szCs w:val="24"/>
              </w:rPr>
            </w:pPr>
            <w:r>
              <w:rPr>
                <w:rFonts w:ascii="Arial" w:eastAsia="Arial" w:hAnsi="Arial" w:cs="Arial"/>
                <w:b/>
                <w:sz w:val="24"/>
                <w:szCs w:val="24"/>
              </w:rPr>
              <w:t>CLAUDIA ELOISA DÍAZ DE LEÓN GONZÁLEZ</w:t>
            </w:r>
          </w:p>
        </w:tc>
      </w:tr>
      <w:tr w:rsidR="00C300AB" w14:paraId="607ED7DE" w14:textId="77777777">
        <w:trPr>
          <w:trHeight w:val="1549"/>
          <w:jc w:val="center"/>
        </w:trPr>
        <w:tc>
          <w:tcPr>
            <w:tcW w:w="4559" w:type="dxa"/>
          </w:tcPr>
          <w:p w14:paraId="0D22A5C7" w14:textId="3790E4AD" w:rsidR="00A714FF" w:rsidRDefault="00A714FF">
            <w:pPr>
              <w:spacing w:line="360" w:lineRule="auto"/>
              <w:jc w:val="center"/>
              <w:rPr>
                <w:rFonts w:ascii="Arial" w:eastAsia="Arial" w:hAnsi="Arial" w:cs="Arial"/>
                <w:b/>
                <w:sz w:val="24"/>
                <w:szCs w:val="24"/>
              </w:rPr>
            </w:pPr>
          </w:p>
          <w:p w14:paraId="4F917FC0" w14:textId="1F3F3FCF" w:rsidR="00C300AB" w:rsidRDefault="00E27DA4">
            <w:pPr>
              <w:spacing w:line="360" w:lineRule="auto"/>
              <w:jc w:val="center"/>
              <w:rPr>
                <w:rFonts w:ascii="Arial" w:eastAsia="Arial" w:hAnsi="Arial" w:cs="Arial"/>
                <w:b/>
                <w:sz w:val="24"/>
                <w:szCs w:val="24"/>
              </w:rPr>
            </w:pPr>
            <w:r>
              <w:rPr>
                <w:rFonts w:ascii="Arial" w:eastAsia="Arial" w:hAnsi="Arial" w:cs="Arial"/>
                <w:b/>
                <w:sz w:val="24"/>
                <w:szCs w:val="24"/>
              </w:rPr>
              <w:t>MAGISTRADA</w:t>
            </w:r>
          </w:p>
          <w:p w14:paraId="1BDEC37E" w14:textId="266B418D" w:rsidR="00C300AB" w:rsidRDefault="00C300AB" w:rsidP="00303888">
            <w:pPr>
              <w:pStyle w:val="Sinespaciado"/>
              <w:rPr>
                <w:rFonts w:eastAsia="Arial"/>
              </w:rPr>
            </w:pPr>
          </w:p>
          <w:p w14:paraId="33F903C9" w14:textId="678C8228" w:rsidR="00A714FF" w:rsidRDefault="00A714FF" w:rsidP="00303888">
            <w:pPr>
              <w:pStyle w:val="Sinespaciado"/>
              <w:rPr>
                <w:rFonts w:eastAsia="Arial"/>
              </w:rPr>
            </w:pPr>
          </w:p>
          <w:p w14:paraId="4BFE6AFA" w14:textId="77777777" w:rsidR="00C300AB" w:rsidRDefault="00E27DA4">
            <w:pPr>
              <w:spacing w:line="360" w:lineRule="auto"/>
              <w:jc w:val="center"/>
              <w:rPr>
                <w:rFonts w:ascii="Arial" w:eastAsia="Arial" w:hAnsi="Arial" w:cs="Arial"/>
                <w:b/>
                <w:sz w:val="24"/>
                <w:szCs w:val="24"/>
              </w:rPr>
            </w:pPr>
            <w:r>
              <w:rPr>
                <w:rFonts w:ascii="Arial" w:eastAsia="Arial" w:hAnsi="Arial" w:cs="Arial"/>
                <w:b/>
                <w:sz w:val="24"/>
                <w:szCs w:val="24"/>
              </w:rPr>
              <w:t xml:space="preserve">LAURA HORTENSIA </w:t>
            </w:r>
          </w:p>
          <w:p w14:paraId="7A5AC71E" w14:textId="77777777" w:rsidR="00C300AB" w:rsidRDefault="00E27DA4">
            <w:pPr>
              <w:spacing w:line="360" w:lineRule="auto"/>
              <w:jc w:val="center"/>
              <w:rPr>
                <w:rFonts w:ascii="Arial" w:eastAsia="Arial" w:hAnsi="Arial" w:cs="Arial"/>
                <w:b/>
                <w:sz w:val="24"/>
                <w:szCs w:val="24"/>
              </w:rPr>
            </w:pPr>
            <w:r>
              <w:rPr>
                <w:rFonts w:ascii="Arial" w:eastAsia="Arial" w:hAnsi="Arial" w:cs="Arial"/>
                <w:b/>
                <w:sz w:val="24"/>
                <w:szCs w:val="24"/>
              </w:rPr>
              <w:t>LLAMAS HERNÁNDEZ</w:t>
            </w:r>
          </w:p>
        </w:tc>
        <w:tc>
          <w:tcPr>
            <w:tcW w:w="4561" w:type="dxa"/>
          </w:tcPr>
          <w:p w14:paraId="46318E54" w14:textId="77777777" w:rsidR="00A714FF" w:rsidRDefault="00A714FF">
            <w:pPr>
              <w:spacing w:line="360" w:lineRule="auto"/>
              <w:jc w:val="center"/>
              <w:rPr>
                <w:rFonts w:ascii="Arial" w:eastAsia="Arial" w:hAnsi="Arial" w:cs="Arial"/>
                <w:b/>
                <w:sz w:val="24"/>
                <w:szCs w:val="24"/>
              </w:rPr>
            </w:pPr>
          </w:p>
          <w:p w14:paraId="0795C2FC" w14:textId="053E683D" w:rsidR="00C300AB" w:rsidRDefault="00E27DA4">
            <w:pPr>
              <w:spacing w:line="360" w:lineRule="auto"/>
              <w:jc w:val="center"/>
              <w:rPr>
                <w:rFonts w:ascii="Arial" w:eastAsia="Arial" w:hAnsi="Arial" w:cs="Arial"/>
                <w:b/>
                <w:sz w:val="24"/>
                <w:szCs w:val="24"/>
              </w:rPr>
            </w:pPr>
            <w:r>
              <w:rPr>
                <w:rFonts w:ascii="Arial" w:eastAsia="Arial" w:hAnsi="Arial" w:cs="Arial"/>
                <w:b/>
                <w:sz w:val="24"/>
                <w:szCs w:val="24"/>
              </w:rPr>
              <w:t>MAGISTRADO</w:t>
            </w:r>
          </w:p>
          <w:p w14:paraId="17660568" w14:textId="73130E0F" w:rsidR="00C300AB" w:rsidRDefault="00C300AB" w:rsidP="00303888">
            <w:pPr>
              <w:pStyle w:val="Sinespaciado"/>
              <w:rPr>
                <w:rFonts w:eastAsia="Arial"/>
              </w:rPr>
            </w:pPr>
          </w:p>
          <w:p w14:paraId="3D0F3FB3" w14:textId="77777777" w:rsidR="00A714FF" w:rsidRDefault="00A714FF" w:rsidP="00303888">
            <w:pPr>
              <w:pStyle w:val="Sinespaciado"/>
              <w:rPr>
                <w:rFonts w:eastAsia="Arial"/>
              </w:rPr>
            </w:pPr>
          </w:p>
          <w:p w14:paraId="3FEA21AD" w14:textId="77777777" w:rsidR="00C300AB" w:rsidRDefault="00E27DA4">
            <w:pPr>
              <w:spacing w:line="360" w:lineRule="auto"/>
              <w:jc w:val="center"/>
              <w:rPr>
                <w:rFonts w:ascii="Arial" w:eastAsia="Arial" w:hAnsi="Arial" w:cs="Arial"/>
                <w:b/>
                <w:sz w:val="24"/>
                <w:szCs w:val="24"/>
              </w:rPr>
            </w:pPr>
            <w:r>
              <w:rPr>
                <w:rFonts w:ascii="Arial" w:eastAsia="Arial" w:hAnsi="Arial" w:cs="Arial"/>
                <w:b/>
                <w:sz w:val="24"/>
                <w:szCs w:val="24"/>
              </w:rPr>
              <w:t xml:space="preserve">HÉCTOR SALVADOR </w:t>
            </w:r>
            <w:r>
              <w:rPr>
                <w:rFonts w:ascii="Arial" w:eastAsia="Arial" w:hAnsi="Arial" w:cs="Arial"/>
                <w:b/>
                <w:sz w:val="24"/>
                <w:szCs w:val="24"/>
              </w:rPr>
              <w:br/>
              <w:t>HERNÁNDEZ GALLEGOS</w:t>
            </w:r>
          </w:p>
          <w:p w14:paraId="141ABAD9" w14:textId="77777777" w:rsidR="00C300AB" w:rsidRDefault="00C300AB">
            <w:pPr>
              <w:spacing w:line="360" w:lineRule="auto"/>
              <w:jc w:val="center"/>
              <w:rPr>
                <w:rFonts w:ascii="Arial" w:eastAsia="Arial" w:hAnsi="Arial" w:cs="Arial"/>
                <w:b/>
                <w:sz w:val="24"/>
                <w:szCs w:val="24"/>
              </w:rPr>
            </w:pPr>
          </w:p>
        </w:tc>
      </w:tr>
      <w:tr w:rsidR="00C300AB" w14:paraId="745B47B8" w14:textId="77777777">
        <w:trPr>
          <w:jc w:val="center"/>
        </w:trPr>
        <w:tc>
          <w:tcPr>
            <w:tcW w:w="9120" w:type="dxa"/>
            <w:gridSpan w:val="2"/>
          </w:tcPr>
          <w:p w14:paraId="7D2C52F6" w14:textId="2B5C52CB" w:rsidR="00C300AB" w:rsidRDefault="00E27DA4">
            <w:pPr>
              <w:spacing w:line="360" w:lineRule="auto"/>
              <w:jc w:val="center"/>
              <w:rPr>
                <w:rFonts w:ascii="Arial" w:eastAsia="Arial" w:hAnsi="Arial" w:cs="Arial"/>
                <w:b/>
                <w:sz w:val="24"/>
                <w:szCs w:val="24"/>
              </w:rPr>
            </w:pPr>
            <w:r>
              <w:rPr>
                <w:rFonts w:ascii="Arial" w:eastAsia="Arial" w:hAnsi="Arial" w:cs="Arial"/>
                <w:b/>
                <w:sz w:val="24"/>
                <w:szCs w:val="24"/>
              </w:rPr>
              <w:t xml:space="preserve">SECRETARIO GENERAL DE ACUERDOS </w:t>
            </w:r>
          </w:p>
          <w:p w14:paraId="2877961D" w14:textId="77777777" w:rsidR="00C300AB" w:rsidRDefault="00C300AB">
            <w:pPr>
              <w:spacing w:line="360" w:lineRule="auto"/>
              <w:jc w:val="center"/>
              <w:rPr>
                <w:rFonts w:ascii="Arial" w:eastAsia="Arial" w:hAnsi="Arial" w:cs="Arial"/>
                <w:b/>
                <w:sz w:val="24"/>
                <w:szCs w:val="24"/>
              </w:rPr>
            </w:pPr>
          </w:p>
          <w:p w14:paraId="0EC69BFF" w14:textId="77777777" w:rsidR="00C300AB" w:rsidRDefault="00E27DA4">
            <w:pPr>
              <w:spacing w:line="360" w:lineRule="auto"/>
              <w:jc w:val="center"/>
              <w:rPr>
                <w:rFonts w:ascii="Arial" w:eastAsia="Arial" w:hAnsi="Arial" w:cs="Arial"/>
                <w:b/>
                <w:sz w:val="24"/>
                <w:szCs w:val="24"/>
              </w:rPr>
            </w:pPr>
            <w:r>
              <w:rPr>
                <w:rFonts w:ascii="Arial" w:eastAsia="Arial" w:hAnsi="Arial" w:cs="Arial"/>
                <w:b/>
                <w:sz w:val="24"/>
                <w:szCs w:val="24"/>
              </w:rPr>
              <w:t>JESÚS OCIEL BAENA SAUCEDO</w:t>
            </w:r>
          </w:p>
        </w:tc>
      </w:tr>
    </w:tbl>
    <w:p w14:paraId="6CDB65FC" w14:textId="2FA88CD3" w:rsidR="00C300AB" w:rsidRDefault="00C300AB">
      <w:pPr>
        <w:spacing w:line="360" w:lineRule="auto"/>
        <w:rPr>
          <w:rFonts w:ascii="Arial" w:eastAsia="Arial" w:hAnsi="Arial" w:cs="Arial"/>
          <w:sz w:val="24"/>
          <w:szCs w:val="24"/>
        </w:rPr>
      </w:pPr>
    </w:p>
    <w:sectPr w:rsidR="00C300AB">
      <w:headerReference w:type="even" r:id="rId12"/>
      <w:headerReference w:type="default" r:id="rId13"/>
      <w:footerReference w:type="even" r:id="rId14"/>
      <w:footerReference w:type="default" r:id="rId15"/>
      <w:headerReference w:type="first" r:id="rId16"/>
      <w:footerReference w:type="first" r:id="rId17"/>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7EF02" w14:textId="77777777" w:rsidR="00BF678B" w:rsidRDefault="00BF678B">
      <w:r>
        <w:separator/>
      </w:r>
    </w:p>
  </w:endnote>
  <w:endnote w:type="continuationSeparator" w:id="0">
    <w:p w14:paraId="6E5128A9" w14:textId="77777777" w:rsidR="00BF678B" w:rsidRDefault="00BF6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DF8DF" w14:textId="77777777" w:rsidR="00C300AB" w:rsidRDefault="00C300A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8017" w14:textId="77777777" w:rsidR="00C300AB" w:rsidRDefault="00C300A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969C7" w14:textId="77777777" w:rsidR="00C300AB" w:rsidRDefault="00C300A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DEA5A" w14:textId="77777777" w:rsidR="00BF678B" w:rsidRDefault="00BF678B">
      <w:r>
        <w:separator/>
      </w:r>
    </w:p>
  </w:footnote>
  <w:footnote w:type="continuationSeparator" w:id="0">
    <w:p w14:paraId="38C36441" w14:textId="77777777" w:rsidR="00BF678B" w:rsidRDefault="00BF678B">
      <w:r>
        <w:continuationSeparator/>
      </w:r>
    </w:p>
  </w:footnote>
  <w:footnote w:id="1">
    <w:p w14:paraId="6333EC1B" w14:textId="77777777" w:rsidR="00C300AB" w:rsidRDefault="00E27DA4">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59F5C5C3" w14:textId="77777777" w:rsidR="00C300AB" w:rsidRDefault="00E27DA4">
      <w:pPr>
        <w:pBdr>
          <w:top w:val="nil"/>
          <w:left w:val="nil"/>
          <w:bottom w:val="nil"/>
          <w:right w:val="nil"/>
          <w:between w:val="nil"/>
        </w:pBdr>
        <w:tabs>
          <w:tab w:val="left" w:pos="567"/>
        </w:tabs>
        <w:ind w:right="36"/>
        <w:jc w:val="both"/>
        <w:rPr>
          <w:rFonts w:ascii="Arial" w:eastAsia="Arial" w:hAnsi="Arial" w:cs="Arial"/>
        </w:rPr>
      </w:pPr>
      <w:r>
        <w:rPr>
          <w:vertAlign w:val="superscript"/>
        </w:rPr>
        <w:footnoteRef/>
      </w:r>
      <w:r>
        <w:rPr>
          <w:rFonts w:ascii="Arial" w:eastAsia="Arial" w:hAnsi="Arial" w:cs="Arial"/>
        </w:rPr>
        <w:t xml:space="preserve"> Todas las fechas corresponden al 2022, salvo precisión en contrario.</w:t>
      </w:r>
    </w:p>
  </w:footnote>
  <w:footnote w:id="3">
    <w:p w14:paraId="44B0B0A4" w14:textId="77777777" w:rsidR="00C300AB" w:rsidRDefault="00E27DA4">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i/>
        </w:rPr>
        <w:t>Precampaña</w:t>
      </w:r>
      <w:r>
        <w:rPr>
          <w:rFonts w:ascii="Arial" w:eastAsia="Arial" w:hAnsi="Arial" w:cs="Arial"/>
        </w:rPr>
        <w:t xml:space="preserve">: Del 2 de enero al 10 de febrero; </w:t>
      </w:r>
      <w:proofErr w:type="spellStart"/>
      <w:r>
        <w:rPr>
          <w:rFonts w:ascii="Arial" w:eastAsia="Arial" w:hAnsi="Arial" w:cs="Arial"/>
        </w:rPr>
        <w:t>Intercampaña</w:t>
      </w:r>
      <w:proofErr w:type="spellEnd"/>
      <w:r>
        <w:rPr>
          <w:rFonts w:ascii="Arial" w:eastAsia="Arial" w:hAnsi="Arial" w:cs="Arial"/>
        </w:rPr>
        <w:t xml:space="preserve">: Del 11 de febrero al 2 de abril; </w:t>
      </w:r>
      <w:r>
        <w:rPr>
          <w:rFonts w:ascii="Arial" w:eastAsia="Arial" w:hAnsi="Arial" w:cs="Arial"/>
          <w:i/>
        </w:rPr>
        <w:t>Campaña</w:t>
      </w:r>
      <w:r>
        <w:rPr>
          <w:rFonts w:ascii="Arial" w:eastAsia="Arial" w:hAnsi="Arial" w:cs="Arial"/>
        </w:rPr>
        <w:t xml:space="preserve">: Del 3 de abril al 1 de junio; </w:t>
      </w:r>
      <w:r>
        <w:rPr>
          <w:rFonts w:ascii="Arial" w:eastAsia="Arial" w:hAnsi="Arial" w:cs="Arial"/>
          <w:i/>
        </w:rPr>
        <w:t>Veda Electoral</w:t>
      </w:r>
      <w:r>
        <w:rPr>
          <w:rFonts w:ascii="Arial" w:eastAsia="Arial" w:hAnsi="Arial" w:cs="Arial"/>
        </w:rPr>
        <w:t xml:space="preserve">: Tres días antes de la Jornada Electoral; </w:t>
      </w:r>
      <w:r>
        <w:rPr>
          <w:rFonts w:ascii="Arial" w:eastAsia="Arial" w:hAnsi="Arial" w:cs="Arial"/>
          <w:i/>
        </w:rPr>
        <w:t>Jornada Electoral</w:t>
      </w:r>
      <w:r>
        <w:rPr>
          <w:rFonts w:ascii="Arial" w:eastAsia="Arial" w:hAnsi="Arial" w:cs="Arial"/>
        </w:rPr>
        <w:t>: El 5 de junio.</w:t>
      </w:r>
    </w:p>
  </w:footnote>
  <w:footnote w:id="4">
    <w:p w14:paraId="49756582" w14:textId="77777777" w:rsidR="00C300AB" w:rsidRDefault="00E27DA4">
      <w:pPr>
        <w:pBdr>
          <w:top w:val="nil"/>
          <w:left w:val="nil"/>
          <w:bottom w:val="nil"/>
          <w:right w:val="nil"/>
          <w:between w:val="nil"/>
        </w:pBdr>
        <w:jc w:val="both"/>
        <w:rPr>
          <w:color w:val="000000"/>
          <w:sz w:val="24"/>
          <w:szCs w:val="24"/>
        </w:rPr>
      </w:pPr>
      <w:r>
        <w:rPr>
          <w:vertAlign w:val="superscript"/>
        </w:rPr>
        <w:footnoteRef/>
      </w:r>
      <w:r>
        <w:rPr>
          <w:color w:val="000000"/>
          <w:sz w:val="24"/>
          <w:szCs w:val="24"/>
        </w:rPr>
        <w:t xml:space="preserve"> </w:t>
      </w:r>
      <w:r>
        <w:rPr>
          <w:rFonts w:ascii="Arial" w:eastAsia="Arial" w:hAnsi="Arial" w:cs="Arial"/>
          <w:color w:val="000000"/>
        </w:rPr>
        <w:t>Tal como se prevé en el artículo 274, fracción IV, del Código Electoral.</w:t>
      </w:r>
    </w:p>
  </w:footnote>
  <w:footnote w:id="5">
    <w:p w14:paraId="37C41594" w14:textId="77777777" w:rsidR="00C300AB" w:rsidRDefault="00E27DA4">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 </w:t>
      </w:r>
      <w:r>
        <w:rPr>
          <w:rFonts w:ascii="Arial" w:eastAsia="Arial" w:hAnsi="Arial" w:cs="Arial"/>
          <w:i/>
          <w:color w:val="000000"/>
        </w:rPr>
        <w:t>Documental privada:</w:t>
      </w:r>
      <w:r>
        <w:rPr>
          <w:rFonts w:ascii="Arial" w:eastAsia="Arial" w:hAnsi="Arial" w:cs="Arial"/>
          <w:color w:val="000000"/>
        </w:rPr>
        <w:t xml:space="preserve"> De acuerdo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787C9113" w14:textId="77777777" w:rsidR="00C300AB" w:rsidRDefault="00E27DA4">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Documental pública:</w:t>
      </w:r>
      <w:r>
        <w:rPr>
          <w:rFonts w:ascii="Arial" w:eastAsia="Arial" w:hAnsi="Arial" w:cs="Arial"/>
          <w:color w:val="000000"/>
        </w:rPr>
        <w:t xml:space="preserve"> De conformidad con el artículo 256, segundo párrafo del Código Electoral; Las documentales públicas tendrán valor probatorio pleno, salvo prueba en contrario respecto de su autenticidad o de la veracidad de los hechos a que se refieran.</w:t>
      </w:r>
    </w:p>
    <w:p w14:paraId="5DD67C96" w14:textId="77777777" w:rsidR="00C300AB" w:rsidRDefault="00E27DA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i/>
          <w:color w:val="000000"/>
        </w:rPr>
        <w:t>Técnica:</w:t>
      </w:r>
      <w:r>
        <w:rPr>
          <w:rFonts w:ascii="Arial" w:eastAsia="Arial" w:hAnsi="Arial" w:cs="Arial"/>
          <w:color w:val="000000"/>
        </w:rPr>
        <w:t xml:space="preserve"> 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p w14:paraId="08767BE9" w14:textId="77777777" w:rsidR="00C300AB" w:rsidRDefault="00E27DA4">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Presuncional e instrumental de actuaciones:</w:t>
      </w:r>
      <w:r>
        <w:rPr>
          <w:rFonts w:ascii="Arial" w:eastAsia="Arial" w:hAnsi="Arial" w:cs="Arial"/>
          <w:color w:val="000000"/>
        </w:rPr>
        <w:t xml:space="preserve"> En relación con las pruebas ofrecidas como </w:t>
      </w:r>
      <w:proofErr w:type="spellStart"/>
      <w:r>
        <w:rPr>
          <w:rFonts w:ascii="Arial" w:eastAsia="Arial" w:hAnsi="Arial" w:cs="Arial"/>
          <w:color w:val="000000"/>
        </w:rPr>
        <w:t>presuncional</w:t>
      </w:r>
      <w:proofErr w:type="spellEnd"/>
      <w:r>
        <w:rPr>
          <w:rFonts w:ascii="Arial" w:eastAsia="Arial" w:hAnsi="Arial" w:cs="Arial"/>
          <w:color w:val="00000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447C3EF5" w14:textId="77777777" w:rsidR="00C300AB" w:rsidRDefault="00C300AB">
      <w:pPr>
        <w:pBdr>
          <w:top w:val="nil"/>
          <w:left w:val="nil"/>
          <w:bottom w:val="nil"/>
          <w:right w:val="nil"/>
          <w:between w:val="nil"/>
        </w:pBdr>
        <w:rPr>
          <w:color w:val="000000"/>
        </w:rPr>
      </w:pPr>
    </w:p>
  </w:footnote>
  <w:footnote w:id="6">
    <w:p w14:paraId="77DD42E4" w14:textId="3AC0AAE3" w:rsidR="00A714FF" w:rsidRPr="00A714FF" w:rsidRDefault="00A714FF" w:rsidP="00A714FF">
      <w:pPr>
        <w:pStyle w:val="Textonotapie"/>
        <w:jc w:val="both"/>
        <w:rPr>
          <w:rFonts w:ascii="Arial" w:hAnsi="Arial" w:cs="Arial"/>
        </w:rPr>
      </w:pPr>
      <w:r>
        <w:rPr>
          <w:rStyle w:val="Refdenotaalpie"/>
        </w:rPr>
        <w:footnoteRef/>
      </w:r>
      <w:r>
        <w:t xml:space="preserve"> </w:t>
      </w:r>
      <w:r w:rsidRPr="00A714FF">
        <w:rPr>
          <w:rFonts w:ascii="Arial" w:hAnsi="Arial" w:cs="Arial"/>
        </w:rPr>
        <w:t>Véase las sentencias SUP-JE-50/2018 y SUP-REP-45/2021</w:t>
      </w:r>
    </w:p>
  </w:footnote>
  <w:footnote w:id="7">
    <w:p w14:paraId="23119693" w14:textId="51332132" w:rsidR="00A714FF" w:rsidRDefault="00A714FF" w:rsidP="00A714FF">
      <w:pPr>
        <w:pStyle w:val="Textonotapie"/>
        <w:jc w:val="both"/>
      </w:pPr>
      <w:r w:rsidRPr="00A714FF">
        <w:rPr>
          <w:rStyle w:val="Refdenotaalpie"/>
          <w:rFonts w:ascii="Arial" w:hAnsi="Arial" w:cs="Arial"/>
        </w:rPr>
        <w:footnoteRef/>
      </w:r>
      <w:r w:rsidRPr="00A714FF">
        <w:rPr>
          <w:rFonts w:ascii="Arial" w:hAnsi="Arial" w:cs="Arial"/>
        </w:rPr>
        <w:t xml:space="preserve"> Véase las sentencias SUP-REP-88/2019, SUP-JRC-13/2018, SUP-REP-163/2018, SUP-JDC-903/2015 y SUP-JDC-904/2015 acumulados</w:t>
      </w:r>
    </w:p>
  </w:footnote>
  <w:footnote w:id="8">
    <w:p w14:paraId="6D882860" w14:textId="77777777" w:rsidR="00C300AB" w:rsidRDefault="00E27DA4">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Véase el asunto </w:t>
      </w:r>
      <w:r>
        <w:rPr>
          <w:rFonts w:ascii="Arial" w:eastAsia="Arial" w:hAnsi="Arial" w:cs="Arial"/>
          <w:color w:val="000000"/>
          <w:highlight w:val="white"/>
        </w:rPr>
        <w:t>SUP-RAP-75/2010.</w:t>
      </w:r>
    </w:p>
  </w:footnote>
  <w:footnote w:id="9">
    <w:p w14:paraId="1B81CFE2" w14:textId="77777777" w:rsidR="00C300AB" w:rsidRDefault="00E27DA4">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Léase los asuntos </w:t>
      </w:r>
      <w:r>
        <w:rPr>
          <w:rFonts w:ascii="Arial" w:eastAsia="Arial" w:hAnsi="Arial" w:cs="Arial"/>
          <w:color w:val="000000"/>
          <w:highlight w:val="white"/>
        </w:rPr>
        <w:t>SUP-JE-50/2018 y SUP-REP-45/2021.</w:t>
      </w:r>
    </w:p>
  </w:footnote>
  <w:footnote w:id="10">
    <w:p w14:paraId="5E10BEE2" w14:textId="77777777" w:rsidR="00C300AB" w:rsidRDefault="00E27DA4">
      <w:pPr>
        <w:pBdr>
          <w:top w:val="nil"/>
          <w:left w:val="nil"/>
          <w:bottom w:val="nil"/>
          <w:right w:val="nil"/>
          <w:between w:val="nil"/>
        </w:pBdr>
        <w:rPr>
          <w:color w:val="000000"/>
        </w:rPr>
      </w:pPr>
      <w:r>
        <w:rPr>
          <w:vertAlign w:val="superscript"/>
        </w:rPr>
        <w:footnoteRef/>
      </w:r>
      <w:r>
        <w:rPr>
          <w:rFonts w:ascii="Arial" w:eastAsia="Arial" w:hAnsi="Arial" w:cs="Arial"/>
          <w:color w:val="000000"/>
        </w:rPr>
        <w:t xml:space="preserve"> Véase los asuntos </w:t>
      </w:r>
      <w:r>
        <w:rPr>
          <w:rFonts w:ascii="Arial" w:eastAsia="Arial" w:hAnsi="Arial" w:cs="Arial"/>
          <w:color w:val="000000"/>
          <w:highlight w:val="white"/>
        </w:rPr>
        <w:t>SUP-REP-88/2019, SUP-JRC-13/2018, SUP-REP-163/2018, SUP-JDC-903/2015 y SUP-JDC-904/2015 acumulados.</w:t>
      </w:r>
    </w:p>
  </w:footnote>
  <w:footnote w:id="11">
    <w:p w14:paraId="4377BD44" w14:textId="77777777" w:rsidR="00C300AB" w:rsidRDefault="00E27DA4">
      <w:pPr>
        <w:pBdr>
          <w:top w:val="nil"/>
          <w:left w:val="nil"/>
          <w:bottom w:val="nil"/>
          <w:right w:val="nil"/>
          <w:between w:val="nil"/>
        </w:pBdr>
        <w:rPr>
          <w:color w:val="000000"/>
        </w:rPr>
      </w:pPr>
      <w:r>
        <w:rPr>
          <w:vertAlign w:val="superscript"/>
        </w:rPr>
        <w:footnoteRef/>
      </w:r>
      <w:r>
        <w:rPr>
          <w:color w:val="000000"/>
        </w:rPr>
        <w:t xml:space="preserve"> </w:t>
      </w:r>
      <w:r>
        <w:rPr>
          <w:rFonts w:ascii="Arial" w:eastAsia="Arial" w:hAnsi="Arial" w:cs="Arial"/>
          <w:color w:val="000000"/>
        </w:rPr>
        <w:t>El día y hora de celebración de tal evento que es un hecho público y notorio, en atención a las constancias que existe en el expediente (TEEA-PES-052/2022).</w:t>
      </w:r>
    </w:p>
  </w:footnote>
  <w:footnote w:id="12">
    <w:p w14:paraId="63A4B962" w14:textId="77777777" w:rsidR="00C300AB" w:rsidRDefault="00E27DA4">
      <w:pPr>
        <w:jc w:val="both"/>
      </w:pPr>
      <w:r>
        <w:rPr>
          <w:vertAlign w:val="superscript"/>
        </w:rPr>
        <w:footnoteRef/>
      </w:r>
      <w:r>
        <w:t xml:space="preserve"> </w:t>
      </w:r>
      <w:r>
        <w:rPr>
          <w:rFonts w:ascii="Arial" w:eastAsia="Arial" w:hAnsi="Arial" w:cs="Arial"/>
        </w:rPr>
        <w:t xml:space="preserve">Véase la resolución SUP-RAP-75/2010. </w:t>
      </w:r>
    </w:p>
  </w:footnote>
  <w:footnote w:id="13">
    <w:p w14:paraId="4168E315" w14:textId="77777777" w:rsidR="00C300AB" w:rsidRDefault="00E27DA4">
      <w:pPr>
        <w:pBdr>
          <w:top w:val="nil"/>
          <w:left w:val="nil"/>
          <w:bottom w:val="nil"/>
          <w:right w:val="nil"/>
          <w:between w:val="nil"/>
        </w:pBdr>
        <w:jc w:val="both"/>
        <w:rPr>
          <w:rFonts w:ascii="Arial" w:eastAsia="Arial" w:hAnsi="Arial" w:cs="Arial"/>
          <w:color w:val="000000"/>
        </w:rPr>
      </w:pPr>
      <w:r>
        <w:rPr>
          <w:vertAlign w:val="superscript"/>
        </w:rPr>
        <w:footnoteRef/>
      </w:r>
      <w:r>
        <w:rPr>
          <w:color w:val="000000"/>
        </w:rPr>
        <w:t xml:space="preserve"> </w:t>
      </w:r>
      <w:r>
        <w:rPr>
          <w:rFonts w:ascii="Arial" w:eastAsia="Arial" w:hAnsi="Arial" w:cs="Arial"/>
          <w:color w:val="000000"/>
        </w:rPr>
        <w:t>Artículo 248.- Constituyen infracciones al presente Código de las autoridades o los servidores públicos federales, estatales, municipales, órganos autónomos, y cualquier otro ente público: […]</w:t>
      </w:r>
    </w:p>
    <w:p w14:paraId="6FDC677B" w14:textId="77777777" w:rsidR="00C300AB" w:rsidRDefault="00E27DA4">
      <w:pPr>
        <w:pBdr>
          <w:top w:val="nil"/>
          <w:left w:val="nil"/>
          <w:bottom w:val="nil"/>
          <w:right w:val="nil"/>
          <w:between w:val="nil"/>
        </w:pBdr>
        <w:jc w:val="both"/>
        <w:rPr>
          <w:color w:val="000000"/>
        </w:rPr>
      </w:pPr>
      <w:r>
        <w:rPr>
          <w:rFonts w:ascii="Arial" w:eastAsia="Arial" w:hAnsi="Arial" w:cs="Arial"/>
          <w:color w:val="000000"/>
        </w:rPr>
        <w:t xml:space="preserve">III. El incumplimiento del principio de imparcialidad establecido en el artículo 134 de la </w:t>
      </w:r>
      <w:proofErr w:type="gramStart"/>
      <w:r>
        <w:rPr>
          <w:rFonts w:ascii="Arial" w:eastAsia="Arial" w:hAnsi="Arial" w:cs="Arial"/>
          <w:color w:val="000000"/>
        </w:rPr>
        <w:t>CPEUM</w:t>
      </w:r>
      <w:proofErr w:type="gramEnd"/>
      <w:r>
        <w:rPr>
          <w:rFonts w:ascii="Arial" w:eastAsia="Arial" w:hAnsi="Arial" w:cs="Arial"/>
          <w:color w:val="000000"/>
        </w:rPr>
        <w:t xml:space="preserve"> así como en el artículo 89 de la Constitución, cuando tal conducta afecte la equidad de la competencia entre los partidos políticos, entre los aspirantes, precandidatos o candidatos durante los procesos electorales;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ED0C" w14:textId="2E9A1A63" w:rsidR="00C300AB" w:rsidRDefault="00BF678B">
    <w:pPr>
      <w:pBdr>
        <w:top w:val="nil"/>
        <w:left w:val="nil"/>
        <w:bottom w:val="nil"/>
        <w:right w:val="nil"/>
        <w:between w:val="nil"/>
      </w:pBdr>
      <w:tabs>
        <w:tab w:val="center" w:pos="4419"/>
        <w:tab w:val="right" w:pos="8838"/>
      </w:tabs>
      <w:rPr>
        <w:color w:val="000000"/>
      </w:rPr>
    </w:pPr>
    <w:r>
      <w:rPr>
        <w:noProof/>
      </w:rPr>
      <w:pict w14:anchorId="01582B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54547" o:spid="_x0000_s1026" type="#_x0000_t136" style="position:absolute;margin-left:0;margin-top:0;width:591.85pt;height:91.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E27DA4">
      <w:rPr>
        <w:noProof/>
        <w:color w:val="000000"/>
      </w:rPr>
      <mc:AlternateContent>
        <mc:Choice Requires="wps">
          <w:drawing>
            <wp:anchor distT="0" distB="0" distL="0" distR="0" simplePos="0" relativeHeight="251658240" behindDoc="1" locked="0" layoutInCell="1" hidden="0" allowOverlap="1" wp14:anchorId="00A4CDDB" wp14:editId="4D7A0C1F">
              <wp:simplePos x="0" y="0"/>
              <wp:positionH relativeFrom="margin">
                <wp:align>center</wp:align>
              </wp:positionH>
              <wp:positionV relativeFrom="margin">
                <wp:align>center</wp:align>
              </wp:positionV>
              <wp:extent cx="11248858" cy="11248858"/>
              <wp:effectExtent l="0" t="0" r="0" b="0"/>
              <wp:wrapNone/>
              <wp:docPr id="244" name="Rectángulo 244"/>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78D1530C" w14:textId="77777777" w:rsidR="00C300AB" w:rsidRDefault="00E27DA4">
                          <w:pPr>
                            <w:jc w:val="center"/>
                            <w:textDirection w:val="btLr"/>
                          </w:pPr>
                          <w:r>
                            <w:rPr>
                              <w:rFonts w:ascii="Arial" w:eastAsia="Arial" w:hAnsi="Arial" w:cs="Arial"/>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00A4CDDB" id="Rectángulo 244" o:spid="_x0000_s1032" style="position:absolute;margin-left:0;margin-top:0;width:885.75pt;height:885.75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" filled="f" stroked="f">
              <v:textbox inset="2.53958mm,2.53958mm,2.53958mm,2.53958mm">
                <w:txbxContent>
                  <w:p w14:paraId="78D1530C" w14:textId="77777777" w:rsidR="00C300AB" w:rsidRDefault="00E27DA4">
                    <w:pPr>
                      <w:jc w:val="center"/>
                      <w:textDirection w:val="btLr"/>
                    </w:pPr>
                    <w:r>
                      <w:rPr>
                        <w:rFonts w:ascii="Arial" w:eastAsia="Arial" w:hAnsi="Arial" w:cs="Arial"/>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D1E6" w14:textId="3C8AAC76" w:rsidR="00C300AB" w:rsidRDefault="00BF678B">
    <w:pPr>
      <w:pBdr>
        <w:top w:val="nil"/>
        <w:left w:val="nil"/>
        <w:bottom w:val="nil"/>
        <w:right w:val="nil"/>
        <w:between w:val="nil"/>
      </w:pBdr>
      <w:tabs>
        <w:tab w:val="center" w:pos="4419"/>
        <w:tab w:val="right" w:pos="8838"/>
      </w:tabs>
      <w:rPr>
        <w:color w:val="000000"/>
      </w:rPr>
    </w:pPr>
    <w:r>
      <w:rPr>
        <w:noProof/>
      </w:rPr>
      <w:pict w14:anchorId="3AB13D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54548" o:spid="_x0000_s1027" type="#_x0000_t136" style="position:absolute;margin-left:0;margin-top:0;width:591.85pt;height:91.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sdt>
      <w:sdtPr>
        <w:rPr>
          <w:color w:val="000000"/>
        </w:rPr>
        <w:id w:val="-686984676"/>
        <w:docPartObj>
          <w:docPartGallery w:val="Page Numbers (Margins)"/>
          <w:docPartUnique/>
        </w:docPartObj>
      </w:sdtPr>
      <w:sdtEndPr/>
      <w:sdtContent>
        <w:r w:rsidR="00707F06" w:rsidRPr="00707F06">
          <w:rPr>
            <w:noProof/>
            <w:color w:val="000000"/>
          </w:rPr>
          <mc:AlternateContent>
            <mc:Choice Requires="wps">
              <w:drawing>
                <wp:anchor distT="0" distB="0" distL="114300" distR="114300" simplePos="0" relativeHeight="251660288" behindDoc="0" locked="0" layoutInCell="0" allowOverlap="1" wp14:anchorId="572E4098" wp14:editId="0E47CCF9">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2470EDCC" w14:textId="77777777" w:rsidR="00707F06" w:rsidRDefault="00707F06">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E4098" id="Rectángulo 1" o:spid="_x0000_s1033"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NCgIAAO4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m/0EDQ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2470EDCC" w14:textId="77777777" w:rsidR="00707F06" w:rsidRDefault="00707F06">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27DA4">
      <w:rPr>
        <w:noProof/>
        <w:color w:val="000000"/>
      </w:rPr>
      <w:drawing>
        <wp:inline distT="0" distB="0" distL="0" distR="0" wp14:anchorId="5E2FD8A1" wp14:editId="6C9675D9">
          <wp:extent cx="995527" cy="1154534"/>
          <wp:effectExtent l="0" t="0" r="0" b="0"/>
          <wp:docPr id="2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29548" w14:textId="2BAC262B" w:rsidR="00C300AB" w:rsidRDefault="00BF678B">
    <w:pPr>
      <w:pBdr>
        <w:top w:val="nil"/>
        <w:left w:val="nil"/>
        <w:bottom w:val="nil"/>
        <w:right w:val="nil"/>
        <w:between w:val="nil"/>
      </w:pBdr>
      <w:tabs>
        <w:tab w:val="center" w:pos="4419"/>
        <w:tab w:val="right" w:pos="8838"/>
      </w:tabs>
      <w:rPr>
        <w:color w:val="000000"/>
      </w:rPr>
    </w:pPr>
    <w:r>
      <w:rPr>
        <w:noProof/>
      </w:rPr>
      <w:pict w14:anchorId="2BBDC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54546" o:spid="_x0000_s1025" type="#_x0000_t136" style="position:absolute;margin-left:0;margin-top:0;width:591.85pt;height:91.0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5128D"/>
    <w:multiLevelType w:val="multilevel"/>
    <w:tmpl w:val="DDC2E5A6"/>
    <w:lvl w:ilvl="0">
      <w:start w:val="1"/>
      <w:numFmt w:val="decimal"/>
      <w:lvlText w:val="%1."/>
      <w:lvlJc w:val="left"/>
      <w:pPr>
        <w:ind w:left="2375" w:hanging="390"/>
      </w:pPr>
      <w:rPr>
        <w:rFonts w:ascii="Arial" w:eastAsia="Arial" w:hAnsi="Arial" w:cs="Arial"/>
        <w:b/>
        <w:sz w:val="24"/>
        <w:szCs w:val="24"/>
        <w:shd w:val="clear" w:color="auto" w:fill="auto"/>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18FC30BC"/>
    <w:multiLevelType w:val="multilevel"/>
    <w:tmpl w:val="9F308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B81C58"/>
    <w:multiLevelType w:val="multilevel"/>
    <w:tmpl w:val="2A545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5A7727"/>
    <w:multiLevelType w:val="multilevel"/>
    <w:tmpl w:val="F0162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3B2CB7"/>
    <w:multiLevelType w:val="multilevel"/>
    <w:tmpl w:val="2B8AA0AE"/>
    <w:lvl w:ilvl="0">
      <w:start w:val="1"/>
      <w:numFmt w:val="decimal"/>
      <w:lvlText w:val="%1."/>
      <w:lvlJc w:val="left"/>
      <w:pPr>
        <w:ind w:left="360" w:hanging="36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4FD60DE0"/>
    <w:multiLevelType w:val="multilevel"/>
    <w:tmpl w:val="158C0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01B2A8A"/>
    <w:multiLevelType w:val="multilevel"/>
    <w:tmpl w:val="5DB0904E"/>
    <w:lvl w:ilvl="0">
      <w:start w:val="1"/>
      <w:numFmt w:val="upperRoman"/>
      <w:lvlText w:val="%1."/>
      <w:lvlJc w:val="left"/>
      <w:pPr>
        <w:ind w:left="862"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7B2C0FF7"/>
    <w:multiLevelType w:val="multilevel"/>
    <w:tmpl w:val="70108690"/>
    <w:lvl w:ilvl="0">
      <w:start w:val="3"/>
      <w:numFmt w:val="upperRoman"/>
      <w:lvlText w:val="%1."/>
      <w:lvlJc w:val="left"/>
      <w:pPr>
        <w:ind w:left="862" w:hanging="72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16cid:durableId="1511994206">
    <w:abstractNumId w:val="1"/>
  </w:num>
  <w:num w:numId="2" w16cid:durableId="974680065">
    <w:abstractNumId w:val="3"/>
  </w:num>
  <w:num w:numId="3" w16cid:durableId="162548895">
    <w:abstractNumId w:val="4"/>
  </w:num>
  <w:num w:numId="4" w16cid:durableId="912621478">
    <w:abstractNumId w:val="7"/>
  </w:num>
  <w:num w:numId="5" w16cid:durableId="794300043">
    <w:abstractNumId w:val="0"/>
  </w:num>
  <w:num w:numId="6" w16cid:durableId="25066756">
    <w:abstractNumId w:val="5"/>
  </w:num>
  <w:num w:numId="7" w16cid:durableId="378824406">
    <w:abstractNumId w:val="6"/>
  </w:num>
  <w:num w:numId="8" w16cid:durableId="5562364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0AB"/>
    <w:rsid w:val="00303888"/>
    <w:rsid w:val="003279C8"/>
    <w:rsid w:val="00383CB5"/>
    <w:rsid w:val="005A44F9"/>
    <w:rsid w:val="0062602C"/>
    <w:rsid w:val="00707F06"/>
    <w:rsid w:val="007D10F7"/>
    <w:rsid w:val="00957EB1"/>
    <w:rsid w:val="00A714FF"/>
    <w:rsid w:val="00BD18D3"/>
    <w:rsid w:val="00BF678B"/>
    <w:rsid w:val="00C300AB"/>
    <w:rsid w:val="00CA0C14"/>
    <w:rsid w:val="00E27DA4"/>
    <w:rsid w:val="00E328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68FF"/>
  <w15:docId w15:val="{BC5FD0C3-2C2B-45B4-8D44-F01763CFB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27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rPr>
      <w:color w:val="000000"/>
    </w:rPr>
    <w:tblPr>
      <w:tblStyleRowBandSize w:val="1"/>
      <w:tblStyleColBandSize w:val="1"/>
      <w:tblCellMar>
        <w:left w:w="108" w:type="dxa"/>
        <w:right w:w="108" w:type="dxa"/>
      </w:tblCellMar>
    </w:tblPr>
  </w:style>
  <w:style w:type="table" w:customStyle="1" w:styleId="a0">
    <w:basedOn w:val="TableNormal2"/>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2"/>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2"/>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2"/>
    <w:tblPr>
      <w:tblStyleRowBandSize w:val="1"/>
      <w:tblStyleColBandSize w:val="1"/>
      <w:tblCellMar>
        <w:left w:w="115" w:type="dxa"/>
        <w:right w:w="115" w:type="dxa"/>
      </w:tblCellMar>
    </w:tblPr>
  </w:style>
  <w:style w:type="paragraph" w:styleId="Sinespaciado">
    <w:name w:val="No Spacing"/>
    <w:uiPriority w:val="1"/>
    <w:qFormat/>
    <w:rsid w:val="00424E9E"/>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AD65B3"/>
    <w:pPr>
      <w:ind w:left="720"/>
      <w:contextualSpacing/>
    </w:p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4E11D2"/>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4E11D2"/>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4E11D2"/>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4E11D2"/>
    <w:pPr>
      <w:jc w:val="both"/>
    </w:pPr>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E70665"/>
  </w:style>
  <w:style w:type="character" w:styleId="Hipervnculo">
    <w:name w:val="Hyperlink"/>
    <w:basedOn w:val="Fuentedeprrafopredeter"/>
    <w:uiPriority w:val="99"/>
    <w:unhideWhenUsed/>
    <w:rsid w:val="00C655DE"/>
    <w:rPr>
      <w:color w:val="0000FF" w:themeColor="hyperlink"/>
      <w:u w:val="single"/>
    </w:rPr>
  </w:style>
  <w:style w:type="paragraph" w:styleId="NormalWeb">
    <w:name w:val="Normal (Web)"/>
    <w:basedOn w:val="Normal"/>
    <w:uiPriority w:val="99"/>
    <w:unhideWhenUsed/>
    <w:rsid w:val="006752DC"/>
    <w:pPr>
      <w:spacing w:before="100" w:beforeAutospacing="1" w:after="100" w:afterAutospacing="1"/>
    </w:pPr>
    <w:rPr>
      <w:sz w:val="24"/>
      <w:szCs w:val="24"/>
    </w:rPr>
  </w:style>
  <w:style w:type="character" w:styleId="Mencinsinresolver">
    <w:name w:val="Unresolved Mention"/>
    <w:basedOn w:val="Fuentedeprrafopredeter"/>
    <w:uiPriority w:val="99"/>
    <w:semiHidden/>
    <w:unhideWhenUsed/>
    <w:rsid w:val="00ED06C0"/>
    <w:rPr>
      <w:color w:val="605E5C"/>
      <w:shd w:val="clear" w:color="auto" w:fill="E1DFDD"/>
    </w:rPr>
  </w:style>
  <w:style w:type="table" w:customStyle="1" w:styleId="a4">
    <w:basedOn w:val="TableNormal2"/>
    <w:rPr>
      <w:color w:val="000000"/>
    </w:rPr>
    <w:tblPr>
      <w:tblStyleRowBandSize w:val="1"/>
      <w:tblStyleColBandSize w:val="1"/>
      <w:tblCellMar>
        <w:left w:w="115" w:type="dxa"/>
        <w:right w:w="115" w:type="dxa"/>
      </w:tblCellMar>
    </w:tblPr>
  </w:style>
  <w:style w:type="table" w:customStyle="1" w:styleId="a5">
    <w:basedOn w:val="TableNormal2"/>
    <w:rPr>
      <w:color w:val="000000"/>
    </w:rPr>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6">
    <w:basedOn w:val="TableNormal2"/>
    <w:rPr>
      <w:color w:val="000000"/>
    </w:rPr>
    <w:tblPr>
      <w:tblStyleRowBandSize w:val="1"/>
      <w:tblStyleColBandSize w:val="1"/>
      <w:tblCellMar>
        <w:left w:w="115" w:type="dxa"/>
        <w:right w:w="115" w:type="dxa"/>
      </w:tblCellMar>
    </w:tblPr>
  </w:style>
  <w:style w:type="table" w:styleId="Tablaconcuadrcula">
    <w:name w:val="Table Grid"/>
    <w:basedOn w:val="Tablanormal"/>
    <w:uiPriority w:val="39"/>
    <w:rsid w:val="00E30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
    <w:name w:val="Grid Table 4"/>
    <w:basedOn w:val="Tablanormal"/>
    <w:uiPriority w:val="49"/>
    <w:rsid w:val="004052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7">
    <w:basedOn w:val="TableNormal1"/>
    <w:rPr>
      <w:color w:val="000000"/>
    </w:rPr>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9">
    <w:basedOn w:val="TableNormal1"/>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a">
    <w:basedOn w:val="TableNormal1"/>
    <w:rPr>
      <w:color w:val="000000"/>
    </w:rPr>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b">
    <w:basedOn w:val="TableNormal1"/>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0"/>
    <w:rPr>
      <w:color w:val="000000"/>
    </w:rPr>
    <w:tblPr>
      <w:tblStyleRowBandSize w:val="1"/>
      <w:tblStyleColBandSize w:val="1"/>
      <w:tblCellMar>
        <w:left w:w="115" w:type="dxa"/>
        <w:right w:w="115" w:type="dxa"/>
      </w:tblCellMar>
    </w:tblPr>
  </w:style>
  <w:style w:type="table" w:customStyle="1" w:styleId="ae">
    <w:basedOn w:val="TableNormal0"/>
    <w:rPr>
      <w:color w:val="000000"/>
    </w:rPr>
    <w:tblPr>
      <w:tblStyleRowBandSize w:val="1"/>
      <w:tblStyleColBandSize w:val="1"/>
      <w:tblCellMar>
        <w:left w:w="115" w:type="dxa"/>
        <w:right w:w="115"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
    <w:basedOn w:val="TableNormal0"/>
    <w:rPr>
      <w:color w:val="000000"/>
    </w:rPr>
    <w:tblPr>
      <w:tblStyleRowBandSize w:val="1"/>
      <w:tblStyleColBandSize w:val="1"/>
      <w:tblCellMar>
        <w:left w:w="115" w:type="dxa"/>
        <w:right w:w="115"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rPr>
      <w:color w:val="000000"/>
    </w:rPr>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3">
    <w:basedOn w:val="TableNormal0"/>
    <w:rPr>
      <w:color w:val="00000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hoto/?fbid=491933075995188&amp;set=pb.100055354991877.-220752000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facebook.com/photo/?fbid=496452468876582&amp;set=pb.100055354991877.-220752000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z8YqD2ViFt/Mfe33OpzoTnMr6Q==">AMUW2mVVDPG4v0WDxljDCMYD7ZTa1gTRLkicxogYW8HErQGhVkK3Fzyhy7fz4XERVBYDK4gR9X8m4IE8rEX4beBj7pkaIE3/9hVKH0ugQeoyk8T5NU9RoIE5ODUR/D/FNW6PTw3iItdd0IrhhjC0wc3l8PXrB8CCKsOjvYJ0HMSy80uaaZiaO8L8sveEB8R3PX8kUYIRkRp2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4114</Words>
  <Characters>22629</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Juridico</dc:creator>
  <cp:lastModifiedBy>Secretario Gral</cp:lastModifiedBy>
  <cp:revision>2</cp:revision>
  <cp:lastPrinted>2022-06-30T18:02:00Z</cp:lastPrinted>
  <dcterms:created xsi:type="dcterms:W3CDTF">2022-06-30T19:41:00Z</dcterms:created>
  <dcterms:modified xsi:type="dcterms:W3CDTF">2022-06-30T19:41:00Z</dcterms:modified>
</cp:coreProperties>
</file>