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5D39" w14:textId="2D1B103F" w:rsidR="00B5147C" w:rsidRPr="005C5936" w:rsidRDefault="005E5093" w:rsidP="005C5936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48C40A2C">
                <wp:simplePos x="0" y="0"/>
                <wp:positionH relativeFrom="margin">
                  <wp:posOffset>2650490</wp:posOffset>
                </wp:positionH>
                <wp:positionV relativeFrom="paragraph">
                  <wp:posOffset>0</wp:posOffset>
                </wp:positionV>
                <wp:extent cx="2994660" cy="209931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9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691DABA4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E55F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E55F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3378F20" w14:textId="4005D673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F1A" w:rsidRPr="00E55F1A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>Lic. Angélica Medel Zamora en representación del C. Luis Felipe Huerta Estrada</w:t>
                            </w:r>
                            <w:r w:rsidR="00E55F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7pt;margin-top:0;width:235.8pt;height:16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691DABA4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E55F1A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E55F1A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03378F20" w14:textId="4005D673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55F1A" w:rsidRPr="00E55F1A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s-MX"/>
                        </w:rPr>
                        <w:t>Lic. Angélica Medel Zamora en representación del C. Luis Felipe Huerta Estrada</w:t>
                      </w:r>
                      <w:r w:rsidR="00E55F1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11FFB" w14:textId="759D42DD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9BBDE48" w14:textId="05DFE7EA" w:rsidR="000A4C6C" w:rsidRDefault="000A4C6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9D0B6D3" w14:textId="77777777" w:rsidR="003061FC" w:rsidRPr="00796B37" w:rsidRDefault="003061F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DCA492E" w14:textId="03556A55" w:rsidR="004A121B" w:rsidRDefault="004A121B" w:rsidP="004A12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da cuenta a la Magistrada Presidenta, Claudia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</w:t>
      </w:r>
      <w:r w:rsidR="00E55F1A">
        <w:rPr>
          <w:rFonts w:ascii="Arial" w:eastAsia="Times New Roman" w:hAnsi="Arial" w:cs="Arial"/>
          <w:bCs/>
          <w:sz w:val="24"/>
          <w:szCs w:val="24"/>
          <w:lang w:eastAsia="es-MX"/>
        </w:rPr>
        <w:t>acuerdo plenario de reencauzamiento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E55F1A">
        <w:rPr>
          <w:rFonts w:ascii="Arial" w:eastAsia="Times New Roman" w:hAnsi="Arial" w:cs="Arial"/>
          <w:bCs/>
          <w:sz w:val="24"/>
          <w:szCs w:val="24"/>
          <w:lang w:eastAsia="es-MX"/>
        </w:rPr>
        <w:t>diez de enero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</w:t>
      </w:r>
      <w:r w:rsidR="00E55F1A">
        <w:rPr>
          <w:rFonts w:ascii="Arial" w:eastAsia="Times New Roman" w:hAnsi="Arial" w:cs="Arial"/>
          <w:bCs/>
          <w:sz w:val="24"/>
          <w:szCs w:val="24"/>
          <w:lang w:eastAsia="es-MX"/>
        </w:rPr>
        <w:t>iuno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55F1A">
        <w:rPr>
          <w:rFonts w:ascii="Arial" w:eastAsia="Times New Roman" w:hAnsi="Arial" w:cs="Arial"/>
          <w:bCs/>
          <w:sz w:val="24"/>
          <w:szCs w:val="24"/>
          <w:lang w:eastAsia="es-MX"/>
        </w:rPr>
        <w:t>emitido por el Pleno de este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Tribunal Electoral.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1E40C0"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45EF1DA8" w:rsidR="005E5093" w:rsidRPr="007D1034" w:rsidRDefault="00E55F1A" w:rsidP="007A605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Acuerdo Plenario de reencauzamiento dictado por el Pleno de este Tribunal Electoral.</w:t>
            </w:r>
          </w:p>
        </w:tc>
        <w:tc>
          <w:tcPr>
            <w:tcW w:w="4414" w:type="dxa"/>
          </w:tcPr>
          <w:p w14:paraId="0F6F62FD" w14:textId="50673109" w:rsidR="005E5093" w:rsidRPr="00F92EEF" w:rsidRDefault="00E55F1A" w:rsidP="002F3148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Se reencauza el juicio para la protección de los derechos político- electorales del ciudadano, a recurso de apelación. </w:t>
            </w:r>
          </w:p>
        </w:tc>
      </w:tr>
    </w:tbl>
    <w:p w14:paraId="47EE2383" w14:textId="77777777" w:rsidR="004A121B" w:rsidRDefault="004A121B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7123454" w14:textId="035D865E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4A12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E25DA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diez</w:t>
      </w:r>
      <w:r w:rsidR="00DF175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E55F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enero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E55F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iuno.</w:t>
      </w:r>
    </w:p>
    <w:p w14:paraId="40E31ECD" w14:textId="24DD1AF1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</w:t>
      </w:r>
      <w:r w:rsidR="00E55F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109,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60B030FC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DF175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E55F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E55F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29A9B3E8" w14:textId="52622F92" w:rsidR="000F3A5D" w:rsidRPr="00007D1F" w:rsidRDefault="00007D1F" w:rsidP="004729C1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Turno.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Interior del Tribunal Electoral del Estado de Aguascalientes, túrnense los autos a la Ponencia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2F314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</w:t>
      </w:r>
      <w:r w:rsidR="00B94FF6"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76C1116" w14:textId="3204E08C" w:rsidR="001962AF" w:rsidRPr="00796B37" w:rsidRDefault="001962AF" w:rsidP="001962A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Claudia </w:t>
      </w:r>
      <w:r w:rsidR="003061FC"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Secretario General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3061FC">
        <w:rPr>
          <w:rFonts w:ascii="Arial" w:eastAsia="Times New Roman" w:hAnsi="Arial" w:cs="Arial"/>
          <w:bCs/>
          <w:sz w:val="24"/>
          <w:szCs w:val="24"/>
          <w:lang w:eastAsia="es-MX"/>
        </w:rPr>
        <w:t>Jesús Ociel Baena Saucedo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2DD36DA8" w14:textId="77777777" w:rsidR="00F30E7B" w:rsidRPr="00796B37" w:rsidRDefault="00F30E7B" w:rsidP="00F30E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3228054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DA1D62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4A091FF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F0DAD97" w14:textId="7B6E0513" w:rsidR="00F30E7B" w:rsidRPr="00896D3D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Claudia </w:t>
      </w:r>
      <w:r w:rsidR="003061FC"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Eloísa</w:t>
      </w: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González</w:t>
      </w: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008B594" w14:textId="3ED11A79" w:rsidR="004A121B" w:rsidRPr="00796B37" w:rsidRDefault="004A121B" w:rsidP="004A121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</w:t>
      </w:r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de Acuerdos</w:t>
      </w:r>
    </w:p>
    <w:p w14:paraId="292AB606" w14:textId="777777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95D40D" w14:textId="11DDD2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3061F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780CF475" w14:textId="77777777" w:rsidR="00F30E7B" w:rsidRPr="00796B37" w:rsidRDefault="00F30E7B" w:rsidP="00F30E7B">
      <w:pPr>
        <w:ind w:firstLine="284"/>
        <w:jc w:val="both"/>
        <w:rPr>
          <w:sz w:val="24"/>
          <w:szCs w:val="24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C7EAE" w14:textId="77777777" w:rsidR="00817019" w:rsidRDefault="00817019">
      <w:pPr>
        <w:spacing w:after="0" w:line="240" w:lineRule="auto"/>
      </w:pPr>
      <w:r>
        <w:separator/>
      </w:r>
    </w:p>
  </w:endnote>
  <w:endnote w:type="continuationSeparator" w:id="0">
    <w:p w14:paraId="4FE6D4B5" w14:textId="77777777" w:rsidR="00817019" w:rsidRDefault="0081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E25DA3">
    <w:pPr>
      <w:pStyle w:val="Piedepgina"/>
      <w:jc w:val="right"/>
    </w:pPr>
  </w:p>
  <w:p w14:paraId="05105C10" w14:textId="77777777" w:rsidR="00F71849" w:rsidRDefault="00E25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9D576" w14:textId="77777777" w:rsidR="00817019" w:rsidRDefault="00817019">
      <w:pPr>
        <w:spacing w:after="0" w:line="240" w:lineRule="auto"/>
      </w:pPr>
      <w:r>
        <w:separator/>
      </w:r>
    </w:p>
  </w:footnote>
  <w:footnote w:type="continuationSeparator" w:id="0">
    <w:p w14:paraId="450E0FB3" w14:textId="77777777" w:rsidR="00817019" w:rsidRDefault="0081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007D1F" w:rsidRPr="00007D1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007D1F" w:rsidRPr="00007D1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6CFB2D3E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E55F1A">
      <w:rPr>
        <w:rFonts w:ascii="Century Gothic" w:hAnsi="Century Gothic"/>
        <w:b/>
      </w:rPr>
      <w:t xml:space="preserve">cambio de vía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07D1F"/>
    <w:rsid w:val="00010219"/>
    <w:rsid w:val="0003592A"/>
    <w:rsid w:val="00065810"/>
    <w:rsid w:val="00070DC9"/>
    <w:rsid w:val="000817D9"/>
    <w:rsid w:val="00083145"/>
    <w:rsid w:val="00090F2E"/>
    <w:rsid w:val="00091705"/>
    <w:rsid w:val="0009692D"/>
    <w:rsid w:val="000A4C6C"/>
    <w:rsid w:val="000A64C2"/>
    <w:rsid w:val="000A787C"/>
    <w:rsid w:val="000E2D19"/>
    <w:rsid w:val="000F20BB"/>
    <w:rsid w:val="000F3A5D"/>
    <w:rsid w:val="00141D2E"/>
    <w:rsid w:val="00146964"/>
    <w:rsid w:val="00155C10"/>
    <w:rsid w:val="001632AF"/>
    <w:rsid w:val="001962AF"/>
    <w:rsid w:val="001A56D5"/>
    <w:rsid w:val="00231871"/>
    <w:rsid w:val="0028679B"/>
    <w:rsid w:val="00287805"/>
    <w:rsid w:val="002B2681"/>
    <w:rsid w:val="002C1E08"/>
    <w:rsid w:val="002D7870"/>
    <w:rsid w:val="002F2C19"/>
    <w:rsid w:val="002F3148"/>
    <w:rsid w:val="002F340F"/>
    <w:rsid w:val="002F5044"/>
    <w:rsid w:val="00301C90"/>
    <w:rsid w:val="003061FC"/>
    <w:rsid w:val="00325C6E"/>
    <w:rsid w:val="003350D8"/>
    <w:rsid w:val="0037153B"/>
    <w:rsid w:val="0037568D"/>
    <w:rsid w:val="003767E9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121B"/>
    <w:rsid w:val="004A291B"/>
    <w:rsid w:val="004D1BF0"/>
    <w:rsid w:val="004D2709"/>
    <w:rsid w:val="004F40C3"/>
    <w:rsid w:val="005749E4"/>
    <w:rsid w:val="005756D0"/>
    <w:rsid w:val="005775A6"/>
    <w:rsid w:val="005804B4"/>
    <w:rsid w:val="0058764C"/>
    <w:rsid w:val="005901EF"/>
    <w:rsid w:val="00594AC9"/>
    <w:rsid w:val="005C5936"/>
    <w:rsid w:val="005C5DC5"/>
    <w:rsid w:val="005E03E7"/>
    <w:rsid w:val="005E5093"/>
    <w:rsid w:val="00602AE3"/>
    <w:rsid w:val="00603086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5080"/>
    <w:rsid w:val="007969B5"/>
    <w:rsid w:val="007A6059"/>
    <w:rsid w:val="007D695A"/>
    <w:rsid w:val="007E71DD"/>
    <w:rsid w:val="007F5F5E"/>
    <w:rsid w:val="00817019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F6F17"/>
    <w:rsid w:val="00A0523C"/>
    <w:rsid w:val="00A148A3"/>
    <w:rsid w:val="00A90401"/>
    <w:rsid w:val="00A94AA8"/>
    <w:rsid w:val="00AA797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94FF6"/>
    <w:rsid w:val="00BA791C"/>
    <w:rsid w:val="00BC2D7A"/>
    <w:rsid w:val="00BC678C"/>
    <w:rsid w:val="00BD4738"/>
    <w:rsid w:val="00BE65DA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72F30"/>
    <w:rsid w:val="00D80F82"/>
    <w:rsid w:val="00D916B7"/>
    <w:rsid w:val="00DA2980"/>
    <w:rsid w:val="00DD3990"/>
    <w:rsid w:val="00DF175F"/>
    <w:rsid w:val="00E01424"/>
    <w:rsid w:val="00E25DA3"/>
    <w:rsid w:val="00E44495"/>
    <w:rsid w:val="00E510E4"/>
    <w:rsid w:val="00E51AFC"/>
    <w:rsid w:val="00E55F1A"/>
    <w:rsid w:val="00E82BB5"/>
    <w:rsid w:val="00E87C65"/>
    <w:rsid w:val="00E9474E"/>
    <w:rsid w:val="00E96762"/>
    <w:rsid w:val="00EA044B"/>
    <w:rsid w:val="00EB6FFF"/>
    <w:rsid w:val="00EC2195"/>
    <w:rsid w:val="00EF59E8"/>
    <w:rsid w:val="00F30E7B"/>
    <w:rsid w:val="00F37E67"/>
    <w:rsid w:val="00F63C79"/>
    <w:rsid w:val="00F658EC"/>
    <w:rsid w:val="00FA0149"/>
    <w:rsid w:val="00FA30F3"/>
    <w:rsid w:val="00FA5F85"/>
    <w:rsid w:val="00FB4D6F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D0E5-D212-4A3C-B5CC-548B4921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2020-12-11T19:33:00Z</cp:lastPrinted>
  <dcterms:created xsi:type="dcterms:W3CDTF">2020-12-11T19:37:00Z</dcterms:created>
  <dcterms:modified xsi:type="dcterms:W3CDTF">2021-01-11T19:30:00Z</dcterms:modified>
</cp:coreProperties>
</file>