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FBAEB" w14:textId="77777777" w:rsidR="005063D8" w:rsidRPr="00507FCB" w:rsidRDefault="005063D8" w:rsidP="005063D8">
      <w:pPr>
        <w:spacing w:after="0" w:line="240" w:lineRule="auto"/>
        <w:jc w:val="both"/>
        <w:rPr>
          <w:rFonts w:ascii="Arial" w:hAnsi="Arial" w:cs="Arial"/>
          <w:b/>
          <w:u w:val="single"/>
        </w:rPr>
      </w:pPr>
      <w:r>
        <w:rPr>
          <w:rFonts w:ascii="Arial" w:hAnsi="Arial" w:cs="Arial"/>
        </w:rPr>
        <w:t xml:space="preserve">          </w:t>
      </w:r>
      <w:bookmarkStart w:id="0" w:name="_Hlk498441345"/>
      <w:bookmarkStart w:id="1" w:name="_Hlk498632117"/>
      <w:r w:rsidRPr="00507FCB">
        <w:rPr>
          <w:rFonts w:ascii="Arial" w:hAnsi="Arial" w:cs="Arial"/>
          <w:b/>
          <w:u w:val="single"/>
        </w:rPr>
        <w:t>AUTO DE RADICACIÓN</w:t>
      </w:r>
      <w:r>
        <w:rPr>
          <w:rFonts w:ascii="Arial" w:hAnsi="Arial" w:cs="Arial"/>
          <w:b/>
          <w:u w:val="single"/>
        </w:rPr>
        <w:t>, ADMISIÓN Y CIERRE DE INSTRUCCIÓN</w:t>
      </w:r>
    </w:p>
    <w:p w14:paraId="014275BC" w14:textId="77777777" w:rsidR="005063D8" w:rsidRPr="00507FCB" w:rsidRDefault="005063D8" w:rsidP="005063D8">
      <w:pPr>
        <w:spacing w:after="0" w:line="240" w:lineRule="auto"/>
        <w:ind w:left="3828" w:hanging="2410"/>
        <w:jc w:val="both"/>
        <w:rPr>
          <w:rFonts w:ascii="Arial" w:hAnsi="Arial" w:cs="Arial"/>
          <w:b/>
          <w:u w:val="single"/>
        </w:rPr>
      </w:pPr>
    </w:p>
    <w:p w14:paraId="6DAB4ECA" w14:textId="77777777" w:rsidR="005063D8" w:rsidRPr="00507FCB" w:rsidRDefault="005063D8" w:rsidP="005063D8">
      <w:pPr>
        <w:spacing w:after="0" w:line="240" w:lineRule="auto"/>
        <w:ind w:left="3828"/>
        <w:jc w:val="both"/>
        <w:rPr>
          <w:rFonts w:ascii="Arial" w:hAnsi="Arial" w:cs="Arial"/>
          <w:b/>
        </w:rPr>
      </w:pPr>
    </w:p>
    <w:p w14:paraId="5FFA7CA4" w14:textId="77777777" w:rsidR="005063D8" w:rsidRPr="00507FCB" w:rsidRDefault="005063D8" w:rsidP="005063D8">
      <w:pPr>
        <w:spacing w:after="0" w:line="240" w:lineRule="auto"/>
        <w:ind w:left="3828"/>
        <w:jc w:val="both"/>
        <w:rPr>
          <w:rFonts w:ascii="Arial" w:hAnsi="Arial" w:cs="Arial"/>
          <w:b/>
        </w:rPr>
      </w:pPr>
      <w:r w:rsidRPr="00507FCB">
        <w:rPr>
          <w:rFonts w:ascii="Arial" w:hAnsi="Arial" w:cs="Arial"/>
          <w:b/>
        </w:rPr>
        <w:t>RECURSO DE APELACIÓN.</w:t>
      </w:r>
    </w:p>
    <w:p w14:paraId="278C7C1E" w14:textId="77777777" w:rsidR="005063D8" w:rsidRPr="00507FCB" w:rsidRDefault="005063D8" w:rsidP="005063D8">
      <w:pPr>
        <w:spacing w:after="0" w:line="240" w:lineRule="auto"/>
        <w:ind w:left="3828"/>
        <w:jc w:val="both"/>
        <w:rPr>
          <w:rFonts w:ascii="Arial" w:hAnsi="Arial" w:cs="Arial"/>
          <w:b/>
        </w:rPr>
      </w:pPr>
    </w:p>
    <w:p w14:paraId="53824AE3" w14:textId="558443DA" w:rsidR="005063D8" w:rsidRPr="00507FCB" w:rsidRDefault="005063D8" w:rsidP="005063D8">
      <w:pPr>
        <w:spacing w:after="0" w:line="240" w:lineRule="auto"/>
        <w:ind w:left="3828"/>
        <w:jc w:val="both"/>
        <w:rPr>
          <w:rFonts w:ascii="Arial" w:hAnsi="Arial" w:cs="Arial"/>
        </w:rPr>
      </w:pPr>
      <w:r w:rsidRPr="00507FCB">
        <w:rPr>
          <w:rFonts w:ascii="Arial" w:hAnsi="Arial" w:cs="Arial"/>
          <w:b/>
        </w:rPr>
        <w:t>EXPEDIENTE:</w:t>
      </w:r>
      <w:r w:rsidRPr="00507FCB">
        <w:rPr>
          <w:rFonts w:ascii="Arial" w:hAnsi="Arial" w:cs="Arial"/>
        </w:rPr>
        <w:t xml:space="preserve"> TEEA-RAP-0</w:t>
      </w:r>
      <w:r w:rsidR="00104720">
        <w:rPr>
          <w:rFonts w:ascii="Arial" w:hAnsi="Arial" w:cs="Arial"/>
        </w:rPr>
        <w:t>02</w:t>
      </w:r>
      <w:r w:rsidRPr="00507FCB">
        <w:rPr>
          <w:rFonts w:ascii="Arial" w:hAnsi="Arial" w:cs="Arial"/>
        </w:rPr>
        <w:t>/20</w:t>
      </w:r>
      <w:r w:rsidR="00104720">
        <w:rPr>
          <w:rFonts w:ascii="Arial" w:hAnsi="Arial" w:cs="Arial"/>
        </w:rPr>
        <w:t>21</w:t>
      </w:r>
    </w:p>
    <w:p w14:paraId="487FC4F3" w14:textId="77777777" w:rsidR="005063D8" w:rsidRPr="00507FCB" w:rsidRDefault="005063D8" w:rsidP="005063D8">
      <w:pPr>
        <w:spacing w:after="0" w:line="240" w:lineRule="auto"/>
        <w:ind w:left="3828"/>
        <w:jc w:val="both"/>
        <w:rPr>
          <w:rFonts w:ascii="Arial" w:hAnsi="Arial" w:cs="Arial"/>
          <w:b/>
        </w:rPr>
      </w:pPr>
    </w:p>
    <w:p w14:paraId="68B379FD" w14:textId="7F4C8314" w:rsidR="005063D8" w:rsidRPr="00507FCB" w:rsidRDefault="005063D8" w:rsidP="005063D8">
      <w:pPr>
        <w:spacing w:after="0" w:line="240" w:lineRule="auto"/>
        <w:ind w:left="3828"/>
        <w:jc w:val="both"/>
        <w:rPr>
          <w:rFonts w:ascii="Arial" w:hAnsi="Arial" w:cs="Arial"/>
        </w:rPr>
      </w:pPr>
      <w:r w:rsidRPr="00507FCB">
        <w:rPr>
          <w:rFonts w:ascii="Arial" w:hAnsi="Arial" w:cs="Arial"/>
          <w:b/>
        </w:rPr>
        <w:t>ACTOR:</w:t>
      </w:r>
      <w:r>
        <w:rPr>
          <w:rFonts w:ascii="Arial" w:hAnsi="Arial" w:cs="Arial"/>
        </w:rPr>
        <w:t xml:space="preserve"> </w:t>
      </w:r>
      <w:r w:rsidR="00104720">
        <w:rPr>
          <w:rFonts w:ascii="Arial" w:hAnsi="Arial" w:cs="Arial"/>
        </w:rPr>
        <w:tab/>
      </w:r>
      <w:r w:rsidR="006123E5">
        <w:rPr>
          <w:rFonts w:ascii="Arial" w:hAnsi="Arial" w:cs="Arial"/>
        </w:rPr>
        <w:t>ÁNGEL</w:t>
      </w:r>
      <w:r w:rsidR="00104720">
        <w:rPr>
          <w:rFonts w:ascii="Arial" w:hAnsi="Arial" w:cs="Arial"/>
        </w:rPr>
        <w:t xml:space="preserve"> MARTÍN ORTEGA GARIBAY, REPRESENTANTE PROPIETARIO DEL PARTIDO DEL TRABAJO</w:t>
      </w:r>
      <w:r w:rsidRPr="00507FCB">
        <w:rPr>
          <w:rFonts w:ascii="Arial" w:hAnsi="Arial" w:cs="Arial"/>
        </w:rPr>
        <w:t xml:space="preserve">. </w:t>
      </w:r>
    </w:p>
    <w:p w14:paraId="485BC556" w14:textId="77777777" w:rsidR="005063D8" w:rsidRPr="00507FCB" w:rsidRDefault="005063D8" w:rsidP="005063D8">
      <w:pPr>
        <w:spacing w:after="0" w:line="240" w:lineRule="auto"/>
        <w:ind w:left="3828"/>
        <w:jc w:val="both"/>
        <w:rPr>
          <w:rFonts w:ascii="Arial" w:hAnsi="Arial" w:cs="Arial"/>
          <w:b/>
        </w:rPr>
      </w:pPr>
    </w:p>
    <w:p w14:paraId="03AE59B3" w14:textId="5298D0C1" w:rsidR="005063D8" w:rsidRPr="00507FCB" w:rsidRDefault="005063D8" w:rsidP="005063D8">
      <w:pPr>
        <w:spacing w:after="0" w:line="240" w:lineRule="auto"/>
        <w:ind w:left="3828"/>
        <w:jc w:val="both"/>
        <w:rPr>
          <w:rFonts w:ascii="Arial" w:hAnsi="Arial" w:cs="Arial"/>
        </w:rPr>
      </w:pPr>
      <w:r w:rsidRPr="00507FCB">
        <w:rPr>
          <w:rFonts w:ascii="Arial" w:hAnsi="Arial" w:cs="Arial"/>
          <w:b/>
        </w:rPr>
        <w:t>RESPONSABLE:</w:t>
      </w:r>
      <w:bookmarkStart w:id="2" w:name="_Hlk3393584"/>
      <w:r w:rsidRPr="00507FCB">
        <w:rPr>
          <w:rFonts w:ascii="Arial" w:hAnsi="Arial" w:cs="Arial"/>
        </w:rPr>
        <w:t xml:space="preserve"> CONSE</w:t>
      </w:r>
      <w:r>
        <w:rPr>
          <w:rFonts w:ascii="Arial" w:hAnsi="Arial" w:cs="Arial"/>
        </w:rPr>
        <w:t xml:space="preserve">JO </w:t>
      </w:r>
      <w:r w:rsidR="00104720">
        <w:rPr>
          <w:rFonts w:ascii="Arial" w:hAnsi="Arial" w:cs="Arial"/>
        </w:rPr>
        <w:t>GENERAL DEL INSTITUTO ESTATAL ELECTORAL DE AGUASCALIENTES</w:t>
      </w:r>
      <w:r w:rsidRPr="00507FCB">
        <w:rPr>
          <w:rFonts w:ascii="Arial" w:hAnsi="Arial" w:cs="Arial"/>
        </w:rPr>
        <w:t>.</w:t>
      </w:r>
      <w:bookmarkEnd w:id="2"/>
    </w:p>
    <w:p w14:paraId="52B3D941" w14:textId="77777777" w:rsidR="005063D8" w:rsidRPr="00507FCB" w:rsidRDefault="005063D8" w:rsidP="005063D8">
      <w:pPr>
        <w:spacing w:after="0" w:line="360" w:lineRule="auto"/>
        <w:rPr>
          <w:rFonts w:ascii="Arial" w:hAnsi="Arial" w:cs="Arial"/>
        </w:rPr>
      </w:pPr>
    </w:p>
    <w:p w14:paraId="58A2796A" w14:textId="6880619C" w:rsidR="005063D8" w:rsidRDefault="005063D8" w:rsidP="005063D8">
      <w:pPr>
        <w:spacing w:after="0" w:line="360" w:lineRule="auto"/>
        <w:ind w:firstLine="708"/>
        <w:jc w:val="both"/>
        <w:rPr>
          <w:rFonts w:ascii="Arial" w:hAnsi="Arial" w:cs="Arial"/>
        </w:rPr>
      </w:pPr>
      <w:r w:rsidRPr="00507FCB">
        <w:rPr>
          <w:rFonts w:ascii="Arial" w:hAnsi="Arial" w:cs="Arial"/>
        </w:rPr>
        <w:t xml:space="preserve">Aguascalientes, Aguascalientes, a </w:t>
      </w:r>
      <w:r w:rsidR="00144DE0">
        <w:rPr>
          <w:rFonts w:ascii="Arial" w:hAnsi="Arial" w:cs="Arial"/>
        </w:rPr>
        <w:t>veintiséis de enero del dos mil veintiuno.</w:t>
      </w:r>
    </w:p>
    <w:p w14:paraId="6C18B970" w14:textId="77777777" w:rsidR="005063D8" w:rsidRPr="00507FCB" w:rsidRDefault="005063D8" w:rsidP="005063D8">
      <w:pPr>
        <w:spacing w:after="0" w:line="360" w:lineRule="auto"/>
        <w:ind w:firstLine="708"/>
        <w:jc w:val="both"/>
        <w:rPr>
          <w:rFonts w:ascii="Arial" w:hAnsi="Arial" w:cs="Arial"/>
        </w:rPr>
      </w:pPr>
      <w:r w:rsidRPr="00507FCB">
        <w:rPr>
          <w:rFonts w:ascii="Arial" w:hAnsi="Arial" w:cs="Arial"/>
        </w:rPr>
        <w:t xml:space="preserve"> </w:t>
      </w:r>
    </w:p>
    <w:p w14:paraId="0B8EE70A" w14:textId="3F960F1A" w:rsidR="005063D8" w:rsidRDefault="005063D8" w:rsidP="005063D8">
      <w:pPr>
        <w:spacing w:after="0" w:line="360" w:lineRule="auto"/>
        <w:ind w:firstLine="708"/>
        <w:jc w:val="both"/>
        <w:rPr>
          <w:rFonts w:ascii="Arial" w:hAnsi="Arial" w:cs="Arial"/>
        </w:rPr>
      </w:pPr>
      <w:r>
        <w:rPr>
          <w:rFonts w:ascii="Arial" w:hAnsi="Arial" w:cs="Arial"/>
        </w:rPr>
        <w:t xml:space="preserve">El </w:t>
      </w:r>
      <w:r w:rsidR="00104720">
        <w:rPr>
          <w:rFonts w:ascii="Arial" w:hAnsi="Arial" w:cs="Arial"/>
        </w:rPr>
        <w:t>Secretario de Estudio</w:t>
      </w:r>
      <w:r w:rsidRPr="00507FCB">
        <w:rPr>
          <w:rFonts w:ascii="Arial" w:hAnsi="Arial" w:cs="Arial"/>
        </w:rPr>
        <w:t>, da cuenta a</w:t>
      </w:r>
      <w:r>
        <w:rPr>
          <w:rFonts w:ascii="Arial" w:hAnsi="Arial" w:cs="Arial"/>
        </w:rPr>
        <w:t xml:space="preserve"> la</w:t>
      </w:r>
      <w:r w:rsidRPr="00507FCB">
        <w:rPr>
          <w:rFonts w:ascii="Arial" w:hAnsi="Arial" w:cs="Arial"/>
        </w:rPr>
        <w:t xml:space="preserve"> Magistrad</w:t>
      </w:r>
      <w:r>
        <w:rPr>
          <w:rFonts w:ascii="Arial" w:hAnsi="Arial" w:cs="Arial"/>
        </w:rPr>
        <w:t>a</w:t>
      </w:r>
      <w:r w:rsidRPr="00507FCB">
        <w:rPr>
          <w:rFonts w:ascii="Arial" w:hAnsi="Arial" w:cs="Arial"/>
        </w:rPr>
        <w:t xml:space="preserve"> </w:t>
      </w:r>
      <w:r>
        <w:rPr>
          <w:rFonts w:ascii="Arial" w:hAnsi="Arial" w:cs="Arial"/>
        </w:rPr>
        <w:t xml:space="preserve">Claudia Eloisa Díaz de León González </w:t>
      </w:r>
      <w:r w:rsidRPr="00507FCB">
        <w:rPr>
          <w:rFonts w:ascii="Arial" w:hAnsi="Arial" w:cs="Arial"/>
        </w:rPr>
        <w:t>con el acuerdo de turno</w:t>
      </w:r>
      <w:r w:rsidR="00104720">
        <w:rPr>
          <w:rFonts w:ascii="Arial" w:hAnsi="Arial" w:cs="Arial"/>
        </w:rPr>
        <w:t xml:space="preserve"> del</w:t>
      </w:r>
      <w:r w:rsidRPr="00507FCB">
        <w:rPr>
          <w:rFonts w:ascii="Arial" w:hAnsi="Arial" w:cs="Arial"/>
        </w:rPr>
        <w:t xml:space="preserve"> </w:t>
      </w:r>
      <w:r w:rsidR="00104720">
        <w:rPr>
          <w:rFonts w:ascii="Arial" w:hAnsi="Arial" w:cs="Arial"/>
        </w:rPr>
        <w:t xml:space="preserve">veintiuno de enero </w:t>
      </w:r>
      <w:r w:rsidRPr="00507FCB">
        <w:rPr>
          <w:rFonts w:ascii="Arial" w:hAnsi="Arial" w:cs="Arial"/>
        </w:rPr>
        <w:t xml:space="preserve">del año en curso, dictado por </w:t>
      </w:r>
      <w:r w:rsidR="00104720">
        <w:rPr>
          <w:rFonts w:ascii="Arial" w:hAnsi="Arial" w:cs="Arial"/>
        </w:rPr>
        <w:t>la</w:t>
      </w:r>
      <w:r w:rsidRPr="00507FCB">
        <w:rPr>
          <w:rFonts w:ascii="Arial" w:hAnsi="Arial" w:cs="Arial"/>
        </w:rPr>
        <w:t xml:space="preserve"> Magistrad</w:t>
      </w:r>
      <w:r w:rsidR="00104720">
        <w:rPr>
          <w:rFonts w:ascii="Arial" w:hAnsi="Arial" w:cs="Arial"/>
        </w:rPr>
        <w:t>a</w:t>
      </w:r>
      <w:r w:rsidRPr="00507FCB">
        <w:rPr>
          <w:rFonts w:ascii="Arial" w:hAnsi="Arial" w:cs="Arial"/>
        </w:rPr>
        <w:t xml:space="preserve"> President</w:t>
      </w:r>
      <w:r w:rsidR="00104720">
        <w:rPr>
          <w:rFonts w:ascii="Arial" w:hAnsi="Arial" w:cs="Arial"/>
        </w:rPr>
        <w:t>a</w:t>
      </w:r>
      <w:r w:rsidRPr="00507FCB">
        <w:rPr>
          <w:rFonts w:ascii="Arial" w:hAnsi="Arial" w:cs="Arial"/>
        </w:rPr>
        <w:t xml:space="preserve"> de este Tribunal, por el cual remite el presente expediente.</w:t>
      </w:r>
    </w:p>
    <w:p w14:paraId="04422D19" w14:textId="77777777" w:rsidR="005063D8" w:rsidRPr="00507FCB" w:rsidRDefault="005063D8" w:rsidP="005063D8">
      <w:pPr>
        <w:spacing w:after="0" w:line="360" w:lineRule="auto"/>
        <w:ind w:firstLine="708"/>
        <w:jc w:val="both"/>
        <w:rPr>
          <w:rFonts w:ascii="Arial" w:hAnsi="Arial" w:cs="Arial"/>
        </w:rPr>
      </w:pPr>
    </w:p>
    <w:p w14:paraId="79C8CFFA" w14:textId="77777777" w:rsidR="005063D8" w:rsidRPr="00507FCB" w:rsidRDefault="005063D8" w:rsidP="005063D8">
      <w:pPr>
        <w:pStyle w:val="NormalWeb"/>
        <w:spacing w:before="0" w:beforeAutospacing="0" w:after="0" w:afterAutospacing="0" w:line="360" w:lineRule="auto"/>
        <w:ind w:firstLine="708"/>
        <w:contextualSpacing/>
        <w:mirrorIndents/>
        <w:jc w:val="both"/>
        <w:rPr>
          <w:rFonts w:ascii="Arial" w:hAnsi="Arial" w:cs="Arial"/>
          <w:b/>
          <w:sz w:val="22"/>
          <w:szCs w:val="22"/>
        </w:rPr>
      </w:pPr>
      <w:r w:rsidRPr="00507FCB">
        <w:rPr>
          <w:rFonts w:ascii="Arial" w:hAnsi="Arial" w:cs="Arial"/>
          <w:sz w:val="22"/>
          <w:szCs w:val="22"/>
        </w:rPr>
        <w:t xml:space="preserve">Con fundamento en lo dispuesto por los artículos 297, 298, 302, 306 307 fracción II, 311, 312, 313, fracción III y IV, 335, 354 y 360 del Código Electoral del Estado de Aguascalientes, así como los dispositivos 20, 32, fracciones VI y XVIII, 105 fracción II, inciso a) y d), 106, 115 y 116 del Reglamento Interior del Tribunal Electoral del Estado de Aguascalientes, </w:t>
      </w:r>
      <w:r w:rsidRPr="00507FCB">
        <w:rPr>
          <w:rFonts w:ascii="Arial" w:hAnsi="Arial" w:cs="Arial"/>
          <w:b/>
          <w:sz w:val="22"/>
          <w:szCs w:val="22"/>
        </w:rPr>
        <w:t xml:space="preserve">SE ACUERDA: </w:t>
      </w:r>
    </w:p>
    <w:p w14:paraId="27DF96FE" w14:textId="77777777" w:rsidR="005063D8" w:rsidRPr="00507FCB" w:rsidRDefault="005063D8" w:rsidP="005063D8">
      <w:pPr>
        <w:pStyle w:val="NormalWeb"/>
        <w:spacing w:before="0" w:beforeAutospacing="0" w:after="0" w:afterAutospacing="0" w:line="360" w:lineRule="auto"/>
        <w:ind w:firstLine="708"/>
        <w:contextualSpacing/>
        <w:mirrorIndents/>
        <w:jc w:val="both"/>
        <w:rPr>
          <w:rFonts w:ascii="Arial" w:hAnsi="Arial" w:cs="Arial"/>
          <w:sz w:val="22"/>
          <w:szCs w:val="22"/>
        </w:rPr>
      </w:pPr>
    </w:p>
    <w:p w14:paraId="47B05AC6" w14:textId="4612308C" w:rsidR="005063D8" w:rsidRDefault="005063D8" w:rsidP="005063D8">
      <w:pPr>
        <w:spacing w:after="0" w:line="360" w:lineRule="auto"/>
        <w:ind w:firstLine="708"/>
        <w:jc w:val="both"/>
        <w:rPr>
          <w:rFonts w:ascii="Arial" w:hAnsi="Arial" w:cs="Arial"/>
          <w:b/>
        </w:rPr>
      </w:pPr>
      <w:r w:rsidRPr="00507FCB">
        <w:rPr>
          <w:rFonts w:ascii="Arial" w:hAnsi="Arial" w:cs="Arial"/>
          <w:b/>
        </w:rPr>
        <w:t xml:space="preserve">I. Recepción. </w:t>
      </w:r>
      <w:r w:rsidRPr="00507FCB">
        <w:rPr>
          <w:rFonts w:ascii="Arial" w:hAnsi="Arial" w:cs="Arial"/>
        </w:rPr>
        <w:t>Se tiene por recibido el acuerdo de</w:t>
      </w:r>
      <w:r w:rsidR="00151552">
        <w:rPr>
          <w:rFonts w:ascii="Arial" w:hAnsi="Arial" w:cs="Arial"/>
        </w:rPr>
        <w:t xml:space="preserve"> </w:t>
      </w:r>
      <w:r w:rsidRPr="00507FCB">
        <w:rPr>
          <w:rFonts w:ascii="Arial" w:hAnsi="Arial" w:cs="Arial"/>
        </w:rPr>
        <w:t>l</w:t>
      </w:r>
      <w:r w:rsidR="00151552">
        <w:rPr>
          <w:rFonts w:ascii="Arial" w:hAnsi="Arial" w:cs="Arial"/>
        </w:rPr>
        <w:t>a</w:t>
      </w:r>
      <w:r w:rsidRPr="00507FCB">
        <w:rPr>
          <w:rFonts w:ascii="Arial" w:hAnsi="Arial" w:cs="Arial"/>
        </w:rPr>
        <w:t xml:space="preserve"> Magistrad</w:t>
      </w:r>
      <w:r w:rsidR="00151552">
        <w:rPr>
          <w:rFonts w:ascii="Arial" w:hAnsi="Arial" w:cs="Arial"/>
        </w:rPr>
        <w:t>a</w:t>
      </w:r>
      <w:r w:rsidRPr="00507FCB">
        <w:rPr>
          <w:rFonts w:ascii="Arial" w:hAnsi="Arial" w:cs="Arial"/>
        </w:rPr>
        <w:t xml:space="preserve"> President</w:t>
      </w:r>
      <w:r w:rsidR="00151552">
        <w:rPr>
          <w:rFonts w:ascii="Arial" w:hAnsi="Arial" w:cs="Arial"/>
        </w:rPr>
        <w:t>a</w:t>
      </w:r>
      <w:r w:rsidRPr="00507FCB">
        <w:rPr>
          <w:rFonts w:ascii="Arial" w:hAnsi="Arial" w:cs="Arial"/>
        </w:rPr>
        <w:t xml:space="preserve"> del Tribunal Electoral del Estado de Aguascalientes, por el que turna a esta ponencia el </w:t>
      </w:r>
      <w:r w:rsidRPr="00507FCB">
        <w:rPr>
          <w:rFonts w:ascii="Arial" w:hAnsi="Arial" w:cs="Arial"/>
          <w:b/>
        </w:rPr>
        <w:t xml:space="preserve">Recurso de Apelación </w:t>
      </w:r>
      <w:r w:rsidRPr="00507FCB">
        <w:rPr>
          <w:rFonts w:ascii="Arial" w:hAnsi="Arial" w:cs="Arial"/>
        </w:rPr>
        <w:t>al</w:t>
      </w:r>
      <w:r w:rsidRPr="00507FCB">
        <w:rPr>
          <w:rFonts w:ascii="Arial" w:hAnsi="Arial" w:cs="Arial"/>
          <w:b/>
        </w:rPr>
        <w:t xml:space="preserve"> </w:t>
      </w:r>
      <w:r w:rsidRPr="00507FCB">
        <w:rPr>
          <w:rFonts w:ascii="Arial" w:hAnsi="Arial" w:cs="Arial"/>
        </w:rPr>
        <w:t xml:space="preserve">que ha sido asignado el número de expediente </w:t>
      </w:r>
      <w:r w:rsidRPr="00507FCB">
        <w:rPr>
          <w:rFonts w:ascii="Arial" w:hAnsi="Arial" w:cs="Arial"/>
          <w:b/>
        </w:rPr>
        <w:t>TEEA-RAP-0</w:t>
      </w:r>
      <w:r w:rsidR="00104720">
        <w:rPr>
          <w:rFonts w:ascii="Arial" w:hAnsi="Arial" w:cs="Arial"/>
          <w:b/>
        </w:rPr>
        <w:t>02</w:t>
      </w:r>
      <w:r w:rsidRPr="00507FCB">
        <w:rPr>
          <w:rFonts w:ascii="Arial" w:hAnsi="Arial" w:cs="Arial"/>
          <w:b/>
        </w:rPr>
        <w:t>/20</w:t>
      </w:r>
      <w:r w:rsidR="00104720">
        <w:rPr>
          <w:rFonts w:ascii="Arial" w:hAnsi="Arial" w:cs="Arial"/>
          <w:b/>
        </w:rPr>
        <w:t>21</w:t>
      </w:r>
      <w:r w:rsidRPr="00507FCB">
        <w:rPr>
          <w:rFonts w:ascii="Arial" w:hAnsi="Arial" w:cs="Arial"/>
          <w:b/>
        </w:rPr>
        <w:t>.</w:t>
      </w:r>
    </w:p>
    <w:p w14:paraId="5397493A" w14:textId="77777777" w:rsidR="005063D8" w:rsidRPr="00507FCB" w:rsidRDefault="005063D8" w:rsidP="005063D8">
      <w:pPr>
        <w:spacing w:after="0" w:line="360" w:lineRule="auto"/>
        <w:ind w:firstLine="708"/>
        <w:jc w:val="both"/>
        <w:rPr>
          <w:rFonts w:ascii="Arial" w:hAnsi="Arial" w:cs="Arial"/>
          <w:b/>
        </w:rPr>
      </w:pPr>
    </w:p>
    <w:p w14:paraId="6DE1141A" w14:textId="60A6120B" w:rsidR="005063D8" w:rsidRDefault="005063D8" w:rsidP="005063D8">
      <w:pPr>
        <w:spacing w:after="0" w:line="360" w:lineRule="auto"/>
        <w:ind w:firstLine="708"/>
        <w:jc w:val="both"/>
        <w:rPr>
          <w:rFonts w:ascii="Arial" w:hAnsi="Arial" w:cs="Arial"/>
        </w:rPr>
      </w:pPr>
      <w:r w:rsidRPr="00507FCB">
        <w:rPr>
          <w:rFonts w:ascii="Arial" w:hAnsi="Arial" w:cs="Arial"/>
          <w:b/>
        </w:rPr>
        <w:t>II. Radicación.</w:t>
      </w:r>
      <w:r w:rsidRPr="00507FCB">
        <w:rPr>
          <w:rFonts w:ascii="Arial" w:hAnsi="Arial" w:cs="Arial"/>
        </w:rPr>
        <w:t xml:space="preserve"> Se </w:t>
      </w:r>
      <w:r w:rsidRPr="00507FCB">
        <w:rPr>
          <w:rFonts w:ascii="Arial" w:hAnsi="Arial" w:cs="Arial"/>
          <w:b/>
        </w:rPr>
        <w:t>radica</w:t>
      </w:r>
      <w:r w:rsidRPr="00507FCB">
        <w:rPr>
          <w:rFonts w:ascii="Arial" w:hAnsi="Arial" w:cs="Arial"/>
        </w:rPr>
        <w:t xml:space="preserve"> el presente recurso en la ponencia a cargo de</w:t>
      </w:r>
      <w:r w:rsidR="00151552">
        <w:rPr>
          <w:rFonts w:ascii="Arial" w:hAnsi="Arial" w:cs="Arial"/>
        </w:rPr>
        <w:t xml:space="preserve"> </w:t>
      </w:r>
      <w:r w:rsidRPr="00507FCB">
        <w:rPr>
          <w:rFonts w:ascii="Arial" w:hAnsi="Arial" w:cs="Arial"/>
        </w:rPr>
        <w:t>l</w:t>
      </w:r>
      <w:r w:rsidR="00151552">
        <w:rPr>
          <w:rFonts w:ascii="Arial" w:hAnsi="Arial" w:cs="Arial"/>
        </w:rPr>
        <w:t>a</w:t>
      </w:r>
      <w:r w:rsidRPr="00507FCB">
        <w:rPr>
          <w:rFonts w:ascii="Arial" w:hAnsi="Arial" w:cs="Arial"/>
        </w:rPr>
        <w:t xml:space="preserve"> suscrit</w:t>
      </w:r>
      <w:r w:rsidR="00151552">
        <w:rPr>
          <w:rFonts w:ascii="Arial" w:hAnsi="Arial" w:cs="Arial"/>
        </w:rPr>
        <w:t>a</w:t>
      </w:r>
      <w:r w:rsidRPr="00507FCB">
        <w:rPr>
          <w:rFonts w:ascii="Arial" w:hAnsi="Arial" w:cs="Arial"/>
        </w:rPr>
        <w:t xml:space="preserve"> Magistrad</w:t>
      </w:r>
      <w:r w:rsidR="00151552">
        <w:rPr>
          <w:rFonts w:ascii="Arial" w:hAnsi="Arial" w:cs="Arial"/>
        </w:rPr>
        <w:t>a</w:t>
      </w:r>
      <w:r w:rsidRPr="00507FCB">
        <w:rPr>
          <w:rFonts w:ascii="Arial" w:hAnsi="Arial" w:cs="Arial"/>
        </w:rPr>
        <w:t xml:space="preserve"> Electoral. </w:t>
      </w:r>
    </w:p>
    <w:p w14:paraId="6ECD2812" w14:textId="77777777" w:rsidR="005063D8" w:rsidRPr="00507FCB" w:rsidRDefault="005063D8" w:rsidP="005063D8">
      <w:pPr>
        <w:spacing w:after="0" w:line="360" w:lineRule="auto"/>
        <w:ind w:firstLine="708"/>
        <w:jc w:val="both"/>
        <w:rPr>
          <w:rFonts w:ascii="Arial" w:hAnsi="Arial" w:cs="Arial"/>
        </w:rPr>
      </w:pPr>
    </w:p>
    <w:p w14:paraId="4F8739D7" w14:textId="77777777" w:rsidR="005063D8" w:rsidRDefault="005063D8" w:rsidP="005063D8">
      <w:pPr>
        <w:pStyle w:val="Prrafodelista"/>
        <w:spacing w:after="0" w:line="360" w:lineRule="auto"/>
        <w:ind w:left="0" w:firstLine="708"/>
        <w:jc w:val="both"/>
        <w:rPr>
          <w:rFonts w:ascii="Arial" w:hAnsi="Arial" w:cs="Arial"/>
        </w:rPr>
      </w:pPr>
      <w:r w:rsidRPr="00507FCB">
        <w:rPr>
          <w:rFonts w:ascii="Arial" w:hAnsi="Arial" w:cs="Arial"/>
          <w:b/>
        </w:rPr>
        <w:t xml:space="preserve">III. </w:t>
      </w:r>
      <w:bookmarkStart w:id="3" w:name="_Hlk519769517"/>
      <w:r w:rsidRPr="00507FCB">
        <w:rPr>
          <w:rFonts w:ascii="Arial" w:hAnsi="Arial" w:cs="Arial"/>
          <w:b/>
        </w:rPr>
        <w:t>Domicilio.</w:t>
      </w:r>
      <w:r w:rsidRPr="00507FCB">
        <w:rPr>
          <w:rFonts w:ascii="Arial" w:hAnsi="Arial" w:cs="Arial"/>
        </w:rPr>
        <w:t xml:space="preserve"> Téngase a</w:t>
      </w:r>
      <w:r>
        <w:rPr>
          <w:rFonts w:ascii="Arial" w:hAnsi="Arial" w:cs="Arial"/>
        </w:rPr>
        <w:t>l</w:t>
      </w:r>
      <w:r w:rsidRPr="00507FCB">
        <w:rPr>
          <w:rFonts w:ascii="Arial" w:hAnsi="Arial" w:cs="Arial"/>
        </w:rPr>
        <w:t xml:space="preserve"> promovente señalando como domicilio para recibir notificaciones, el que indica en su escrito de demanda y por autorizados para oírlas y recibirlas a quienes precisa en su demanda.</w:t>
      </w:r>
      <w:bookmarkEnd w:id="3"/>
    </w:p>
    <w:p w14:paraId="11C2DE53" w14:textId="77777777" w:rsidR="005063D8" w:rsidRPr="00507FCB" w:rsidRDefault="005063D8" w:rsidP="005063D8">
      <w:pPr>
        <w:pStyle w:val="Prrafodelista"/>
        <w:spacing w:after="0" w:line="360" w:lineRule="auto"/>
        <w:ind w:left="0" w:firstLine="708"/>
        <w:jc w:val="both"/>
        <w:rPr>
          <w:rFonts w:ascii="Arial" w:hAnsi="Arial" w:cs="Arial"/>
        </w:rPr>
      </w:pPr>
    </w:p>
    <w:p w14:paraId="7BD7DB3C" w14:textId="77777777" w:rsidR="005063D8" w:rsidRDefault="005063D8" w:rsidP="005063D8">
      <w:pPr>
        <w:spacing w:after="0" w:line="360" w:lineRule="auto"/>
        <w:ind w:right="49" w:firstLine="708"/>
        <w:jc w:val="both"/>
        <w:rPr>
          <w:rFonts w:ascii="Arial" w:hAnsi="Arial" w:cs="Arial"/>
        </w:rPr>
      </w:pPr>
      <w:r w:rsidRPr="00507FCB">
        <w:rPr>
          <w:rFonts w:ascii="Arial" w:hAnsi="Arial" w:cs="Arial"/>
          <w:b/>
        </w:rPr>
        <w:t xml:space="preserve">IV. Se recibe informe circunstanciado. </w:t>
      </w:r>
      <w:r w:rsidRPr="00507FCB">
        <w:rPr>
          <w:rFonts w:ascii="Arial" w:hAnsi="Arial" w:cs="Arial"/>
        </w:rPr>
        <w:t>Agréguese a los autos para que obre como corresponda, el informe circunstanciado que rinden la autoridad responsable, así como sus respectivos anexos.</w:t>
      </w:r>
    </w:p>
    <w:p w14:paraId="230278C5" w14:textId="77777777" w:rsidR="005063D8" w:rsidRPr="00507FCB" w:rsidRDefault="005063D8" w:rsidP="005063D8">
      <w:pPr>
        <w:spacing w:after="0" w:line="360" w:lineRule="auto"/>
        <w:ind w:right="49" w:firstLine="708"/>
        <w:jc w:val="both"/>
        <w:rPr>
          <w:rFonts w:ascii="Arial" w:hAnsi="Arial" w:cs="Arial"/>
        </w:rPr>
      </w:pPr>
    </w:p>
    <w:p w14:paraId="30DFEDAA" w14:textId="77777777" w:rsidR="005063D8" w:rsidRPr="00507FCB" w:rsidRDefault="005063D8" w:rsidP="005063D8">
      <w:pPr>
        <w:spacing w:after="0" w:line="360" w:lineRule="auto"/>
        <w:ind w:firstLine="708"/>
        <w:jc w:val="both"/>
        <w:rPr>
          <w:rFonts w:ascii="Arial" w:hAnsi="Arial" w:cs="Arial"/>
          <w:color w:val="000000"/>
        </w:rPr>
      </w:pPr>
      <w:r w:rsidRPr="00507FCB">
        <w:rPr>
          <w:rFonts w:ascii="Arial" w:hAnsi="Arial" w:cs="Arial"/>
          <w:b/>
        </w:rPr>
        <w:lastRenderedPageBreak/>
        <w:t>V. Admisión.</w:t>
      </w:r>
      <w:r w:rsidRPr="00507FCB">
        <w:rPr>
          <w:rFonts w:ascii="Arial" w:hAnsi="Arial" w:cs="Arial"/>
        </w:rPr>
        <w:t xml:space="preserve"> Visto el estado que guardan los autos, dado que reúne los requisitos generales y especiales previstos en los artículos 297, 302, 306, 307, fracción I y 335 del Código Electoral del Estado de Aguascalientes</w:t>
      </w:r>
      <w:r w:rsidRPr="00507FCB">
        <w:rPr>
          <w:rFonts w:ascii="Arial" w:hAnsi="Arial" w:cs="Arial"/>
          <w:color w:val="000000"/>
        </w:rPr>
        <w:t>, s</w:t>
      </w:r>
      <w:r w:rsidRPr="00507FCB">
        <w:rPr>
          <w:rFonts w:ascii="Arial" w:hAnsi="Arial" w:cs="Arial"/>
        </w:rPr>
        <w:t xml:space="preserve">e </w:t>
      </w:r>
      <w:r w:rsidRPr="00507FCB">
        <w:rPr>
          <w:rFonts w:ascii="Arial" w:hAnsi="Arial" w:cs="Arial"/>
          <w:b/>
        </w:rPr>
        <w:t xml:space="preserve">admite </w:t>
      </w:r>
      <w:r w:rsidRPr="00507FCB">
        <w:rPr>
          <w:rFonts w:ascii="Arial" w:hAnsi="Arial" w:cs="Arial"/>
        </w:rPr>
        <w:t>el presente medio de impugnación.</w:t>
      </w:r>
    </w:p>
    <w:p w14:paraId="19AD7345" w14:textId="77777777" w:rsidR="005063D8" w:rsidRPr="00507FCB" w:rsidRDefault="005063D8" w:rsidP="005063D8">
      <w:pPr>
        <w:pStyle w:val="Prrafodelista"/>
        <w:spacing w:after="0" w:line="360" w:lineRule="auto"/>
        <w:ind w:left="0" w:firstLine="708"/>
        <w:jc w:val="both"/>
        <w:rPr>
          <w:rFonts w:ascii="Arial" w:hAnsi="Arial" w:cs="Arial"/>
        </w:rPr>
      </w:pPr>
    </w:p>
    <w:p w14:paraId="2E2BCFBF" w14:textId="77777777" w:rsidR="005063D8" w:rsidRPr="00507FCB" w:rsidRDefault="005063D8" w:rsidP="005063D8">
      <w:pPr>
        <w:pStyle w:val="Prrafodelista"/>
        <w:spacing w:after="0" w:line="360" w:lineRule="auto"/>
        <w:ind w:left="0" w:firstLine="708"/>
        <w:jc w:val="both"/>
        <w:rPr>
          <w:rFonts w:ascii="Arial" w:hAnsi="Arial" w:cs="Arial"/>
        </w:rPr>
      </w:pPr>
      <w:r w:rsidRPr="00507FCB">
        <w:rPr>
          <w:rFonts w:ascii="Arial" w:hAnsi="Arial" w:cs="Arial"/>
        </w:rPr>
        <w:t>Además, de las constancias que integran el expediente en que se actúa, no se advierte la actualización de alguna causal de improcedencia de manera manifiesta, con independencia de lo que este Tribunal determine al pronunciar la resolución correspondiente.</w:t>
      </w:r>
    </w:p>
    <w:p w14:paraId="61CD9645" w14:textId="77777777" w:rsidR="005063D8" w:rsidRPr="00507FCB" w:rsidRDefault="005063D8" w:rsidP="005063D8">
      <w:pPr>
        <w:pStyle w:val="Prrafodelista"/>
        <w:spacing w:after="0" w:line="360" w:lineRule="auto"/>
        <w:ind w:left="0" w:firstLine="708"/>
        <w:jc w:val="both"/>
        <w:rPr>
          <w:rFonts w:ascii="Arial" w:hAnsi="Arial" w:cs="Arial"/>
        </w:rPr>
      </w:pPr>
    </w:p>
    <w:p w14:paraId="270AC4A3" w14:textId="306C26BE" w:rsidR="005063D8" w:rsidRPr="00B929EE" w:rsidRDefault="005063D8" w:rsidP="005063D8">
      <w:pPr>
        <w:pStyle w:val="Prrafodelista"/>
        <w:spacing w:after="0" w:line="360" w:lineRule="auto"/>
        <w:ind w:left="0" w:right="49" w:firstLine="708"/>
        <w:jc w:val="both"/>
        <w:rPr>
          <w:rFonts w:ascii="Arial" w:hAnsi="Arial" w:cs="Arial"/>
        </w:rPr>
      </w:pPr>
      <w:r w:rsidRPr="00507FCB">
        <w:rPr>
          <w:rFonts w:ascii="Arial" w:hAnsi="Arial" w:cs="Arial"/>
          <w:b/>
        </w:rPr>
        <w:t>VI. Pruebas</w:t>
      </w:r>
      <w:r w:rsidRPr="00B929EE">
        <w:rPr>
          <w:rFonts w:ascii="Arial" w:hAnsi="Arial" w:cs="Arial"/>
          <w:b/>
        </w:rPr>
        <w:t xml:space="preserve">. </w:t>
      </w:r>
      <w:r w:rsidRPr="00B929EE">
        <w:rPr>
          <w:rFonts w:ascii="Arial" w:hAnsi="Arial" w:cs="Arial"/>
        </w:rPr>
        <w:t xml:space="preserve">Se admiten las pruebas ofrecidas por </w:t>
      </w:r>
      <w:r>
        <w:rPr>
          <w:rFonts w:ascii="Arial" w:hAnsi="Arial" w:cs="Arial"/>
        </w:rPr>
        <w:t>el</w:t>
      </w:r>
      <w:r w:rsidRPr="00B929EE">
        <w:rPr>
          <w:rFonts w:ascii="Arial" w:hAnsi="Arial" w:cs="Arial"/>
        </w:rPr>
        <w:t xml:space="preserve"> actor consistentes en las documentales públicas</w:t>
      </w:r>
      <w:r w:rsidR="006F76D1">
        <w:rPr>
          <w:rFonts w:ascii="Arial" w:hAnsi="Arial" w:cs="Arial"/>
        </w:rPr>
        <w:t>, i</w:t>
      </w:r>
      <w:r w:rsidRPr="00B929EE">
        <w:rPr>
          <w:rFonts w:ascii="Arial" w:hAnsi="Arial" w:cs="Arial"/>
        </w:rPr>
        <w:t xml:space="preserve">nstrumental </w:t>
      </w:r>
      <w:r w:rsidR="006F76D1">
        <w:rPr>
          <w:rFonts w:ascii="Arial" w:hAnsi="Arial" w:cs="Arial"/>
        </w:rPr>
        <w:t xml:space="preserve">de actuaciones </w:t>
      </w:r>
      <w:r w:rsidRPr="00B929EE">
        <w:rPr>
          <w:rFonts w:ascii="Arial" w:hAnsi="Arial" w:cs="Arial"/>
        </w:rPr>
        <w:t xml:space="preserve">y presuncional </w:t>
      </w:r>
      <w:r w:rsidR="006F76D1">
        <w:rPr>
          <w:rFonts w:ascii="Arial" w:hAnsi="Arial" w:cs="Arial"/>
        </w:rPr>
        <w:t>en su doble aspecto legal y humana</w:t>
      </w:r>
      <w:r w:rsidRPr="00B929EE">
        <w:rPr>
          <w:rFonts w:ascii="Arial" w:hAnsi="Arial" w:cs="Arial"/>
        </w:rPr>
        <w:t>.</w:t>
      </w:r>
    </w:p>
    <w:p w14:paraId="63266672" w14:textId="77777777" w:rsidR="005063D8" w:rsidRPr="00507FCB" w:rsidRDefault="005063D8" w:rsidP="005063D8">
      <w:pPr>
        <w:pStyle w:val="Prrafodelista"/>
        <w:spacing w:after="0" w:line="360" w:lineRule="auto"/>
        <w:ind w:left="0" w:right="49" w:firstLine="708"/>
        <w:jc w:val="both"/>
        <w:rPr>
          <w:rFonts w:ascii="Arial" w:hAnsi="Arial" w:cs="Arial"/>
        </w:rPr>
      </w:pPr>
    </w:p>
    <w:p w14:paraId="53351D52" w14:textId="77777777" w:rsidR="005063D8" w:rsidRPr="00507FCB" w:rsidRDefault="005063D8" w:rsidP="005063D8">
      <w:pPr>
        <w:pStyle w:val="Prrafodelista"/>
        <w:spacing w:after="0" w:line="360" w:lineRule="auto"/>
        <w:ind w:left="0" w:right="49" w:firstLine="708"/>
        <w:jc w:val="both"/>
        <w:rPr>
          <w:rFonts w:ascii="Arial" w:hAnsi="Arial" w:cs="Arial"/>
        </w:rPr>
      </w:pPr>
      <w:r w:rsidRPr="00507FCB">
        <w:rPr>
          <w:rFonts w:ascii="Arial" w:hAnsi="Arial" w:cs="Arial"/>
          <w:b/>
        </w:rPr>
        <w:t xml:space="preserve">VII. Cierre de Instrucción. </w:t>
      </w:r>
      <w:r w:rsidRPr="00507FCB">
        <w:rPr>
          <w:rFonts w:ascii="Arial" w:hAnsi="Arial" w:cs="Arial"/>
        </w:rPr>
        <w:t xml:space="preserve">Toda vez que el expediente en que se actúa se encuentra debidamente sustanciado, no existe trámite o diligencia pendiente por realizar y obran en autos todos los elementos necesarios para resolver, se </w:t>
      </w:r>
      <w:r w:rsidRPr="00507FCB">
        <w:rPr>
          <w:rFonts w:ascii="Arial" w:hAnsi="Arial" w:cs="Arial"/>
          <w:b/>
        </w:rPr>
        <w:t xml:space="preserve">declara cerrada la instrucción; </w:t>
      </w:r>
      <w:r w:rsidRPr="00507FCB">
        <w:rPr>
          <w:rFonts w:ascii="Arial" w:hAnsi="Arial" w:cs="Arial"/>
        </w:rPr>
        <w:t>en consecuencia, procédase a formular el proyecto de sentencia correspondiente.</w:t>
      </w:r>
    </w:p>
    <w:p w14:paraId="37B2C0EF" w14:textId="77777777" w:rsidR="005063D8" w:rsidRPr="00507FCB" w:rsidRDefault="005063D8" w:rsidP="005063D8">
      <w:pPr>
        <w:spacing w:after="0" w:line="360" w:lineRule="auto"/>
        <w:ind w:right="49" w:firstLine="708"/>
        <w:jc w:val="both"/>
        <w:rPr>
          <w:rFonts w:ascii="Arial" w:hAnsi="Arial" w:cs="Arial"/>
        </w:rPr>
      </w:pPr>
    </w:p>
    <w:p w14:paraId="5FA06B1C" w14:textId="77777777" w:rsidR="005063D8" w:rsidRPr="00507FCB" w:rsidRDefault="005063D8" w:rsidP="005063D8">
      <w:pPr>
        <w:pStyle w:val="Prrafodelista"/>
        <w:spacing w:after="0"/>
        <w:ind w:left="0"/>
        <w:rPr>
          <w:rFonts w:ascii="Arial" w:hAnsi="Arial" w:cs="Arial"/>
        </w:rPr>
      </w:pPr>
    </w:p>
    <w:p w14:paraId="283A0CA8" w14:textId="7ABAE08C" w:rsidR="005063D8" w:rsidRPr="00507FCB" w:rsidRDefault="006123E5" w:rsidP="005063D8">
      <w:pPr>
        <w:spacing w:after="0" w:line="360" w:lineRule="auto"/>
        <w:ind w:firstLine="708"/>
        <w:jc w:val="both"/>
        <w:rPr>
          <w:rFonts w:ascii="Arial" w:hAnsi="Arial" w:cs="Arial"/>
          <w:b/>
        </w:rPr>
      </w:pPr>
      <w:r w:rsidRPr="00507FCB">
        <w:rPr>
          <w:rFonts w:ascii="Arial" w:hAnsi="Arial" w:cs="Arial"/>
          <w:b/>
        </w:rPr>
        <w:t>NOTIFÍQUESE</w:t>
      </w:r>
      <w:r w:rsidR="005063D8" w:rsidRPr="00507FCB">
        <w:rPr>
          <w:rFonts w:ascii="Arial" w:hAnsi="Arial" w:cs="Arial"/>
          <w:b/>
        </w:rPr>
        <w:t xml:space="preserve">. </w:t>
      </w:r>
    </w:p>
    <w:p w14:paraId="560449B1" w14:textId="6EB28CC9" w:rsidR="005063D8" w:rsidRPr="00507FCB" w:rsidRDefault="005063D8" w:rsidP="005063D8">
      <w:pPr>
        <w:spacing w:after="0" w:line="360" w:lineRule="auto"/>
        <w:ind w:firstLine="708"/>
        <w:jc w:val="both"/>
        <w:rPr>
          <w:rFonts w:ascii="Arial" w:hAnsi="Arial" w:cs="Arial"/>
        </w:rPr>
      </w:pPr>
      <w:r w:rsidRPr="00507FCB">
        <w:rPr>
          <w:rFonts w:ascii="Arial" w:hAnsi="Arial" w:cs="Arial"/>
        </w:rPr>
        <w:t xml:space="preserve">Así lo acordó y firma </w:t>
      </w:r>
      <w:r>
        <w:rPr>
          <w:rFonts w:ascii="Arial" w:hAnsi="Arial" w:cs="Arial"/>
        </w:rPr>
        <w:t>la</w:t>
      </w:r>
      <w:r w:rsidRPr="00507FCB">
        <w:rPr>
          <w:rFonts w:ascii="Arial" w:hAnsi="Arial" w:cs="Arial"/>
        </w:rPr>
        <w:t xml:space="preserve"> Magistrad</w:t>
      </w:r>
      <w:r>
        <w:rPr>
          <w:rFonts w:ascii="Arial" w:hAnsi="Arial" w:cs="Arial"/>
        </w:rPr>
        <w:t>a Claudia Eloisa Díaz de León González</w:t>
      </w:r>
      <w:r w:rsidRPr="00507FCB">
        <w:rPr>
          <w:rFonts w:ascii="Arial" w:hAnsi="Arial" w:cs="Arial"/>
        </w:rPr>
        <w:t>, en presencia de su</w:t>
      </w:r>
      <w:r>
        <w:rPr>
          <w:rFonts w:ascii="Arial" w:hAnsi="Arial" w:cs="Arial"/>
        </w:rPr>
        <w:t xml:space="preserve"> </w:t>
      </w:r>
      <w:r w:rsidR="006F76D1">
        <w:rPr>
          <w:rFonts w:ascii="Arial" w:hAnsi="Arial" w:cs="Arial"/>
        </w:rPr>
        <w:t>Secretario de Estudio</w:t>
      </w:r>
      <w:r w:rsidRPr="00507FCB">
        <w:rPr>
          <w:rFonts w:ascii="Arial" w:hAnsi="Arial" w:cs="Arial"/>
        </w:rPr>
        <w:t xml:space="preserve">, quien da fe. </w:t>
      </w:r>
    </w:p>
    <w:p w14:paraId="7D8C0222" w14:textId="77777777" w:rsidR="005063D8" w:rsidRPr="00507FCB" w:rsidRDefault="005063D8" w:rsidP="005063D8">
      <w:pPr>
        <w:spacing w:after="0" w:line="360" w:lineRule="auto"/>
        <w:jc w:val="both"/>
        <w:rPr>
          <w:rFonts w:ascii="Arial" w:hAnsi="Arial" w:cs="Arial"/>
        </w:rPr>
      </w:pPr>
    </w:p>
    <w:p w14:paraId="7F3AD5B3" w14:textId="01B4DA4F" w:rsidR="005063D8" w:rsidRDefault="005063D8" w:rsidP="005063D8">
      <w:pPr>
        <w:spacing w:after="0" w:line="360" w:lineRule="auto"/>
        <w:jc w:val="both"/>
        <w:rPr>
          <w:rFonts w:ascii="Arial" w:hAnsi="Arial" w:cs="Arial"/>
        </w:rPr>
      </w:pPr>
    </w:p>
    <w:p w14:paraId="4FDDEAAF" w14:textId="28119B3A" w:rsidR="005063D8" w:rsidRPr="00507FCB" w:rsidRDefault="00A81B2D" w:rsidP="005063D8">
      <w:pPr>
        <w:spacing w:line="360" w:lineRule="auto"/>
        <w:jc w:val="both"/>
        <w:rPr>
          <w:rFonts w:ascii="Arial" w:hAnsi="Arial" w:cs="Arial"/>
        </w:rPr>
      </w:pPr>
      <w:r w:rsidRPr="00C97C0A">
        <w:rPr>
          <w:rFonts w:ascii="Arial Nova" w:hAnsi="Arial Nova"/>
          <w:noProof/>
          <w:sz w:val="24"/>
          <w:szCs w:val="24"/>
        </w:rPr>
        <w:drawing>
          <wp:anchor distT="0" distB="0" distL="114300" distR="114300" simplePos="0" relativeHeight="251659264" behindDoc="0" locked="0" layoutInCell="1" allowOverlap="1" wp14:anchorId="467CC2AE" wp14:editId="3B457968">
            <wp:simplePos x="0" y="0"/>
            <wp:positionH relativeFrom="page">
              <wp:posOffset>1620520</wp:posOffset>
            </wp:positionH>
            <wp:positionV relativeFrom="paragraph">
              <wp:posOffset>341630</wp:posOffset>
            </wp:positionV>
            <wp:extent cx="4632960" cy="1719580"/>
            <wp:effectExtent l="0" t="0" r="0" b="0"/>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32960" cy="1719580"/>
                    </a:xfrm>
                    <a:prstGeom prst="rect">
                      <a:avLst/>
                    </a:prstGeom>
                  </pic:spPr>
                </pic:pic>
              </a:graphicData>
            </a:graphic>
            <wp14:sizeRelH relativeFrom="margin">
              <wp14:pctWidth>0</wp14:pctWidth>
            </wp14:sizeRelH>
            <wp14:sizeRelV relativeFrom="margin">
              <wp14:pctHeight>0</wp14:pctHeight>
            </wp14:sizeRelV>
          </wp:anchor>
        </w:drawing>
      </w:r>
    </w:p>
    <w:p w14:paraId="0F8111D2" w14:textId="77777777" w:rsidR="005063D8" w:rsidRPr="00507FCB" w:rsidRDefault="005063D8" w:rsidP="005063D8">
      <w:pPr>
        <w:pStyle w:val="Prrafodelista"/>
        <w:spacing w:line="360" w:lineRule="auto"/>
        <w:rPr>
          <w:rFonts w:ascii="Arial" w:hAnsi="Arial" w:cs="Arial"/>
        </w:rPr>
      </w:pPr>
    </w:p>
    <w:bookmarkEnd w:id="0"/>
    <w:p w14:paraId="65955B63" w14:textId="77777777" w:rsidR="005063D8" w:rsidRPr="00507FCB" w:rsidRDefault="005063D8" w:rsidP="005063D8">
      <w:pPr>
        <w:spacing w:line="360" w:lineRule="auto"/>
        <w:jc w:val="both"/>
        <w:rPr>
          <w:rFonts w:ascii="Arial" w:hAnsi="Arial" w:cs="Arial"/>
        </w:rPr>
      </w:pPr>
    </w:p>
    <w:bookmarkEnd w:id="1"/>
    <w:p w14:paraId="2DDFC45A" w14:textId="77777777" w:rsidR="005063D8" w:rsidRPr="00507FCB" w:rsidRDefault="005063D8" w:rsidP="005063D8">
      <w:pPr>
        <w:rPr>
          <w:rFonts w:ascii="Arial" w:hAnsi="Arial" w:cs="Arial"/>
        </w:rPr>
      </w:pPr>
    </w:p>
    <w:p w14:paraId="7C7C6CEF" w14:textId="77777777" w:rsidR="005063D8" w:rsidRDefault="005063D8" w:rsidP="005063D8"/>
    <w:p w14:paraId="4C6C0E86" w14:textId="77777777" w:rsidR="00D30D57" w:rsidRDefault="00D30D57"/>
    <w:sectPr w:rsidR="00D30D57" w:rsidSect="00CE2F4C">
      <w:headerReference w:type="even" r:id="rId7"/>
      <w:headerReference w:type="default" r:id="rId8"/>
      <w:pgSz w:w="12240" w:h="20160" w:code="5"/>
      <w:pgMar w:top="3827" w:right="1701" w:bottom="1134" w:left="255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C2F522" w14:textId="77777777" w:rsidR="00A0499D" w:rsidRDefault="00A0499D">
      <w:pPr>
        <w:spacing w:after="0" w:line="240" w:lineRule="auto"/>
      </w:pPr>
      <w:r>
        <w:separator/>
      </w:r>
    </w:p>
  </w:endnote>
  <w:endnote w:type="continuationSeparator" w:id="0">
    <w:p w14:paraId="2CE7865F" w14:textId="77777777" w:rsidR="00A0499D" w:rsidRDefault="00A04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altName w:val="Arial Nova"/>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A3E372" w14:textId="77777777" w:rsidR="00A0499D" w:rsidRDefault="00A0499D">
      <w:pPr>
        <w:spacing w:after="0" w:line="240" w:lineRule="auto"/>
      </w:pPr>
      <w:r>
        <w:separator/>
      </w:r>
    </w:p>
  </w:footnote>
  <w:footnote w:type="continuationSeparator" w:id="0">
    <w:p w14:paraId="3B9A676E" w14:textId="77777777" w:rsidR="00A0499D" w:rsidRDefault="00A049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2B866" w14:textId="77777777" w:rsidR="0052410F" w:rsidRDefault="000700D5">
    <w:pPr>
      <w:pStyle w:val="Encabezado"/>
    </w:pPr>
    <w:r w:rsidRPr="00A46BD3">
      <w:rPr>
        <w:rFonts w:ascii="Century Gothic" w:hAnsi="Century Gothic"/>
        <w:noProof/>
      </w:rPr>
      <w:drawing>
        <wp:anchor distT="0" distB="0" distL="114300" distR="114300" simplePos="0" relativeHeight="251661312" behindDoc="0" locked="0" layoutInCell="1" allowOverlap="1" wp14:anchorId="29EBE3F6" wp14:editId="599526F0">
          <wp:simplePos x="0" y="0"/>
          <wp:positionH relativeFrom="margin">
            <wp:posOffset>0</wp:posOffset>
          </wp:positionH>
          <wp:positionV relativeFrom="paragraph">
            <wp:posOffset>-635</wp:posOffset>
          </wp:positionV>
          <wp:extent cx="1180011" cy="1404745"/>
          <wp:effectExtent l="0" t="0" r="127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A07DDE" w14:textId="77777777" w:rsidR="00AF502C" w:rsidRDefault="00A0499D" w:rsidP="00AF502C">
    <w:pPr>
      <w:pStyle w:val="Encabezado"/>
      <w:tabs>
        <w:tab w:val="left" w:pos="5103"/>
      </w:tabs>
      <w:rPr>
        <w:rFonts w:ascii="Century Gothic" w:hAnsi="Century Gothic"/>
        <w:b/>
      </w:rPr>
    </w:pPr>
    <w:sdt>
      <w:sdtPr>
        <w:rPr>
          <w:rFonts w:ascii="Century Gothic" w:hAnsi="Century Gothic"/>
        </w:rPr>
        <w:id w:val="-1438363396"/>
        <w:docPartObj>
          <w:docPartGallery w:val="Page Numbers (Margins)"/>
          <w:docPartUnique/>
        </w:docPartObj>
      </w:sdtPr>
      <w:sdtEndPr/>
      <w:sdtContent>
        <w:r w:rsidR="000700D5" w:rsidRPr="00932419">
          <w:rPr>
            <w:rFonts w:ascii="Century Gothic" w:hAnsi="Century Gothic"/>
            <w:noProof/>
          </w:rPr>
          <mc:AlternateContent>
            <mc:Choice Requires="wps">
              <w:drawing>
                <wp:anchor distT="0" distB="0" distL="114300" distR="114300" simplePos="0" relativeHeight="251660288" behindDoc="0" locked="0" layoutInCell="0" allowOverlap="1" wp14:anchorId="4A03A578" wp14:editId="08EFD619">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774839631"/>
                                <w:docPartObj>
                                  <w:docPartGallery w:val="Page Numbers (Margins)"/>
                                  <w:docPartUnique/>
                                </w:docPartObj>
                              </w:sdtPr>
                              <w:sdtEndPr/>
                              <w:sdtContent>
                                <w:p w14:paraId="48AD4E4C" w14:textId="77777777" w:rsidR="00AF502C" w:rsidRPr="00932419" w:rsidRDefault="000700D5">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8D08E0">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8707A" id="Rectángulo 37"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7iwIAAAkFAAAOAAAAZHJzL2Uyb0RvYy54bWysVNuO0zAQfUfiHyy/d5N000uipqu9UIS0&#10;wIqFD3BtJ7FwbGO7TRfEx/At/Bhjp+228IIQfUg9nvH4zJkzXlztOom23DqhVYWzixQjrqhmQjUV&#10;/vRxNZpj5DxRjEiteIWfuMNXy5cvFr0p+Vi3WjJuESRRruxNhVvvTZkkjra8I+5CG67AWWvbEQ+m&#10;bRJmSQ/ZO5mM03Sa9NoyYzXlzsHu3eDEy5i/rjn17+vacY9khQGbj18bv+vwTZYLUjaWmFbQPQzy&#10;Dyg6IhRcekx1RzxBGyv+SNUJarXTtb+gukt0XQvKYw1QTZb+Vs1jSwyPtQA5zhxpcv8vLX23fbBI&#10;sApfzjBSpIMefQDWfv5QzUZqBLtAUW9cCZGP5sGGIp251/SzQ0rftkQ1/Npa3becMACWhfjk7EAw&#10;HBxF6/6tZnAB2Xgd2drVtgsJgQe0i015OjaF7zyisDmbQp+hdRRc82JyOYlNS0h5OGys86+57lBY&#10;VNgC+picbO+dD2BIeQiJ4LUUbCWkjIZt1rfSoi0BfaziL+KHGk/DpArBSodjQ8ZhBzDCHcEX0MZ+&#10;fyuycZ7ejIvRajqfjfJVPhkVs3Q+SrPippimeZHfrb4HgFletoIxru6F4gftZfnf9XY/BYNqovpQ&#10;X+FiMp7E2s/Qu9MigctA51DFWVgnPIyiFB3wfAwiZejrK8XgACk9EXJYJ+fwI8vAweE/shJVEBo/&#10;CMjv1jvIEtSw1uwJ9GA19AtaC+8HLFptv2LUwyxW2H3ZEMsxkm8UaKrI8jwMbzTyyWwMhj31rE89&#10;RFFIVWGP0bC89cPAb4wVTQs3ZZEjpa9Bh7WIGnlGtVcvzFssZv82hIE+tWPU8wu2/AUAAP//AwBQ&#10;SwMEFAAGAAgAAAAhAGzVH9PZAAAABQEAAA8AAABkcnMvZG93bnJldi54bWxMj0FPwzAMhe9I/IfI&#10;SNxYMhjVVppOCGkn4MCGxNVrvLaicUqTbuXf43GBi2XrWe99r1hPvlNHGmIb2MJ8ZkARV8G1XFt4&#10;321ulqBiQnbYBSYL3xRhXV5eFJi7cOI3Om5TrcSEY44WmpT6XOtYNeQxzkJPLNohDB6TnEOt3YAn&#10;MfedvjUm0x5bloQGe3pqqPrcjt4CZgv39Xq4e9k9jxmu6sls7j+MtddX0+MDqERT+nuGM76gQylM&#10;+zCyi6qzIEXS7zxrEgVqL8tibkCXhf5PX/4AAAD//wMAUEsBAi0AFAAGAAgAAAAhALaDOJL+AAAA&#10;4QEAABMAAAAAAAAAAAAAAAAAAAAAAFtDb250ZW50X1R5cGVzXS54bWxQSwECLQAUAAYACAAAACEA&#10;OP0h/9YAAACUAQAACwAAAAAAAAAAAAAAAAAvAQAAX3JlbHMvLnJlbHNQSwECLQAUAAYACAAAACEA&#10;Phw8u4sCAAAJBQAADgAAAAAAAAAAAAAAAAAuAgAAZHJzL2Uyb0RvYy54bWxQSwECLQAUAAYACAAA&#10;ACEAbNUf09kAAAAFAQAADwAAAAAAAAAAAAAAAADlBAAAZHJzL2Rvd25yZXYueG1sUEsFBgAAAAAE&#10;AAQA8wAAAOsFAAAAAA==&#10;" o:allowincell="f" stroked="f">
                  <v:textbox>
                    <w:txbxContent>
                      <w:sdt>
                        <w:sdtPr>
                          <w:rPr>
                            <w:rFonts w:ascii="Century Gothic" w:eastAsiaTheme="majorEastAsia" w:hAnsi="Century Gothic" w:cstheme="majorBidi"/>
                            <w:b/>
                            <w:sz w:val="48"/>
                            <w:szCs w:val="48"/>
                          </w:rPr>
                          <w:id w:val="774839631"/>
                          <w:docPartObj>
                            <w:docPartGallery w:val="Page Numbers (Margins)"/>
                            <w:docPartUnique/>
                          </w:docPartObj>
                        </w:sdtPr>
                        <w:sdtEndPr/>
                        <w:sdtContent>
                          <w:p w:rsidR="00AF502C" w:rsidRPr="00932419" w:rsidRDefault="000700D5">
                            <w:pPr>
                              <w:jc w:val="center"/>
                              <w:rPr>
                                <w:rFonts w:ascii="Century Gothic" w:eastAsiaTheme="majorEastAsia" w:hAnsi="Century Gothic" w:cstheme="majorBidi"/>
                                <w:b/>
                                <w:sz w:val="72"/>
                                <w:szCs w:val="72"/>
                              </w:rPr>
                            </w:pPr>
                            <w:r w:rsidRPr="00932419">
                              <w:rPr>
                                <w:rFonts w:ascii="Century Gothic" w:eastAsiaTheme="minorEastAsia" w:hAnsi="Century Gothic" w:cs="Times New Roman"/>
                                <w:b/>
                              </w:rPr>
                              <w:fldChar w:fldCharType="begin"/>
                            </w:r>
                            <w:r w:rsidRPr="00932419">
                              <w:rPr>
                                <w:rFonts w:ascii="Century Gothic" w:hAnsi="Century Gothic"/>
                                <w:b/>
                              </w:rPr>
                              <w:instrText>PAGE  \* MERGEFORMAT</w:instrText>
                            </w:r>
                            <w:r w:rsidRPr="00932419">
                              <w:rPr>
                                <w:rFonts w:ascii="Century Gothic" w:eastAsiaTheme="minorEastAsia" w:hAnsi="Century Gothic" w:cs="Times New Roman"/>
                                <w:b/>
                              </w:rPr>
                              <w:fldChar w:fldCharType="separate"/>
                            </w:r>
                            <w:r w:rsidRPr="008D08E0">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r w:rsidR="000700D5">
      <w:rPr>
        <w:rFonts w:ascii="Century Gothic" w:hAnsi="Century Gothic"/>
      </w:rPr>
      <w:t xml:space="preserve"> </w:t>
    </w:r>
    <w:r w:rsidR="000700D5" w:rsidRPr="00A46BD3">
      <w:rPr>
        <w:rFonts w:ascii="Century Gothic" w:hAnsi="Century Gothic"/>
      </w:rPr>
      <w:t xml:space="preserve">                                                               </w:t>
    </w:r>
    <w:r w:rsidR="000700D5">
      <w:rPr>
        <w:rFonts w:ascii="Century Gothic" w:hAnsi="Century Gothic"/>
      </w:rPr>
      <w:t xml:space="preserve">                  </w:t>
    </w:r>
  </w:p>
  <w:p w14:paraId="780965D7" w14:textId="77777777" w:rsidR="00AF502C" w:rsidRPr="00A46BD3" w:rsidRDefault="000700D5" w:rsidP="00A46BD3">
    <w:pPr>
      <w:pStyle w:val="Encabezado"/>
      <w:rPr>
        <w:rFonts w:ascii="Century Gothic" w:hAnsi="Century Gothic"/>
        <w:b/>
      </w:rPr>
    </w:pPr>
    <w:r>
      <w:rPr>
        <w:rFonts w:ascii="Century Gothic" w:hAnsi="Century Gothic"/>
        <w:b/>
      </w:rPr>
      <w:tab/>
    </w:r>
    <w:r>
      <w:rPr>
        <w:rFonts w:ascii="Century Gothic" w:hAnsi="Century Gothic"/>
        <w:b/>
      </w:rPr>
      <w:tab/>
    </w:r>
  </w:p>
  <w:p w14:paraId="1B94F227" w14:textId="77777777" w:rsidR="00AF502C" w:rsidRPr="00A46BD3" w:rsidRDefault="000700D5" w:rsidP="00A46BD3">
    <w:pPr>
      <w:pStyle w:val="Encabezado"/>
      <w:rPr>
        <w:rFonts w:ascii="Century Gothic" w:hAnsi="Century Gothic"/>
      </w:rPr>
    </w:pPr>
    <w:r w:rsidRPr="00A46BD3">
      <w:rPr>
        <w:rFonts w:ascii="Century Gothic" w:hAnsi="Century Gothic"/>
        <w:noProof/>
      </w:rPr>
      <w:drawing>
        <wp:anchor distT="0" distB="0" distL="114300" distR="114300" simplePos="0" relativeHeight="251659264" behindDoc="0" locked="0" layoutInCell="1" allowOverlap="1" wp14:anchorId="73F526F7" wp14:editId="1EE4C02D">
          <wp:simplePos x="0" y="0"/>
          <wp:positionH relativeFrom="margin">
            <wp:posOffset>67945</wp:posOffset>
          </wp:positionH>
          <wp:positionV relativeFrom="paragraph">
            <wp:posOffset>105410</wp:posOffset>
          </wp:positionV>
          <wp:extent cx="1180011" cy="1404745"/>
          <wp:effectExtent l="0" t="0" r="127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3D8"/>
    <w:rsid w:val="000700D5"/>
    <w:rsid w:val="00104720"/>
    <w:rsid w:val="00144DE0"/>
    <w:rsid w:val="00151552"/>
    <w:rsid w:val="00245835"/>
    <w:rsid w:val="005063D8"/>
    <w:rsid w:val="006123E5"/>
    <w:rsid w:val="006F76D1"/>
    <w:rsid w:val="00A0499D"/>
    <w:rsid w:val="00A81B2D"/>
    <w:rsid w:val="00C635FE"/>
    <w:rsid w:val="00C66694"/>
    <w:rsid w:val="00D30D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5912D"/>
  <w15:chartTrackingRefBased/>
  <w15:docId w15:val="{E203161B-E4E1-430A-82AA-337E1A10E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63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63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63D8"/>
  </w:style>
  <w:style w:type="paragraph" w:styleId="Prrafodelista">
    <w:name w:val="List Paragraph"/>
    <w:basedOn w:val="Normal"/>
    <w:link w:val="PrrafodelistaCar"/>
    <w:uiPriority w:val="1"/>
    <w:qFormat/>
    <w:rsid w:val="005063D8"/>
    <w:pPr>
      <w:ind w:left="720"/>
      <w:contextualSpacing/>
    </w:pPr>
  </w:style>
  <w:style w:type="table" w:styleId="Tablaconcuadrcula">
    <w:name w:val="Table Grid"/>
    <w:basedOn w:val="Tablanormal"/>
    <w:uiPriority w:val="39"/>
    <w:rsid w:val="00506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063D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link w:val="Prrafodelista"/>
    <w:uiPriority w:val="1"/>
    <w:locked/>
    <w:rsid w:val="00506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2508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Auxiliar Juridico</dc:creator>
  <cp:keywords/>
  <dc:description/>
  <cp:lastModifiedBy>Secretario 1</cp:lastModifiedBy>
  <cp:revision>2</cp:revision>
  <cp:lastPrinted>2021-01-26T17:20:00Z</cp:lastPrinted>
  <dcterms:created xsi:type="dcterms:W3CDTF">2021-01-26T17:29:00Z</dcterms:created>
  <dcterms:modified xsi:type="dcterms:W3CDTF">2021-01-26T17:29:00Z</dcterms:modified>
</cp:coreProperties>
</file>