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FBA15" w14:textId="623F3E45" w:rsidR="00B30DA7" w:rsidRPr="00B30DA7" w:rsidRDefault="00B30DA7" w:rsidP="006E07FD">
      <w:pPr>
        <w:pStyle w:val="Proemio"/>
        <w:spacing w:before="0" w:beforeAutospacing="0" w:after="120" w:afterAutospacing="0"/>
        <w:ind w:left="4678"/>
        <w:jc w:val="both"/>
      </w:pPr>
      <w:bookmarkStart w:id="0" w:name="_Toc5673433"/>
      <w:bookmarkStart w:id="1" w:name="_Hlk64916181"/>
      <w:r w:rsidRPr="00B30DA7">
        <w:t>ACUERDO PLENARIO DE REENCAUZAMIENTO</w:t>
      </w:r>
      <w:r w:rsidR="004F11DA">
        <w:t>.</w:t>
      </w:r>
    </w:p>
    <w:p w14:paraId="6E026DF3" w14:textId="79DE2751" w:rsidR="00B30DA7" w:rsidRPr="00B30DA7" w:rsidRDefault="00494F3B" w:rsidP="006E07FD">
      <w:pPr>
        <w:pStyle w:val="Proemio"/>
        <w:spacing w:before="0" w:beforeAutospacing="0" w:after="120" w:afterAutospacing="0"/>
        <w:ind w:left="4678"/>
        <w:jc w:val="both"/>
      </w:pPr>
      <w:r>
        <w:t>RECURSO DE APELACIÓN</w:t>
      </w:r>
      <w:r w:rsidR="006E07FD">
        <w:t>.</w:t>
      </w:r>
    </w:p>
    <w:p w14:paraId="6E40F790" w14:textId="73D10D6F" w:rsidR="00B30DA7" w:rsidRPr="00B30DA7" w:rsidRDefault="00B30DA7" w:rsidP="006E07FD">
      <w:pPr>
        <w:pStyle w:val="Proemio"/>
        <w:spacing w:before="0" w:beforeAutospacing="0" w:after="120" w:afterAutospacing="0"/>
        <w:ind w:left="4678"/>
        <w:jc w:val="both"/>
        <w:rPr>
          <w:b w:val="0"/>
        </w:rPr>
      </w:pPr>
      <w:r w:rsidRPr="00B30DA7">
        <w:t>EXPEDIENTE:</w:t>
      </w:r>
      <w:r w:rsidR="00494F3B">
        <w:rPr>
          <w:b w:val="0"/>
        </w:rPr>
        <w:t xml:space="preserve"> TEEA-</w:t>
      </w:r>
      <w:r w:rsidR="00F239B0">
        <w:rPr>
          <w:b w:val="0"/>
        </w:rPr>
        <w:t>RAP</w:t>
      </w:r>
      <w:r w:rsidR="00494F3B">
        <w:rPr>
          <w:b w:val="0"/>
        </w:rPr>
        <w:t>-013</w:t>
      </w:r>
      <w:r w:rsidRPr="00B30DA7">
        <w:rPr>
          <w:b w:val="0"/>
        </w:rPr>
        <w:t>/2021</w:t>
      </w:r>
      <w:r w:rsidR="007518E0">
        <w:rPr>
          <w:b w:val="0"/>
        </w:rPr>
        <w:t>.</w:t>
      </w:r>
    </w:p>
    <w:p w14:paraId="4D664BEB" w14:textId="54315419" w:rsidR="00B30DA7" w:rsidRPr="00B30DA7" w:rsidRDefault="00B30DA7" w:rsidP="006E07FD">
      <w:pPr>
        <w:pStyle w:val="Proemio"/>
        <w:spacing w:before="0" w:beforeAutospacing="0" w:after="120" w:afterAutospacing="0"/>
        <w:ind w:left="4678"/>
        <w:jc w:val="both"/>
        <w:rPr>
          <w:b w:val="0"/>
        </w:rPr>
      </w:pPr>
      <w:r w:rsidRPr="00B30DA7">
        <w:t xml:space="preserve">ACTORA: </w:t>
      </w:r>
      <w:r w:rsidR="00494F3B">
        <w:rPr>
          <w:b w:val="0"/>
        </w:rPr>
        <w:t>AURORA V</w:t>
      </w:r>
      <w:r w:rsidR="007518E0">
        <w:rPr>
          <w:b w:val="0"/>
        </w:rPr>
        <w:t>A</w:t>
      </w:r>
      <w:r w:rsidR="00494F3B">
        <w:rPr>
          <w:b w:val="0"/>
        </w:rPr>
        <w:t>NEGAS MARTÍNEZ</w:t>
      </w:r>
      <w:r w:rsidR="007518E0">
        <w:rPr>
          <w:b w:val="0"/>
        </w:rPr>
        <w:t>.</w:t>
      </w:r>
    </w:p>
    <w:p w14:paraId="687B52E8" w14:textId="37E81A56" w:rsidR="00B30DA7" w:rsidRPr="00494F3B" w:rsidRDefault="00494F3B" w:rsidP="006E07FD">
      <w:pPr>
        <w:pStyle w:val="Proemio"/>
        <w:spacing w:before="0" w:beforeAutospacing="0" w:after="120" w:afterAutospacing="0"/>
        <w:ind w:left="4678"/>
        <w:jc w:val="both"/>
        <w:rPr>
          <w:b w:val="0"/>
        </w:rPr>
      </w:pPr>
      <w:r>
        <w:t xml:space="preserve">AUTORIDAD RESPONSABLE: </w:t>
      </w:r>
      <w:r>
        <w:rPr>
          <w:b w:val="0"/>
        </w:rPr>
        <w:t xml:space="preserve">CONSEJO DISTRITAL </w:t>
      </w:r>
      <w:r w:rsidR="00F239B0">
        <w:rPr>
          <w:b w:val="0"/>
        </w:rPr>
        <w:t xml:space="preserve">ELECTORAL </w:t>
      </w:r>
      <w:r>
        <w:rPr>
          <w:b w:val="0"/>
        </w:rPr>
        <w:t>X</w:t>
      </w:r>
      <w:r w:rsidR="00F239B0">
        <w:rPr>
          <w:b w:val="0"/>
        </w:rPr>
        <w:t xml:space="preserve"> DE AGUASCALIENTES.</w:t>
      </w:r>
    </w:p>
    <w:p w14:paraId="5E2874A2" w14:textId="77777777" w:rsidR="00B30DA7" w:rsidRPr="00B30DA7" w:rsidRDefault="00B30DA7" w:rsidP="006E07FD">
      <w:pPr>
        <w:pStyle w:val="Proemio"/>
        <w:spacing w:before="0" w:beforeAutospacing="0" w:after="120" w:afterAutospacing="0"/>
        <w:ind w:left="4678"/>
        <w:jc w:val="both"/>
        <w:rPr>
          <w:b w:val="0"/>
        </w:rPr>
      </w:pPr>
      <w:r w:rsidRPr="00B30DA7">
        <w:t xml:space="preserve">MAGISTRADA PONENTE: </w:t>
      </w:r>
      <w:r w:rsidRPr="00B30DA7">
        <w:rPr>
          <w:b w:val="0"/>
        </w:rPr>
        <w:t>LAURA HORTENSIA LLAMAS HERNÁNDEZ.</w:t>
      </w:r>
    </w:p>
    <w:p w14:paraId="510F4956" w14:textId="77777777" w:rsidR="00B30DA7" w:rsidRPr="00B30DA7" w:rsidRDefault="00B30DA7" w:rsidP="006E07FD">
      <w:pPr>
        <w:pStyle w:val="Proemio"/>
        <w:spacing w:before="0" w:beforeAutospacing="0" w:after="120" w:afterAutospacing="0"/>
        <w:ind w:left="4678"/>
        <w:jc w:val="both"/>
        <w:rPr>
          <w:b w:val="0"/>
        </w:rPr>
      </w:pPr>
      <w:r w:rsidRPr="00B30DA7">
        <w:t>SECRETARIO</w:t>
      </w:r>
      <w:r w:rsidRPr="00B30DA7">
        <w:rPr>
          <w:rStyle w:val="Refdenotaalpie"/>
        </w:rPr>
        <w:footnoteReference w:id="1"/>
      </w:r>
      <w:r w:rsidRPr="00B30DA7">
        <w:t xml:space="preserve">: </w:t>
      </w:r>
      <w:r w:rsidRPr="00B30DA7">
        <w:rPr>
          <w:b w:val="0"/>
        </w:rPr>
        <w:t>EDGAR ALEJANDRO LÓPEZ DÁVILA.</w:t>
      </w:r>
    </w:p>
    <w:p w14:paraId="527D43F4" w14:textId="77777777" w:rsidR="00B30DA7" w:rsidRPr="00B30DA7" w:rsidRDefault="00B30DA7" w:rsidP="006E07FD">
      <w:pPr>
        <w:pStyle w:val="Sinespaciado"/>
      </w:pPr>
    </w:p>
    <w:p w14:paraId="2AA4CE12" w14:textId="4848223F" w:rsidR="00B30DA7" w:rsidRPr="00B30DA7" w:rsidRDefault="00B30DA7" w:rsidP="006E07FD">
      <w:pPr>
        <w:pStyle w:val="Estudio"/>
      </w:pPr>
      <w:r w:rsidRPr="00546DE2">
        <w:t>Agua</w:t>
      </w:r>
      <w:r w:rsidR="00C052D1" w:rsidRPr="00546DE2">
        <w:t xml:space="preserve">scalientes, Aguascalientes, a 12 de abril </w:t>
      </w:r>
      <w:r w:rsidRPr="00546DE2">
        <w:t>de 2021.</w:t>
      </w:r>
    </w:p>
    <w:p w14:paraId="0F8247A2" w14:textId="77777777" w:rsidR="00B30DA7" w:rsidRPr="00B30DA7" w:rsidRDefault="00B30DA7" w:rsidP="006E07FD">
      <w:pPr>
        <w:pStyle w:val="Sinespaciado"/>
      </w:pPr>
    </w:p>
    <w:p w14:paraId="4CFE6D70" w14:textId="5D37C600" w:rsidR="00CC4728" w:rsidRPr="0037036B" w:rsidRDefault="00CC4728" w:rsidP="004F11DA">
      <w:pPr>
        <w:spacing w:line="360" w:lineRule="auto"/>
        <w:jc w:val="both"/>
        <w:rPr>
          <w:rFonts w:ascii="Arial" w:hAnsi="Arial" w:cs="Arial"/>
          <w:sz w:val="24"/>
          <w:szCs w:val="24"/>
        </w:rPr>
      </w:pPr>
      <w:r w:rsidRPr="00CC4728">
        <w:rPr>
          <w:rFonts w:ascii="Arial" w:hAnsi="Arial" w:cs="Arial"/>
          <w:b/>
          <w:bCs/>
          <w:sz w:val="24"/>
          <w:szCs w:val="24"/>
        </w:rPr>
        <w:t xml:space="preserve">Resolución </w:t>
      </w:r>
      <w:r w:rsidRPr="0037036B">
        <w:rPr>
          <w:rFonts w:ascii="Arial" w:hAnsi="Arial" w:cs="Arial"/>
          <w:sz w:val="24"/>
          <w:szCs w:val="24"/>
        </w:rPr>
        <w:t>que determina:</w:t>
      </w:r>
      <w:r>
        <w:rPr>
          <w:rFonts w:ascii="Arial" w:hAnsi="Arial" w:cs="Arial"/>
          <w:sz w:val="24"/>
          <w:szCs w:val="24"/>
        </w:rPr>
        <w:t xml:space="preserve"> </w:t>
      </w:r>
      <w:r w:rsidRPr="00914C52">
        <w:rPr>
          <w:rFonts w:ascii="Arial" w:hAnsi="Arial" w:cs="Arial"/>
          <w:b/>
          <w:bCs/>
          <w:i/>
          <w:iCs/>
          <w:sz w:val="24"/>
          <w:szCs w:val="24"/>
        </w:rPr>
        <w:t>a)</w:t>
      </w:r>
      <w:r w:rsidRPr="0037036B">
        <w:rPr>
          <w:rFonts w:ascii="Arial" w:hAnsi="Arial" w:cs="Arial"/>
          <w:sz w:val="24"/>
          <w:szCs w:val="24"/>
        </w:rPr>
        <w:t xml:space="preserve"> </w:t>
      </w:r>
      <w:r w:rsidRPr="00CC4728">
        <w:rPr>
          <w:rFonts w:ascii="Arial" w:hAnsi="Arial" w:cs="Arial"/>
          <w:b/>
          <w:bCs/>
          <w:sz w:val="24"/>
          <w:szCs w:val="24"/>
        </w:rPr>
        <w:t>la improcedencia</w:t>
      </w:r>
      <w:r w:rsidRPr="0037036B">
        <w:rPr>
          <w:rFonts w:ascii="Arial" w:hAnsi="Arial" w:cs="Arial"/>
          <w:sz w:val="24"/>
          <w:szCs w:val="24"/>
        </w:rPr>
        <w:t xml:space="preserve"> el</w:t>
      </w:r>
      <w:r w:rsidR="00494F3B">
        <w:rPr>
          <w:rFonts w:ascii="Arial" w:hAnsi="Arial" w:cs="Arial"/>
          <w:sz w:val="24"/>
          <w:szCs w:val="24"/>
        </w:rPr>
        <w:t xml:space="preserve"> recurso de apelación</w:t>
      </w:r>
      <w:r w:rsidRPr="0037036B">
        <w:rPr>
          <w:rFonts w:ascii="Arial" w:hAnsi="Arial" w:cs="Arial"/>
          <w:sz w:val="24"/>
          <w:szCs w:val="24"/>
        </w:rPr>
        <w:t>, porque este Tribunal sólo puede revisar las controversias en las que se hayan agotado las instancias previas y, en el caso</w:t>
      </w:r>
      <w:r w:rsidR="00494F3B">
        <w:rPr>
          <w:rFonts w:ascii="Arial" w:hAnsi="Arial" w:cs="Arial"/>
          <w:sz w:val="24"/>
          <w:szCs w:val="24"/>
        </w:rPr>
        <w:t xml:space="preserve"> que nos ocupa</w:t>
      </w:r>
      <w:r w:rsidRPr="0037036B">
        <w:rPr>
          <w:rFonts w:ascii="Arial" w:hAnsi="Arial" w:cs="Arial"/>
          <w:sz w:val="24"/>
          <w:szCs w:val="24"/>
        </w:rPr>
        <w:t xml:space="preserve">, </w:t>
      </w:r>
      <w:r w:rsidRPr="00546DE2">
        <w:rPr>
          <w:rFonts w:ascii="Arial" w:hAnsi="Arial" w:cs="Arial"/>
          <w:b/>
          <w:sz w:val="24"/>
          <w:szCs w:val="24"/>
        </w:rPr>
        <w:t>la omisión reclamada</w:t>
      </w:r>
      <w:r w:rsidRPr="0037036B">
        <w:rPr>
          <w:rFonts w:ascii="Arial" w:hAnsi="Arial" w:cs="Arial"/>
          <w:sz w:val="24"/>
          <w:szCs w:val="24"/>
        </w:rPr>
        <w:t xml:space="preserve"> es susce</w:t>
      </w:r>
      <w:r w:rsidR="00494F3B">
        <w:rPr>
          <w:rFonts w:ascii="Arial" w:hAnsi="Arial" w:cs="Arial"/>
          <w:sz w:val="24"/>
          <w:szCs w:val="24"/>
        </w:rPr>
        <w:t xml:space="preserve">ptible de que sea analizada, </w:t>
      </w:r>
      <w:proofErr w:type="gramStart"/>
      <w:r w:rsidR="003B2E78" w:rsidRPr="0037036B">
        <w:rPr>
          <w:rFonts w:ascii="Arial" w:hAnsi="Arial" w:cs="Arial"/>
          <w:sz w:val="24"/>
          <w:szCs w:val="24"/>
        </w:rPr>
        <w:t>prim</w:t>
      </w:r>
      <w:r w:rsidR="003B2E78">
        <w:rPr>
          <w:rFonts w:ascii="Arial" w:hAnsi="Arial" w:cs="Arial"/>
          <w:sz w:val="24"/>
          <w:szCs w:val="24"/>
        </w:rPr>
        <w:t>eramente</w:t>
      </w:r>
      <w:proofErr w:type="gramEnd"/>
      <w:r w:rsidR="00494F3B">
        <w:rPr>
          <w:rFonts w:ascii="Arial" w:hAnsi="Arial" w:cs="Arial"/>
          <w:sz w:val="24"/>
          <w:szCs w:val="24"/>
        </w:rPr>
        <w:t xml:space="preserve"> por el Consejo General</w:t>
      </w:r>
      <w:r w:rsidRPr="0037036B">
        <w:rPr>
          <w:rFonts w:ascii="Arial" w:hAnsi="Arial" w:cs="Arial"/>
          <w:sz w:val="24"/>
          <w:szCs w:val="24"/>
        </w:rPr>
        <w:t xml:space="preserve"> </w:t>
      </w:r>
      <w:r w:rsidR="00C052D1" w:rsidRPr="00546DE2">
        <w:rPr>
          <w:rFonts w:ascii="Arial" w:hAnsi="Arial" w:cs="Arial"/>
          <w:b/>
          <w:sz w:val="24"/>
          <w:szCs w:val="24"/>
        </w:rPr>
        <w:t>a través del recurso de inconformidad</w:t>
      </w:r>
      <w:r w:rsidR="00C052D1">
        <w:rPr>
          <w:rFonts w:ascii="Arial" w:hAnsi="Arial" w:cs="Arial"/>
          <w:sz w:val="24"/>
          <w:szCs w:val="24"/>
        </w:rPr>
        <w:t xml:space="preserve"> </w:t>
      </w:r>
      <w:r w:rsidRPr="0037036B">
        <w:rPr>
          <w:rFonts w:ascii="Arial" w:hAnsi="Arial" w:cs="Arial"/>
          <w:sz w:val="24"/>
          <w:szCs w:val="24"/>
        </w:rPr>
        <w:t xml:space="preserve">y; </w:t>
      </w:r>
      <w:r w:rsidRPr="00914C52">
        <w:rPr>
          <w:rFonts w:ascii="Arial" w:hAnsi="Arial" w:cs="Arial"/>
          <w:b/>
          <w:bCs/>
          <w:i/>
          <w:iCs/>
          <w:sz w:val="24"/>
          <w:szCs w:val="24"/>
        </w:rPr>
        <w:t>b)</w:t>
      </w:r>
      <w:r w:rsidRPr="0037036B">
        <w:rPr>
          <w:rFonts w:ascii="Arial" w:hAnsi="Arial" w:cs="Arial"/>
          <w:sz w:val="24"/>
          <w:szCs w:val="24"/>
        </w:rPr>
        <w:t xml:space="preserve"> </w:t>
      </w:r>
      <w:r w:rsidRPr="00CC4728">
        <w:rPr>
          <w:rFonts w:ascii="Arial" w:hAnsi="Arial" w:cs="Arial"/>
          <w:b/>
          <w:bCs/>
          <w:sz w:val="24"/>
          <w:szCs w:val="24"/>
        </w:rPr>
        <w:t xml:space="preserve">reencauza </w:t>
      </w:r>
      <w:r w:rsidR="00CB6250">
        <w:rPr>
          <w:rFonts w:ascii="Arial" w:hAnsi="Arial" w:cs="Arial"/>
          <w:sz w:val="24"/>
          <w:szCs w:val="24"/>
        </w:rPr>
        <w:t>la demanda al Consejo General</w:t>
      </w:r>
      <w:r w:rsidRPr="0037036B">
        <w:rPr>
          <w:rFonts w:ascii="Arial" w:hAnsi="Arial" w:cs="Arial"/>
          <w:sz w:val="24"/>
          <w:szCs w:val="24"/>
        </w:rPr>
        <w:t xml:space="preserve"> a fin de que resuelva conforme a Derecho. </w:t>
      </w:r>
    </w:p>
    <w:sdt>
      <w:sdtPr>
        <w:rPr>
          <w:rFonts w:ascii="Arial" w:eastAsia="Calibri" w:hAnsi="Arial" w:cs="Arial"/>
          <w:sz w:val="24"/>
          <w:szCs w:val="24"/>
          <w:lang w:val="es-ES"/>
        </w:rPr>
        <w:id w:val="-897588504"/>
        <w:docPartObj>
          <w:docPartGallery w:val="Table of Contents"/>
          <w:docPartUnique/>
        </w:docPartObj>
      </w:sdtPr>
      <w:sdtEndPr>
        <w:rPr>
          <w:rFonts w:eastAsia="Times New Roman"/>
          <w:b/>
          <w:bCs/>
          <w:lang w:eastAsia="es-ES"/>
        </w:rPr>
      </w:sdtEndPr>
      <w:sdtContent>
        <w:p w14:paraId="4902BD11" w14:textId="77777777" w:rsidR="00B30DA7" w:rsidRPr="00B30DA7" w:rsidRDefault="00B30DA7" w:rsidP="00B30DA7">
          <w:pPr>
            <w:keepNext/>
            <w:keepLines/>
            <w:ind w:right="532"/>
            <w:contextualSpacing/>
            <w:jc w:val="center"/>
            <w:rPr>
              <w:rFonts w:ascii="Arial" w:eastAsia="Calibri" w:hAnsi="Arial" w:cs="Arial"/>
              <w:sz w:val="24"/>
              <w:szCs w:val="24"/>
              <w:lang w:val="es-ES"/>
            </w:rPr>
          </w:pPr>
        </w:p>
        <w:p w14:paraId="091C171C" w14:textId="77777777" w:rsidR="00B30DA7" w:rsidRPr="00CC4728" w:rsidRDefault="00B30DA7" w:rsidP="00CC4728">
          <w:pPr>
            <w:keepNext/>
            <w:keepLines/>
            <w:ind w:left="709" w:right="190"/>
            <w:contextualSpacing/>
            <w:jc w:val="center"/>
            <w:rPr>
              <w:rFonts w:ascii="Arial" w:hAnsi="Arial" w:cs="Arial"/>
              <w:b/>
              <w:sz w:val="18"/>
              <w:szCs w:val="18"/>
              <w:lang w:eastAsia="es-MX"/>
            </w:rPr>
          </w:pPr>
          <w:r w:rsidRPr="00CC4728">
            <w:rPr>
              <w:rFonts w:ascii="Arial" w:hAnsi="Arial" w:cs="Arial"/>
              <w:b/>
              <w:sz w:val="18"/>
              <w:szCs w:val="18"/>
              <w:lang w:val="es-ES" w:eastAsia="es-MX"/>
            </w:rPr>
            <w:t>Índice</w:t>
          </w:r>
        </w:p>
        <w:p w14:paraId="0B8560BE" w14:textId="5747AA57" w:rsidR="006E07FD" w:rsidRDefault="00B30DA7" w:rsidP="006E07FD">
          <w:pPr>
            <w:pStyle w:val="TDC1"/>
            <w:ind w:left="709"/>
            <w:rPr>
              <w:rFonts w:asciiTheme="minorHAnsi" w:eastAsiaTheme="minorEastAsia" w:hAnsiTheme="minorHAnsi" w:cstheme="minorBidi"/>
              <w:b w:val="0"/>
              <w:bCs w:val="0"/>
              <w:sz w:val="22"/>
              <w:szCs w:val="22"/>
              <w:lang w:eastAsia="es-MX"/>
            </w:rPr>
          </w:pPr>
          <w:r w:rsidRPr="00CC4728">
            <w:rPr>
              <w:lang w:val="es-ES"/>
            </w:rPr>
            <w:fldChar w:fldCharType="begin"/>
          </w:r>
          <w:r w:rsidRPr="00CC4728">
            <w:rPr>
              <w:lang w:val="es-ES"/>
            </w:rPr>
            <w:instrText xml:space="preserve"> TOC \o "1-3" \h \z \u </w:instrText>
          </w:r>
          <w:r w:rsidRPr="00CC4728">
            <w:rPr>
              <w:lang w:val="es-ES"/>
            </w:rPr>
            <w:fldChar w:fldCharType="separate"/>
          </w:r>
          <w:hyperlink w:anchor="_Toc67049762" w:history="1">
            <w:r w:rsidR="006E07FD" w:rsidRPr="0015127D">
              <w:rPr>
                <w:rStyle w:val="Hipervnculo"/>
              </w:rPr>
              <w:t>Glosario</w:t>
            </w:r>
            <w:r w:rsidR="006E07FD">
              <w:rPr>
                <w:webHidden/>
              </w:rPr>
              <w:tab/>
            </w:r>
            <w:r w:rsidR="006E07FD">
              <w:rPr>
                <w:webHidden/>
              </w:rPr>
              <w:fldChar w:fldCharType="begin"/>
            </w:r>
            <w:r w:rsidR="006E07FD">
              <w:rPr>
                <w:webHidden/>
              </w:rPr>
              <w:instrText xml:space="preserve"> PAGEREF _Toc67049762 \h </w:instrText>
            </w:r>
            <w:r w:rsidR="006E07FD">
              <w:rPr>
                <w:webHidden/>
              </w:rPr>
            </w:r>
            <w:r w:rsidR="006E07FD">
              <w:rPr>
                <w:webHidden/>
              </w:rPr>
              <w:fldChar w:fldCharType="separate"/>
            </w:r>
            <w:r w:rsidR="00F239B0">
              <w:rPr>
                <w:webHidden/>
              </w:rPr>
              <w:t>1</w:t>
            </w:r>
            <w:r w:rsidR="006E07FD">
              <w:rPr>
                <w:webHidden/>
              </w:rPr>
              <w:fldChar w:fldCharType="end"/>
            </w:r>
          </w:hyperlink>
        </w:p>
        <w:p w14:paraId="16DCFFB0" w14:textId="529CF03B" w:rsidR="006E07FD" w:rsidRDefault="00C80CB5" w:rsidP="006E07FD">
          <w:pPr>
            <w:pStyle w:val="TDC1"/>
            <w:ind w:left="709"/>
            <w:rPr>
              <w:rFonts w:asciiTheme="minorHAnsi" w:eastAsiaTheme="minorEastAsia" w:hAnsiTheme="minorHAnsi" w:cstheme="minorBidi"/>
              <w:b w:val="0"/>
              <w:bCs w:val="0"/>
              <w:sz w:val="22"/>
              <w:szCs w:val="22"/>
              <w:lang w:eastAsia="es-MX"/>
            </w:rPr>
          </w:pPr>
          <w:hyperlink w:anchor="_Toc67049763" w:history="1">
            <w:r w:rsidR="006E07FD" w:rsidRPr="0015127D">
              <w:rPr>
                <w:rStyle w:val="Hipervnculo"/>
              </w:rPr>
              <w:t>Antecedentes del caso</w:t>
            </w:r>
            <w:r w:rsidR="006E07FD">
              <w:rPr>
                <w:webHidden/>
              </w:rPr>
              <w:tab/>
            </w:r>
            <w:r w:rsidR="006E07FD">
              <w:rPr>
                <w:webHidden/>
              </w:rPr>
              <w:fldChar w:fldCharType="begin"/>
            </w:r>
            <w:r w:rsidR="006E07FD">
              <w:rPr>
                <w:webHidden/>
              </w:rPr>
              <w:instrText xml:space="preserve"> PAGEREF _Toc67049763 \h </w:instrText>
            </w:r>
            <w:r w:rsidR="006E07FD">
              <w:rPr>
                <w:webHidden/>
              </w:rPr>
            </w:r>
            <w:r w:rsidR="006E07FD">
              <w:rPr>
                <w:webHidden/>
              </w:rPr>
              <w:fldChar w:fldCharType="separate"/>
            </w:r>
            <w:r w:rsidR="00F239B0">
              <w:rPr>
                <w:webHidden/>
              </w:rPr>
              <w:t>1</w:t>
            </w:r>
            <w:r w:rsidR="006E07FD">
              <w:rPr>
                <w:webHidden/>
              </w:rPr>
              <w:fldChar w:fldCharType="end"/>
            </w:r>
          </w:hyperlink>
        </w:p>
        <w:p w14:paraId="3749D24A" w14:textId="77BAA8AA" w:rsidR="006E07FD" w:rsidRDefault="00C80CB5" w:rsidP="004F11DA">
          <w:pPr>
            <w:pStyle w:val="TDC2"/>
            <w:spacing w:line="276" w:lineRule="auto"/>
            <w:ind w:left="709"/>
            <w:rPr>
              <w:rFonts w:asciiTheme="minorHAnsi" w:eastAsiaTheme="minorEastAsia" w:hAnsiTheme="minorHAnsi" w:cstheme="minorBidi"/>
              <w:b w:val="0"/>
              <w:bCs w:val="0"/>
              <w:sz w:val="22"/>
              <w:szCs w:val="22"/>
              <w:lang w:val="es-MX" w:eastAsia="es-MX"/>
            </w:rPr>
          </w:pPr>
          <w:hyperlink w:anchor="_Toc67049764" w:history="1">
            <w:r w:rsidR="006E07FD" w:rsidRPr="0015127D">
              <w:rPr>
                <w:rStyle w:val="Hipervnculo"/>
              </w:rPr>
              <w:t>Apartado I. Decisión</w:t>
            </w:r>
            <w:r w:rsidR="006E07FD">
              <w:rPr>
                <w:webHidden/>
              </w:rPr>
              <w:tab/>
            </w:r>
            <w:r w:rsidR="006E07FD">
              <w:rPr>
                <w:webHidden/>
              </w:rPr>
              <w:fldChar w:fldCharType="begin"/>
            </w:r>
            <w:r w:rsidR="006E07FD">
              <w:rPr>
                <w:webHidden/>
              </w:rPr>
              <w:instrText xml:space="preserve"> PAGEREF _Toc67049764 \h </w:instrText>
            </w:r>
            <w:r w:rsidR="006E07FD">
              <w:rPr>
                <w:webHidden/>
              </w:rPr>
            </w:r>
            <w:r w:rsidR="006E07FD">
              <w:rPr>
                <w:webHidden/>
              </w:rPr>
              <w:fldChar w:fldCharType="separate"/>
            </w:r>
            <w:r w:rsidR="00F239B0">
              <w:rPr>
                <w:webHidden/>
              </w:rPr>
              <w:t>2</w:t>
            </w:r>
            <w:r w:rsidR="006E07FD">
              <w:rPr>
                <w:webHidden/>
              </w:rPr>
              <w:fldChar w:fldCharType="end"/>
            </w:r>
          </w:hyperlink>
        </w:p>
        <w:p w14:paraId="26152213" w14:textId="53282999" w:rsidR="006E07FD" w:rsidRDefault="00C80CB5" w:rsidP="004F11DA">
          <w:pPr>
            <w:pStyle w:val="TDC2"/>
            <w:spacing w:line="276" w:lineRule="auto"/>
            <w:ind w:left="709"/>
            <w:rPr>
              <w:rFonts w:asciiTheme="minorHAnsi" w:eastAsiaTheme="minorEastAsia" w:hAnsiTheme="minorHAnsi" w:cstheme="minorBidi"/>
              <w:b w:val="0"/>
              <w:bCs w:val="0"/>
              <w:sz w:val="22"/>
              <w:szCs w:val="22"/>
              <w:lang w:val="es-MX" w:eastAsia="es-MX"/>
            </w:rPr>
          </w:pPr>
          <w:hyperlink w:anchor="_Toc67049765" w:history="1">
            <w:r w:rsidR="006E07FD" w:rsidRPr="0015127D">
              <w:rPr>
                <w:rStyle w:val="Hipervnculo"/>
              </w:rPr>
              <w:t>Apartado II. Justificación de la decisión de reencauzamiento</w:t>
            </w:r>
            <w:r w:rsidR="006E07FD">
              <w:rPr>
                <w:webHidden/>
              </w:rPr>
              <w:tab/>
            </w:r>
            <w:r w:rsidR="006E07FD">
              <w:rPr>
                <w:webHidden/>
              </w:rPr>
              <w:fldChar w:fldCharType="begin"/>
            </w:r>
            <w:r w:rsidR="006E07FD">
              <w:rPr>
                <w:webHidden/>
              </w:rPr>
              <w:instrText xml:space="preserve"> PAGEREF _Toc67049765 \h </w:instrText>
            </w:r>
            <w:r w:rsidR="006E07FD">
              <w:rPr>
                <w:webHidden/>
              </w:rPr>
            </w:r>
            <w:r w:rsidR="006E07FD">
              <w:rPr>
                <w:webHidden/>
              </w:rPr>
              <w:fldChar w:fldCharType="separate"/>
            </w:r>
            <w:r w:rsidR="00F239B0">
              <w:rPr>
                <w:webHidden/>
              </w:rPr>
              <w:t>2</w:t>
            </w:r>
            <w:r w:rsidR="006E07FD">
              <w:rPr>
                <w:webHidden/>
              </w:rPr>
              <w:fldChar w:fldCharType="end"/>
            </w:r>
          </w:hyperlink>
        </w:p>
        <w:p w14:paraId="13C8E76E" w14:textId="5241F110" w:rsidR="006E07FD" w:rsidRPr="006E07FD" w:rsidRDefault="00C80CB5" w:rsidP="004F11DA">
          <w:pPr>
            <w:pStyle w:val="TDC3"/>
            <w:spacing w:line="240" w:lineRule="auto"/>
            <w:rPr>
              <w:rFonts w:asciiTheme="minorHAnsi" w:eastAsiaTheme="minorEastAsia" w:hAnsiTheme="minorHAnsi" w:cstheme="minorBidi"/>
              <w:b w:val="0"/>
              <w:bCs w:val="0"/>
              <w:sz w:val="22"/>
              <w:szCs w:val="22"/>
              <w:lang w:eastAsia="es-MX"/>
            </w:rPr>
          </w:pPr>
          <w:hyperlink w:anchor="_Toc67049766" w:history="1">
            <w:r w:rsidR="006E07FD" w:rsidRPr="006E07FD">
              <w:rPr>
                <w:rStyle w:val="Hipervnculo"/>
                <w:b w:val="0"/>
                <w:bCs w:val="0"/>
              </w:rPr>
              <w:t>1. Marco jurídico sobre el deber de agotar las instancias previas (principio de definitividad)</w:t>
            </w:r>
            <w:r w:rsidR="006E07FD">
              <w:rPr>
                <w:b w:val="0"/>
                <w:bCs w:val="0"/>
                <w:webHidden/>
              </w:rPr>
              <w:t>………</w:t>
            </w:r>
            <w:r w:rsidR="006E07FD" w:rsidRPr="006E07FD">
              <w:rPr>
                <w:b w:val="0"/>
                <w:bCs w:val="0"/>
                <w:webHidden/>
              </w:rPr>
              <w:fldChar w:fldCharType="begin"/>
            </w:r>
            <w:r w:rsidR="006E07FD" w:rsidRPr="006E07FD">
              <w:rPr>
                <w:b w:val="0"/>
                <w:bCs w:val="0"/>
                <w:webHidden/>
              </w:rPr>
              <w:instrText xml:space="preserve"> PAGEREF _Toc67049766 \h </w:instrText>
            </w:r>
            <w:r w:rsidR="006E07FD" w:rsidRPr="006E07FD">
              <w:rPr>
                <w:b w:val="0"/>
                <w:bCs w:val="0"/>
                <w:webHidden/>
              </w:rPr>
            </w:r>
            <w:r w:rsidR="006E07FD" w:rsidRPr="006E07FD">
              <w:rPr>
                <w:b w:val="0"/>
                <w:bCs w:val="0"/>
                <w:webHidden/>
              </w:rPr>
              <w:fldChar w:fldCharType="separate"/>
            </w:r>
            <w:r w:rsidR="00F239B0">
              <w:rPr>
                <w:b w:val="0"/>
                <w:bCs w:val="0"/>
                <w:webHidden/>
              </w:rPr>
              <w:t>2</w:t>
            </w:r>
            <w:r w:rsidR="006E07FD" w:rsidRPr="006E07FD">
              <w:rPr>
                <w:b w:val="0"/>
                <w:bCs w:val="0"/>
                <w:webHidden/>
              </w:rPr>
              <w:fldChar w:fldCharType="end"/>
            </w:r>
          </w:hyperlink>
        </w:p>
        <w:p w14:paraId="1D63271A" w14:textId="4A072E72" w:rsidR="006E07FD" w:rsidRPr="006E07FD" w:rsidRDefault="00C80CB5" w:rsidP="004F11DA">
          <w:pPr>
            <w:pStyle w:val="TDC3"/>
            <w:spacing w:line="240" w:lineRule="auto"/>
            <w:rPr>
              <w:rFonts w:asciiTheme="minorHAnsi" w:eastAsiaTheme="minorEastAsia" w:hAnsiTheme="minorHAnsi" w:cstheme="minorBidi"/>
              <w:b w:val="0"/>
              <w:bCs w:val="0"/>
              <w:sz w:val="22"/>
              <w:szCs w:val="22"/>
              <w:lang w:eastAsia="es-MX"/>
            </w:rPr>
          </w:pPr>
          <w:hyperlink w:anchor="_Toc67049767" w:history="1">
            <w:r w:rsidR="006E07FD" w:rsidRPr="006E07FD">
              <w:rPr>
                <w:rStyle w:val="Hipervnculo"/>
                <w:b w:val="0"/>
                <w:bCs w:val="0"/>
              </w:rPr>
              <w:t>2. Caso concreto</w:t>
            </w:r>
            <w:r w:rsidR="006E07FD">
              <w:rPr>
                <w:b w:val="0"/>
                <w:bCs w:val="0"/>
                <w:webHidden/>
              </w:rPr>
              <w:t>…………………………………………………………………………………………….</w:t>
            </w:r>
            <w:r w:rsidR="006E07FD" w:rsidRPr="006E07FD">
              <w:rPr>
                <w:b w:val="0"/>
                <w:bCs w:val="0"/>
                <w:webHidden/>
              </w:rPr>
              <w:fldChar w:fldCharType="begin"/>
            </w:r>
            <w:r w:rsidR="006E07FD" w:rsidRPr="006E07FD">
              <w:rPr>
                <w:b w:val="0"/>
                <w:bCs w:val="0"/>
                <w:webHidden/>
              </w:rPr>
              <w:instrText xml:space="preserve"> PAGEREF _Toc67049767 \h </w:instrText>
            </w:r>
            <w:r w:rsidR="006E07FD" w:rsidRPr="006E07FD">
              <w:rPr>
                <w:b w:val="0"/>
                <w:bCs w:val="0"/>
                <w:webHidden/>
              </w:rPr>
            </w:r>
            <w:r w:rsidR="006E07FD" w:rsidRPr="006E07FD">
              <w:rPr>
                <w:b w:val="0"/>
                <w:bCs w:val="0"/>
                <w:webHidden/>
              </w:rPr>
              <w:fldChar w:fldCharType="separate"/>
            </w:r>
            <w:r w:rsidR="00F239B0">
              <w:rPr>
                <w:b w:val="0"/>
                <w:bCs w:val="0"/>
                <w:webHidden/>
              </w:rPr>
              <w:t>3</w:t>
            </w:r>
            <w:r w:rsidR="006E07FD" w:rsidRPr="006E07FD">
              <w:rPr>
                <w:b w:val="0"/>
                <w:bCs w:val="0"/>
                <w:webHidden/>
              </w:rPr>
              <w:fldChar w:fldCharType="end"/>
            </w:r>
          </w:hyperlink>
        </w:p>
        <w:p w14:paraId="7FDFD680" w14:textId="27FD7E46" w:rsidR="006E07FD" w:rsidRDefault="00C80CB5" w:rsidP="004F11DA">
          <w:pPr>
            <w:pStyle w:val="TDC3"/>
            <w:spacing w:line="240" w:lineRule="auto"/>
            <w:rPr>
              <w:rFonts w:asciiTheme="minorHAnsi" w:eastAsiaTheme="minorEastAsia" w:hAnsiTheme="minorHAnsi" w:cstheme="minorBidi"/>
              <w:b w:val="0"/>
              <w:bCs w:val="0"/>
              <w:sz w:val="22"/>
              <w:szCs w:val="22"/>
              <w:lang w:eastAsia="es-MX"/>
            </w:rPr>
          </w:pPr>
          <w:hyperlink w:anchor="_Toc67049768" w:history="1">
            <w:r w:rsidR="006E07FD" w:rsidRPr="006E07FD">
              <w:rPr>
                <w:rStyle w:val="Hipervnculo"/>
                <w:b w:val="0"/>
                <w:bCs w:val="0"/>
              </w:rPr>
              <w:t>3. Valoración</w:t>
            </w:r>
            <w:r w:rsidR="006E07FD">
              <w:rPr>
                <w:b w:val="0"/>
                <w:bCs w:val="0"/>
                <w:webHidden/>
              </w:rPr>
              <w:t>…………………………………………………………………………………………………</w:t>
            </w:r>
            <w:r w:rsidR="006E07FD" w:rsidRPr="006E07FD">
              <w:rPr>
                <w:b w:val="0"/>
                <w:bCs w:val="0"/>
                <w:webHidden/>
              </w:rPr>
              <w:fldChar w:fldCharType="begin"/>
            </w:r>
            <w:r w:rsidR="006E07FD" w:rsidRPr="006E07FD">
              <w:rPr>
                <w:b w:val="0"/>
                <w:bCs w:val="0"/>
                <w:webHidden/>
              </w:rPr>
              <w:instrText xml:space="preserve"> PAGEREF _Toc67049768 \h </w:instrText>
            </w:r>
            <w:r w:rsidR="006E07FD" w:rsidRPr="006E07FD">
              <w:rPr>
                <w:b w:val="0"/>
                <w:bCs w:val="0"/>
                <w:webHidden/>
              </w:rPr>
            </w:r>
            <w:r w:rsidR="006E07FD" w:rsidRPr="006E07FD">
              <w:rPr>
                <w:b w:val="0"/>
                <w:bCs w:val="0"/>
                <w:webHidden/>
              </w:rPr>
              <w:fldChar w:fldCharType="separate"/>
            </w:r>
            <w:r w:rsidR="00F239B0">
              <w:rPr>
                <w:b w:val="0"/>
                <w:bCs w:val="0"/>
                <w:webHidden/>
              </w:rPr>
              <w:t>4</w:t>
            </w:r>
            <w:r w:rsidR="006E07FD" w:rsidRPr="006E07FD">
              <w:rPr>
                <w:b w:val="0"/>
                <w:bCs w:val="0"/>
                <w:webHidden/>
              </w:rPr>
              <w:fldChar w:fldCharType="end"/>
            </w:r>
          </w:hyperlink>
        </w:p>
        <w:p w14:paraId="4934E655" w14:textId="7605A332" w:rsidR="006E07FD" w:rsidRDefault="00C80CB5" w:rsidP="006E07FD">
          <w:pPr>
            <w:pStyle w:val="TDC1"/>
            <w:ind w:left="709"/>
            <w:rPr>
              <w:rFonts w:asciiTheme="minorHAnsi" w:eastAsiaTheme="minorEastAsia" w:hAnsiTheme="minorHAnsi" w:cstheme="minorBidi"/>
              <w:b w:val="0"/>
              <w:bCs w:val="0"/>
              <w:sz w:val="22"/>
              <w:szCs w:val="22"/>
              <w:lang w:eastAsia="es-MX"/>
            </w:rPr>
          </w:pPr>
          <w:hyperlink w:anchor="_Toc67049769" w:history="1">
            <w:r w:rsidR="006E07FD" w:rsidRPr="0015127D">
              <w:rPr>
                <w:rStyle w:val="Hipervnculo"/>
              </w:rPr>
              <w:t>Acuerda</w:t>
            </w:r>
            <w:r w:rsidR="006E07FD">
              <w:rPr>
                <w:webHidden/>
              </w:rPr>
              <w:tab/>
            </w:r>
            <w:r w:rsidR="006E07FD">
              <w:rPr>
                <w:webHidden/>
              </w:rPr>
              <w:fldChar w:fldCharType="begin"/>
            </w:r>
            <w:r w:rsidR="006E07FD">
              <w:rPr>
                <w:webHidden/>
              </w:rPr>
              <w:instrText xml:space="preserve"> PAGEREF _Toc67049769 \h </w:instrText>
            </w:r>
            <w:r w:rsidR="006E07FD">
              <w:rPr>
                <w:webHidden/>
              </w:rPr>
            </w:r>
            <w:r w:rsidR="006E07FD">
              <w:rPr>
                <w:webHidden/>
              </w:rPr>
              <w:fldChar w:fldCharType="separate"/>
            </w:r>
            <w:r w:rsidR="00F239B0">
              <w:rPr>
                <w:webHidden/>
              </w:rPr>
              <w:t>5</w:t>
            </w:r>
            <w:r w:rsidR="006E07FD">
              <w:rPr>
                <w:webHidden/>
              </w:rPr>
              <w:fldChar w:fldCharType="end"/>
            </w:r>
          </w:hyperlink>
        </w:p>
        <w:p w14:paraId="3A83F741" w14:textId="0D753235" w:rsidR="00B30DA7" w:rsidRPr="00EE24FF" w:rsidRDefault="00B30DA7" w:rsidP="00EE24FF">
          <w:pPr>
            <w:tabs>
              <w:tab w:val="right" w:leader="dot" w:pos="8222"/>
              <w:tab w:val="right" w:leader="dot" w:pos="8329"/>
            </w:tabs>
            <w:ind w:right="190"/>
            <w:contextualSpacing/>
            <w:rPr>
              <w:rFonts w:ascii="Arial" w:hAnsi="Arial" w:cs="Arial"/>
              <w:b/>
              <w:bCs/>
              <w:sz w:val="24"/>
              <w:szCs w:val="24"/>
              <w:lang w:val="es-ES" w:eastAsia="es-ES"/>
            </w:rPr>
          </w:pPr>
          <w:r w:rsidRPr="00CC4728">
            <w:rPr>
              <w:rFonts w:ascii="Arial" w:hAnsi="Arial" w:cs="Arial"/>
              <w:noProof/>
              <w:sz w:val="18"/>
              <w:szCs w:val="18"/>
              <w:lang w:val="es-ES" w:eastAsia="es-ES"/>
            </w:rPr>
            <w:fldChar w:fldCharType="end"/>
          </w:r>
        </w:p>
      </w:sdtContent>
    </w:sdt>
    <w:p w14:paraId="73B141F7" w14:textId="77777777" w:rsidR="00B30DA7" w:rsidRPr="00B30DA7" w:rsidRDefault="00B30DA7" w:rsidP="00B30DA7">
      <w:pPr>
        <w:pStyle w:val="Ttulo1"/>
        <w:tabs>
          <w:tab w:val="left" w:pos="284"/>
          <w:tab w:val="left" w:pos="9214"/>
        </w:tabs>
        <w:spacing w:after="0" w:afterAutospacing="0" w:line="240" w:lineRule="auto"/>
        <w:ind w:right="49"/>
        <w:jc w:val="center"/>
        <w:rPr>
          <w:rFonts w:cs="Arial"/>
          <w:caps w:val="0"/>
          <w:sz w:val="18"/>
          <w:szCs w:val="18"/>
        </w:rPr>
      </w:pPr>
      <w:bookmarkStart w:id="2" w:name="_Toc39151162"/>
      <w:bookmarkStart w:id="3" w:name="_Toc39231227"/>
      <w:bookmarkStart w:id="4" w:name="_Toc67049762"/>
      <w:r w:rsidRPr="00B30DA7">
        <w:rPr>
          <w:rFonts w:cs="Arial"/>
          <w:caps w:val="0"/>
          <w:sz w:val="18"/>
          <w:szCs w:val="18"/>
        </w:rPr>
        <w:t>Glosario</w:t>
      </w:r>
      <w:bookmarkEnd w:id="2"/>
      <w:bookmarkEnd w:id="3"/>
      <w:bookmarkEnd w:id="4"/>
    </w:p>
    <w:p w14:paraId="723C9A43" w14:textId="77777777" w:rsidR="00B30DA7" w:rsidRPr="00B30DA7" w:rsidRDefault="00B30DA7" w:rsidP="00B30DA7">
      <w:pPr>
        <w:tabs>
          <w:tab w:val="left" w:pos="284"/>
          <w:tab w:val="left" w:pos="9214"/>
        </w:tabs>
        <w:ind w:right="49"/>
        <w:rPr>
          <w:rFonts w:ascii="Arial" w:hAnsi="Arial" w:cs="Arial"/>
          <w:sz w:val="18"/>
          <w:szCs w:val="18"/>
        </w:rPr>
      </w:pPr>
    </w:p>
    <w:tbl>
      <w:tblPr>
        <w:tblW w:w="7513" w:type="dxa"/>
        <w:jc w:val="center"/>
        <w:tblLook w:val="01E0" w:firstRow="1" w:lastRow="1" w:firstColumn="1" w:lastColumn="1" w:noHBand="0" w:noVBand="0"/>
      </w:tblPr>
      <w:tblGrid>
        <w:gridCol w:w="2573"/>
        <w:gridCol w:w="4940"/>
      </w:tblGrid>
      <w:tr w:rsidR="00B30DA7" w:rsidRPr="00B30DA7" w14:paraId="7F1BE9DF" w14:textId="77777777" w:rsidTr="00B30DA7">
        <w:trPr>
          <w:trHeight w:val="66"/>
          <w:jc w:val="center"/>
        </w:trPr>
        <w:tc>
          <w:tcPr>
            <w:tcW w:w="2573" w:type="dxa"/>
          </w:tcPr>
          <w:p w14:paraId="19F6EE29" w14:textId="19FE1F7B" w:rsidR="00B30DA7" w:rsidRPr="00B30DA7" w:rsidRDefault="00B30DA7" w:rsidP="00B30DA7">
            <w:pPr>
              <w:tabs>
                <w:tab w:val="left" w:pos="284"/>
                <w:tab w:val="left" w:pos="9214"/>
              </w:tabs>
              <w:ind w:right="49"/>
              <w:jc w:val="both"/>
              <w:rPr>
                <w:rFonts w:ascii="Arial" w:hAnsi="Arial" w:cs="Arial"/>
                <w:b/>
                <w:bCs/>
                <w:sz w:val="18"/>
                <w:szCs w:val="18"/>
                <w:lang w:eastAsia="es-MX"/>
              </w:rPr>
            </w:pPr>
            <w:r>
              <w:rPr>
                <w:rFonts w:ascii="Arial" w:hAnsi="Arial" w:cs="Arial"/>
                <w:b/>
                <w:bCs/>
                <w:sz w:val="18"/>
                <w:szCs w:val="18"/>
                <w:lang w:eastAsia="es-MX"/>
              </w:rPr>
              <w:t>Promovente:</w:t>
            </w:r>
          </w:p>
        </w:tc>
        <w:tc>
          <w:tcPr>
            <w:tcW w:w="4940" w:type="dxa"/>
          </w:tcPr>
          <w:p w14:paraId="311B4B13" w14:textId="7E89C5CC" w:rsidR="00B30DA7" w:rsidRPr="00B30DA7" w:rsidRDefault="00494F3B" w:rsidP="00B30DA7">
            <w:pPr>
              <w:tabs>
                <w:tab w:val="left" w:pos="284"/>
                <w:tab w:val="left" w:pos="9214"/>
              </w:tabs>
              <w:ind w:right="49"/>
              <w:jc w:val="both"/>
              <w:rPr>
                <w:rFonts w:ascii="Arial" w:hAnsi="Arial" w:cs="Arial"/>
                <w:bCs/>
                <w:sz w:val="18"/>
                <w:szCs w:val="18"/>
                <w:lang w:eastAsia="es-MX"/>
              </w:rPr>
            </w:pPr>
            <w:r>
              <w:rPr>
                <w:rFonts w:ascii="Arial" w:hAnsi="Arial" w:cs="Arial"/>
                <w:bCs/>
                <w:sz w:val="18"/>
                <w:szCs w:val="18"/>
                <w:lang w:eastAsia="es-MX"/>
              </w:rPr>
              <w:t>Aurora V</w:t>
            </w:r>
            <w:r w:rsidR="007518E0">
              <w:rPr>
                <w:rFonts w:ascii="Arial" w:hAnsi="Arial" w:cs="Arial"/>
                <w:bCs/>
                <w:sz w:val="18"/>
                <w:szCs w:val="18"/>
                <w:lang w:eastAsia="es-MX"/>
              </w:rPr>
              <w:t>a</w:t>
            </w:r>
            <w:r>
              <w:rPr>
                <w:rFonts w:ascii="Arial" w:hAnsi="Arial" w:cs="Arial"/>
                <w:bCs/>
                <w:sz w:val="18"/>
                <w:szCs w:val="18"/>
                <w:lang w:eastAsia="es-MX"/>
              </w:rPr>
              <w:t>negas Martínez.</w:t>
            </w:r>
          </w:p>
        </w:tc>
      </w:tr>
      <w:tr w:rsidR="00B30DA7" w:rsidRPr="00B30DA7" w14:paraId="53B1994D" w14:textId="77777777" w:rsidTr="00B30DA7">
        <w:trPr>
          <w:trHeight w:val="66"/>
          <w:jc w:val="center"/>
        </w:trPr>
        <w:tc>
          <w:tcPr>
            <w:tcW w:w="2573" w:type="dxa"/>
          </w:tcPr>
          <w:p w14:paraId="70652540" w14:textId="596673DC" w:rsidR="00B30DA7" w:rsidRDefault="00B30DA7" w:rsidP="00B30DA7">
            <w:pPr>
              <w:tabs>
                <w:tab w:val="left" w:pos="284"/>
                <w:tab w:val="left" w:pos="9214"/>
              </w:tabs>
              <w:ind w:right="49"/>
              <w:jc w:val="both"/>
              <w:rPr>
                <w:rFonts w:ascii="Arial" w:hAnsi="Arial" w:cs="Arial"/>
                <w:b/>
                <w:bCs/>
                <w:sz w:val="18"/>
                <w:szCs w:val="18"/>
                <w:lang w:eastAsia="es-MX"/>
              </w:rPr>
            </w:pPr>
            <w:r>
              <w:rPr>
                <w:rFonts w:ascii="Arial" w:hAnsi="Arial" w:cs="Arial"/>
                <w:b/>
                <w:bCs/>
                <w:sz w:val="18"/>
                <w:szCs w:val="18"/>
                <w:lang w:eastAsia="es-MX"/>
              </w:rPr>
              <w:t>Tribunal:</w:t>
            </w:r>
          </w:p>
        </w:tc>
        <w:tc>
          <w:tcPr>
            <w:tcW w:w="4940" w:type="dxa"/>
          </w:tcPr>
          <w:p w14:paraId="735309F3" w14:textId="589BF233" w:rsidR="00B30DA7" w:rsidRDefault="00B30DA7" w:rsidP="00B30DA7">
            <w:pPr>
              <w:tabs>
                <w:tab w:val="left" w:pos="284"/>
                <w:tab w:val="left" w:pos="9214"/>
              </w:tabs>
              <w:ind w:right="49"/>
              <w:jc w:val="both"/>
              <w:rPr>
                <w:rFonts w:ascii="Arial" w:hAnsi="Arial" w:cs="Arial"/>
                <w:bCs/>
                <w:sz w:val="18"/>
                <w:szCs w:val="18"/>
                <w:lang w:eastAsia="es-MX"/>
              </w:rPr>
            </w:pPr>
            <w:r>
              <w:rPr>
                <w:rFonts w:ascii="Arial" w:hAnsi="Arial" w:cs="Arial"/>
                <w:bCs/>
                <w:sz w:val="18"/>
                <w:szCs w:val="18"/>
                <w:lang w:eastAsia="es-MX"/>
              </w:rPr>
              <w:t>Tribunal Electoral del Estado de Aguascalientes.</w:t>
            </w:r>
          </w:p>
        </w:tc>
      </w:tr>
      <w:tr w:rsidR="00B30DA7" w:rsidRPr="00B30DA7" w14:paraId="66F3BD9B" w14:textId="77777777" w:rsidTr="00B30DA7">
        <w:trPr>
          <w:trHeight w:val="140"/>
          <w:jc w:val="center"/>
        </w:trPr>
        <w:tc>
          <w:tcPr>
            <w:tcW w:w="2573" w:type="dxa"/>
          </w:tcPr>
          <w:p w14:paraId="396DD158" w14:textId="77777777" w:rsidR="00B30DA7" w:rsidRPr="00B30DA7" w:rsidRDefault="00B30DA7" w:rsidP="00B30DA7">
            <w:pPr>
              <w:tabs>
                <w:tab w:val="left" w:pos="284"/>
                <w:tab w:val="left" w:pos="9214"/>
              </w:tabs>
              <w:ind w:right="49"/>
              <w:jc w:val="both"/>
              <w:rPr>
                <w:rFonts w:ascii="Arial" w:hAnsi="Arial" w:cs="Arial"/>
                <w:b/>
                <w:bCs/>
                <w:sz w:val="18"/>
                <w:szCs w:val="18"/>
                <w:lang w:eastAsia="es-MX"/>
              </w:rPr>
            </w:pPr>
            <w:r w:rsidRPr="00B30DA7">
              <w:rPr>
                <w:rFonts w:ascii="Arial" w:hAnsi="Arial" w:cs="Arial"/>
                <w:b/>
                <w:bCs/>
                <w:sz w:val="18"/>
                <w:szCs w:val="18"/>
                <w:lang w:eastAsia="es-MX"/>
              </w:rPr>
              <w:t>Constitución General:</w:t>
            </w:r>
          </w:p>
        </w:tc>
        <w:tc>
          <w:tcPr>
            <w:tcW w:w="4940" w:type="dxa"/>
          </w:tcPr>
          <w:p w14:paraId="4504DF35" w14:textId="77777777" w:rsidR="00B30DA7" w:rsidRPr="00B30DA7" w:rsidRDefault="00B30DA7" w:rsidP="00B30DA7">
            <w:pPr>
              <w:tabs>
                <w:tab w:val="left" w:pos="284"/>
                <w:tab w:val="left" w:pos="9214"/>
              </w:tabs>
              <w:ind w:right="49"/>
              <w:jc w:val="both"/>
              <w:rPr>
                <w:rFonts w:ascii="Arial" w:hAnsi="Arial" w:cs="Arial"/>
                <w:bCs/>
                <w:sz w:val="18"/>
                <w:szCs w:val="18"/>
                <w:lang w:eastAsia="es-MX"/>
              </w:rPr>
            </w:pPr>
            <w:r w:rsidRPr="00B30DA7">
              <w:rPr>
                <w:rFonts w:ascii="Arial" w:hAnsi="Arial" w:cs="Arial"/>
                <w:bCs/>
                <w:sz w:val="18"/>
                <w:szCs w:val="18"/>
                <w:lang w:eastAsia="es-MX"/>
              </w:rPr>
              <w:t>Constitución Política de los Estados Unidos Mexicanos.</w:t>
            </w:r>
          </w:p>
        </w:tc>
      </w:tr>
      <w:tr w:rsidR="00B30DA7" w:rsidRPr="00B30DA7" w14:paraId="7A261575" w14:textId="77777777" w:rsidTr="00B30DA7">
        <w:trPr>
          <w:trHeight w:val="87"/>
          <w:jc w:val="center"/>
        </w:trPr>
        <w:tc>
          <w:tcPr>
            <w:tcW w:w="2573" w:type="dxa"/>
          </w:tcPr>
          <w:p w14:paraId="2FBDDCD8" w14:textId="2AA0D78A" w:rsidR="004C58BA" w:rsidRPr="00B30DA7" w:rsidRDefault="00B30DA7" w:rsidP="00B30DA7">
            <w:pPr>
              <w:tabs>
                <w:tab w:val="left" w:pos="284"/>
                <w:tab w:val="left" w:pos="9214"/>
              </w:tabs>
              <w:ind w:right="49"/>
              <w:jc w:val="both"/>
              <w:rPr>
                <w:rFonts w:ascii="Arial" w:hAnsi="Arial" w:cs="Arial"/>
                <w:b/>
                <w:bCs/>
                <w:sz w:val="18"/>
                <w:szCs w:val="18"/>
                <w:lang w:eastAsia="es-MX"/>
              </w:rPr>
            </w:pPr>
            <w:bookmarkStart w:id="5" w:name="_Hlk50053273"/>
            <w:r w:rsidRPr="00B30DA7">
              <w:rPr>
                <w:rFonts w:ascii="Arial" w:hAnsi="Arial" w:cs="Arial"/>
                <w:b/>
                <w:bCs/>
                <w:sz w:val="18"/>
                <w:szCs w:val="18"/>
                <w:lang w:eastAsia="es-MX"/>
              </w:rPr>
              <w:t>Ley de Medios:</w:t>
            </w:r>
          </w:p>
        </w:tc>
        <w:tc>
          <w:tcPr>
            <w:tcW w:w="4940" w:type="dxa"/>
          </w:tcPr>
          <w:p w14:paraId="21CE15C6" w14:textId="77777777" w:rsidR="00B30DA7" w:rsidRPr="00B30DA7" w:rsidRDefault="00B30DA7" w:rsidP="00B30DA7">
            <w:pPr>
              <w:tabs>
                <w:tab w:val="left" w:pos="284"/>
                <w:tab w:val="left" w:pos="9214"/>
              </w:tabs>
              <w:ind w:right="49"/>
              <w:jc w:val="both"/>
              <w:rPr>
                <w:rFonts w:ascii="Arial" w:hAnsi="Arial" w:cs="Arial"/>
                <w:bCs/>
                <w:sz w:val="18"/>
                <w:szCs w:val="18"/>
                <w:lang w:eastAsia="es-MX"/>
              </w:rPr>
            </w:pPr>
            <w:r w:rsidRPr="00B30DA7">
              <w:rPr>
                <w:rFonts w:ascii="Arial" w:hAnsi="Arial" w:cs="Arial"/>
                <w:bCs/>
                <w:sz w:val="18"/>
                <w:szCs w:val="18"/>
                <w:lang w:eastAsia="es-MX"/>
              </w:rPr>
              <w:t>Ley General del Sistema de Medios de Impugnación en Materia Electoral.</w:t>
            </w:r>
          </w:p>
        </w:tc>
      </w:tr>
      <w:tr w:rsidR="00B30DA7" w:rsidRPr="00B30DA7" w14:paraId="22D6F36E" w14:textId="77777777" w:rsidTr="00B30DA7">
        <w:trPr>
          <w:trHeight w:val="140"/>
          <w:jc w:val="center"/>
        </w:trPr>
        <w:tc>
          <w:tcPr>
            <w:tcW w:w="2573" w:type="dxa"/>
          </w:tcPr>
          <w:p w14:paraId="7B873C0D" w14:textId="77777777" w:rsidR="00B30DA7" w:rsidRDefault="00B30DA7" w:rsidP="00B30DA7">
            <w:pPr>
              <w:tabs>
                <w:tab w:val="left" w:pos="284"/>
                <w:tab w:val="left" w:pos="9214"/>
              </w:tabs>
              <w:ind w:right="49"/>
              <w:jc w:val="both"/>
              <w:rPr>
                <w:rFonts w:ascii="Arial" w:hAnsi="Arial" w:cs="Arial"/>
                <w:b/>
                <w:bCs/>
                <w:sz w:val="18"/>
                <w:szCs w:val="18"/>
                <w:lang w:eastAsia="es-MX"/>
              </w:rPr>
            </w:pPr>
            <w:r>
              <w:rPr>
                <w:rFonts w:ascii="Arial" w:hAnsi="Arial" w:cs="Arial"/>
                <w:b/>
                <w:bCs/>
                <w:sz w:val="18"/>
                <w:szCs w:val="18"/>
                <w:lang w:eastAsia="es-MX"/>
              </w:rPr>
              <w:t>Código Electoral:</w:t>
            </w:r>
          </w:p>
          <w:p w14:paraId="538B368A" w14:textId="77777777" w:rsidR="004C58BA" w:rsidRDefault="004C58BA" w:rsidP="00B30DA7">
            <w:pPr>
              <w:tabs>
                <w:tab w:val="left" w:pos="284"/>
                <w:tab w:val="left" w:pos="9214"/>
              </w:tabs>
              <w:ind w:right="49"/>
              <w:jc w:val="both"/>
              <w:rPr>
                <w:rFonts w:ascii="Arial" w:hAnsi="Arial" w:cs="Arial"/>
                <w:b/>
                <w:bCs/>
                <w:sz w:val="18"/>
                <w:szCs w:val="18"/>
                <w:lang w:eastAsia="es-MX"/>
              </w:rPr>
            </w:pPr>
            <w:r>
              <w:rPr>
                <w:rFonts w:ascii="Arial" w:hAnsi="Arial" w:cs="Arial"/>
                <w:b/>
                <w:bCs/>
                <w:sz w:val="18"/>
                <w:szCs w:val="18"/>
                <w:lang w:eastAsia="es-MX"/>
              </w:rPr>
              <w:t>Consejo General:</w:t>
            </w:r>
          </w:p>
          <w:p w14:paraId="3D8B7D63" w14:textId="72FDF069" w:rsidR="00921DD3" w:rsidRPr="00B30DA7" w:rsidRDefault="00F239B0" w:rsidP="00B30DA7">
            <w:pPr>
              <w:tabs>
                <w:tab w:val="left" w:pos="284"/>
                <w:tab w:val="left" w:pos="9214"/>
              </w:tabs>
              <w:ind w:right="49"/>
              <w:jc w:val="both"/>
              <w:rPr>
                <w:rFonts w:ascii="Arial" w:hAnsi="Arial" w:cs="Arial"/>
                <w:b/>
                <w:bCs/>
                <w:sz w:val="18"/>
                <w:szCs w:val="18"/>
                <w:lang w:eastAsia="es-MX"/>
              </w:rPr>
            </w:pPr>
            <w:r>
              <w:rPr>
                <w:rFonts w:ascii="Arial" w:hAnsi="Arial" w:cs="Arial"/>
                <w:b/>
                <w:bCs/>
                <w:sz w:val="18"/>
                <w:szCs w:val="18"/>
                <w:lang w:eastAsia="es-MX"/>
              </w:rPr>
              <w:t>Responsable</w:t>
            </w:r>
            <w:r w:rsidR="007518E0">
              <w:rPr>
                <w:rFonts w:ascii="Arial" w:hAnsi="Arial" w:cs="Arial"/>
                <w:b/>
                <w:bCs/>
                <w:sz w:val="18"/>
                <w:szCs w:val="18"/>
                <w:lang w:eastAsia="es-MX"/>
              </w:rPr>
              <w:t>:</w:t>
            </w:r>
          </w:p>
        </w:tc>
        <w:tc>
          <w:tcPr>
            <w:tcW w:w="4940" w:type="dxa"/>
          </w:tcPr>
          <w:p w14:paraId="77799C86" w14:textId="73E3C080" w:rsidR="004C58BA" w:rsidRDefault="00B30DA7" w:rsidP="00B30DA7">
            <w:pPr>
              <w:tabs>
                <w:tab w:val="left" w:pos="284"/>
                <w:tab w:val="left" w:pos="9214"/>
              </w:tabs>
              <w:ind w:right="49"/>
              <w:jc w:val="both"/>
              <w:rPr>
                <w:rFonts w:ascii="Arial" w:hAnsi="Arial" w:cs="Arial"/>
                <w:bCs/>
                <w:sz w:val="18"/>
                <w:szCs w:val="18"/>
                <w:lang w:eastAsia="es-MX"/>
              </w:rPr>
            </w:pPr>
            <w:r>
              <w:rPr>
                <w:rFonts w:ascii="Arial" w:hAnsi="Arial" w:cs="Arial"/>
                <w:bCs/>
                <w:sz w:val="18"/>
                <w:szCs w:val="18"/>
                <w:lang w:eastAsia="es-MX"/>
              </w:rPr>
              <w:t>Código Electoral del Estado de Aguascaliente</w:t>
            </w:r>
            <w:r w:rsidR="004C58BA">
              <w:rPr>
                <w:rFonts w:ascii="Arial" w:hAnsi="Arial" w:cs="Arial"/>
                <w:bCs/>
                <w:sz w:val="18"/>
                <w:szCs w:val="18"/>
                <w:lang w:eastAsia="es-MX"/>
              </w:rPr>
              <w:t>s.</w:t>
            </w:r>
          </w:p>
          <w:p w14:paraId="65808DD3" w14:textId="0FCDBD8F" w:rsidR="00921DD3" w:rsidRDefault="00921DD3" w:rsidP="00B30DA7">
            <w:pPr>
              <w:tabs>
                <w:tab w:val="left" w:pos="284"/>
                <w:tab w:val="left" w:pos="9214"/>
              </w:tabs>
              <w:ind w:right="49"/>
              <w:jc w:val="both"/>
              <w:rPr>
                <w:rFonts w:ascii="Arial" w:hAnsi="Arial" w:cs="Arial"/>
                <w:bCs/>
                <w:sz w:val="18"/>
                <w:szCs w:val="18"/>
                <w:lang w:eastAsia="es-MX"/>
              </w:rPr>
            </w:pPr>
            <w:r>
              <w:rPr>
                <w:rFonts w:ascii="Arial" w:hAnsi="Arial" w:cs="Arial"/>
                <w:bCs/>
                <w:sz w:val="18"/>
                <w:szCs w:val="18"/>
                <w:lang w:eastAsia="es-MX"/>
              </w:rPr>
              <w:t>Consejo General del IEE.</w:t>
            </w:r>
          </w:p>
          <w:p w14:paraId="2B562505" w14:textId="7821470F" w:rsidR="00F239B0" w:rsidRPr="00B30DA7" w:rsidRDefault="00F239B0" w:rsidP="00B30DA7">
            <w:pPr>
              <w:tabs>
                <w:tab w:val="left" w:pos="284"/>
                <w:tab w:val="left" w:pos="9214"/>
              </w:tabs>
              <w:ind w:right="49"/>
              <w:jc w:val="both"/>
              <w:rPr>
                <w:rFonts w:ascii="Arial" w:hAnsi="Arial" w:cs="Arial"/>
                <w:bCs/>
                <w:sz w:val="18"/>
                <w:szCs w:val="18"/>
                <w:lang w:eastAsia="es-MX"/>
              </w:rPr>
            </w:pPr>
            <w:r>
              <w:rPr>
                <w:rFonts w:ascii="Arial" w:hAnsi="Arial" w:cs="Arial"/>
                <w:bCs/>
                <w:sz w:val="18"/>
                <w:szCs w:val="18"/>
                <w:lang w:eastAsia="es-MX"/>
              </w:rPr>
              <w:t>Consejo Distrital Electoral X de Aguascalientes.</w:t>
            </w:r>
          </w:p>
        </w:tc>
      </w:tr>
      <w:tr w:rsidR="00921DD3" w:rsidRPr="00B30DA7" w14:paraId="46A8C49B" w14:textId="77777777" w:rsidTr="00B30DA7">
        <w:trPr>
          <w:trHeight w:val="140"/>
          <w:jc w:val="center"/>
        </w:trPr>
        <w:tc>
          <w:tcPr>
            <w:tcW w:w="2573" w:type="dxa"/>
          </w:tcPr>
          <w:p w14:paraId="5E90866F" w14:textId="77777777" w:rsidR="00921DD3" w:rsidRDefault="00921DD3" w:rsidP="00B30DA7">
            <w:pPr>
              <w:tabs>
                <w:tab w:val="left" w:pos="284"/>
                <w:tab w:val="left" w:pos="9214"/>
              </w:tabs>
              <w:ind w:right="49"/>
              <w:jc w:val="both"/>
              <w:rPr>
                <w:rFonts w:ascii="Arial" w:hAnsi="Arial" w:cs="Arial"/>
                <w:b/>
                <w:bCs/>
                <w:sz w:val="18"/>
                <w:szCs w:val="18"/>
                <w:lang w:eastAsia="es-MX"/>
              </w:rPr>
            </w:pPr>
          </w:p>
        </w:tc>
        <w:tc>
          <w:tcPr>
            <w:tcW w:w="4940" w:type="dxa"/>
          </w:tcPr>
          <w:p w14:paraId="69824BF4" w14:textId="77777777" w:rsidR="00921DD3" w:rsidRDefault="00921DD3" w:rsidP="00B30DA7">
            <w:pPr>
              <w:tabs>
                <w:tab w:val="left" w:pos="284"/>
                <w:tab w:val="left" w:pos="9214"/>
              </w:tabs>
              <w:ind w:right="49"/>
              <w:jc w:val="both"/>
              <w:rPr>
                <w:rFonts w:ascii="Arial" w:hAnsi="Arial" w:cs="Arial"/>
                <w:bCs/>
                <w:sz w:val="18"/>
                <w:szCs w:val="18"/>
                <w:lang w:eastAsia="es-MX"/>
              </w:rPr>
            </w:pPr>
          </w:p>
        </w:tc>
      </w:tr>
      <w:tr w:rsidR="004C58BA" w:rsidRPr="00B30DA7" w14:paraId="4D7779C4" w14:textId="77777777" w:rsidTr="00B30DA7">
        <w:trPr>
          <w:trHeight w:val="140"/>
          <w:jc w:val="center"/>
        </w:trPr>
        <w:tc>
          <w:tcPr>
            <w:tcW w:w="2573" w:type="dxa"/>
          </w:tcPr>
          <w:p w14:paraId="7B6132C9" w14:textId="77777777" w:rsidR="004C58BA" w:rsidRDefault="004C58BA" w:rsidP="00B30DA7">
            <w:pPr>
              <w:tabs>
                <w:tab w:val="left" w:pos="284"/>
                <w:tab w:val="left" w:pos="9214"/>
              </w:tabs>
              <w:ind w:right="49"/>
              <w:jc w:val="both"/>
              <w:rPr>
                <w:rFonts w:ascii="Arial" w:hAnsi="Arial" w:cs="Arial"/>
                <w:b/>
                <w:bCs/>
                <w:sz w:val="18"/>
                <w:szCs w:val="18"/>
                <w:lang w:eastAsia="es-MX"/>
              </w:rPr>
            </w:pPr>
          </w:p>
        </w:tc>
        <w:tc>
          <w:tcPr>
            <w:tcW w:w="4940" w:type="dxa"/>
          </w:tcPr>
          <w:p w14:paraId="5AE63B22" w14:textId="77777777" w:rsidR="004C58BA" w:rsidRDefault="004C58BA" w:rsidP="00B30DA7">
            <w:pPr>
              <w:tabs>
                <w:tab w:val="left" w:pos="284"/>
                <w:tab w:val="left" w:pos="9214"/>
              </w:tabs>
              <w:ind w:right="49"/>
              <w:jc w:val="both"/>
              <w:rPr>
                <w:rFonts w:ascii="Arial" w:hAnsi="Arial" w:cs="Arial"/>
                <w:bCs/>
                <w:sz w:val="18"/>
                <w:szCs w:val="18"/>
                <w:lang w:eastAsia="es-MX"/>
              </w:rPr>
            </w:pPr>
          </w:p>
        </w:tc>
      </w:tr>
    </w:tbl>
    <w:p w14:paraId="21C9603D" w14:textId="6C3D6F3E" w:rsidR="00B30DA7" w:rsidRDefault="00B30DA7" w:rsidP="00B30DA7">
      <w:pPr>
        <w:rPr>
          <w:sz w:val="24"/>
          <w:szCs w:val="24"/>
        </w:rPr>
      </w:pPr>
      <w:bookmarkStart w:id="6" w:name="_Toc513490604"/>
      <w:bookmarkStart w:id="7" w:name="_Toc39151163"/>
      <w:bookmarkStart w:id="8" w:name="_Toc39231228"/>
      <w:bookmarkEnd w:id="5"/>
    </w:p>
    <w:p w14:paraId="7A1A95A1" w14:textId="74424441" w:rsidR="00EE24FF" w:rsidRDefault="00B30DA7" w:rsidP="006E07FD">
      <w:pPr>
        <w:pStyle w:val="Ttulo1"/>
        <w:spacing w:before="0" w:beforeAutospacing="0" w:after="0" w:afterAutospacing="0"/>
        <w:jc w:val="left"/>
        <w:rPr>
          <w:rFonts w:cs="Arial"/>
          <w:caps w:val="0"/>
          <w:szCs w:val="24"/>
        </w:rPr>
      </w:pPr>
      <w:bookmarkStart w:id="9" w:name="_Toc67049763"/>
      <w:r w:rsidRPr="00B30DA7">
        <w:rPr>
          <w:rFonts w:cs="Arial"/>
          <w:caps w:val="0"/>
          <w:szCs w:val="24"/>
        </w:rPr>
        <w:t>Antecedentes</w:t>
      </w:r>
      <w:bookmarkEnd w:id="6"/>
      <w:bookmarkEnd w:id="7"/>
      <w:bookmarkEnd w:id="8"/>
      <w:r w:rsidRPr="00B30DA7">
        <w:rPr>
          <w:rFonts w:cs="Arial"/>
          <w:caps w:val="0"/>
          <w:szCs w:val="24"/>
        </w:rPr>
        <w:t xml:space="preserve"> del caso</w:t>
      </w:r>
      <w:r w:rsidRPr="00B30DA7">
        <w:rPr>
          <w:rStyle w:val="Refdenotaalpie"/>
          <w:rFonts w:eastAsia="Times New Roman" w:cs="Arial"/>
          <w:szCs w:val="24"/>
        </w:rPr>
        <w:footnoteReference w:id="2"/>
      </w:r>
      <w:bookmarkEnd w:id="9"/>
    </w:p>
    <w:p w14:paraId="2D4168E7" w14:textId="77777777" w:rsidR="007518E0" w:rsidRPr="007518E0" w:rsidRDefault="007518E0" w:rsidP="007518E0"/>
    <w:p w14:paraId="7B7B5E98" w14:textId="3095DEFC" w:rsidR="00B30DA7" w:rsidRPr="00C052D1" w:rsidRDefault="00C052D1" w:rsidP="007518E0">
      <w:pPr>
        <w:pStyle w:val="Prrafodelista"/>
        <w:widowControl w:val="0"/>
        <w:numPr>
          <w:ilvl w:val="0"/>
          <w:numId w:val="37"/>
        </w:numPr>
        <w:tabs>
          <w:tab w:val="left" w:pos="426"/>
        </w:tabs>
        <w:autoSpaceDE w:val="0"/>
        <w:autoSpaceDN w:val="0"/>
        <w:adjustRightInd w:val="0"/>
        <w:spacing w:line="360" w:lineRule="auto"/>
        <w:ind w:left="0" w:firstLine="0"/>
        <w:jc w:val="both"/>
        <w:rPr>
          <w:rFonts w:ascii="Arial" w:hAnsi="Arial" w:cs="Arial"/>
          <w:b/>
          <w:sz w:val="24"/>
          <w:szCs w:val="24"/>
        </w:rPr>
      </w:pPr>
      <w:r>
        <w:rPr>
          <w:rFonts w:ascii="Arial" w:hAnsi="Arial" w:cs="Arial"/>
          <w:b/>
          <w:sz w:val="24"/>
          <w:szCs w:val="24"/>
        </w:rPr>
        <w:t>Proceso electoral local</w:t>
      </w:r>
      <w:r w:rsidR="00B30DA7" w:rsidRPr="00B30DA7">
        <w:rPr>
          <w:rFonts w:ascii="Arial" w:hAnsi="Arial" w:cs="Arial"/>
          <w:b/>
          <w:sz w:val="24"/>
          <w:szCs w:val="24"/>
        </w:rPr>
        <w:t xml:space="preserve"> </w:t>
      </w:r>
      <w:r>
        <w:rPr>
          <w:rFonts w:ascii="Arial" w:hAnsi="Arial" w:cs="Arial"/>
          <w:b/>
          <w:sz w:val="24"/>
          <w:szCs w:val="24"/>
        </w:rPr>
        <w:t>(</w:t>
      </w:r>
      <w:r w:rsidR="00B30DA7" w:rsidRPr="00B30DA7">
        <w:rPr>
          <w:rFonts w:ascii="Arial" w:hAnsi="Arial" w:cs="Arial"/>
          <w:b/>
          <w:sz w:val="24"/>
          <w:szCs w:val="24"/>
        </w:rPr>
        <w:t>2020-2021</w:t>
      </w:r>
      <w:r>
        <w:rPr>
          <w:rFonts w:ascii="Arial" w:hAnsi="Arial" w:cs="Arial"/>
          <w:b/>
          <w:sz w:val="24"/>
          <w:szCs w:val="24"/>
        </w:rPr>
        <w:t>)</w:t>
      </w:r>
      <w:r w:rsidR="00B30DA7" w:rsidRPr="00B30DA7">
        <w:rPr>
          <w:rFonts w:ascii="Arial" w:hAnsi="Arial" w:cs="Arial"/>
          <w:b/>
          <w:sz w:val="24"/>
          <w:szCs w:val="24"/>
        </w:rPr>
        <w:t xml:space="preserve">. </w:t>
      </w:r>
      <w:r w:rsidR="00B30DA7" w:rsidRPr="00B30DA7">
        <w:rPr>
          <w:rFonts w:ascii="Arial" w:hAnsi="Arial" w:cs="Arial"/>
          <w:sz w:val="24"/>
          <w:szCs w:val="24"/>
        </w:rPr>
        <w:t xml:space="preserve">El 3 de noviembre de 2020, inició el proceso electoral local para renovar los </w:t>
      </w:r>
      <w:r>
        <w:rPr>
          <w:rFonts w:ascii="Arial" w:hAnsi="Arial" w:cs="Arial"/>
          <w:sz w:val="24"/>
          <w:szCs w:val="24"/>
        </w:rPr>
        <w:t>a</w:t>
      </w:r>
      <w:r w:rsidR="00B30DA7" w:rsidRPr="00B30DA7">
        <w:rPr>
          <w:rFonts w:ascii="Arial" w:hAnsi="Arial" w:cs="Arial"/>
          <w:sz w:val="24"/>
          <w:szCs w:val="24"/>
        </w:rPr>
        <w:t xml:space="preserve">yuntamientos y </w:t>
      </w:r>
      <w:r w:rsidR="00B1014D">
        <w:rPr>
          <w:rFonts w:ascii="Arial" w:hAnsi="Arial" w:cs="Arial"/>
          <w:sz w:val="24"/>
          <w:szCs w:val="24"/>
        </w:rPr>
        <w:t>d</w:t>
      </w:r>
      <w:r>
        <w:rPr>
          <w:rFonts w:ascii="Arial" w:hAnsi="Arial" w:cs="Arial"/>
          <w:sz w:val="24"/>
          <w:szCs w:val="24"/>
        </w:rPr>
        <w:t>iputaciones en el</w:t>
      </w:r>
      <w:r w:rsidR="00B30DA7" w:rsidRPr="00B30DA7">
        <w:rPr>
          <w:rFonts w:ascii="Arial" w:hAnsi="Arial" w:cs="Arial"/>
          <w:sz w:val="24"/>
          <w:szCs w:val="24"/>
        </w:rPr>
        <w:t xml:space="preserve"> Estado de Aguascalientes.</w:t>
      </w:r>
    </w:p>
    <w:p w14:paraId="5610CFB4" w14:textId="77777777" w:rsidR="00C052D1" w:rsidRDefault="00C052D1" w:rsidP="007518E0">
      <w:pPr>
        <w:pStyle w:val="Sinespaciado"/>
      </w:pPr>
    </w:p>
    <w:p w14:paraId="40DA51AE" w14:textId="63B56E91" w:rsidR="007518E0" w:rsidRPr="007518E0" w:rsidRDefault="00CB6250" w:rsidP="007518E0">
      <w:pPr>
        <w:pStyle w:val="Prrafodelista"/>
        <w:widowControl w:val="0"/>
        <w:numPr>
          <w:ilvl w:val="0"/>
          <w:numId w:val="37"/>
        </w:numPr>
        <w:tabs>
          <w:tab w:val="left" w:pos="426"/>
        </w:tabs>
        <w:autoSpaceDE w:val="0"/>
        <w:autoSpaceDN w:val="0"/>
        <w:adjustRightInd w:val="0"/>
        <w:spacing w:before="480" w:line="360" w:lineRule="auto"/>
        <w:ind w:left="0" w:firstLine="0"/>
        <w:jc w:val="both"/>
        <w:rPr>
          <w:rFonts w:ascii="Arial" w:hAnsi="Arial" w:cs="Arial"/>
          <w:b/>
          <w:sz w:val="24"/>
          <w:szCs w:val="24"/>
        </w:rPr>
      </w:pPr>
      <w:r>
        <w:rPr>
          <w:rFonts w:ascii="Arial" w:hAnsi="Arial" w:cs="Arial"/>
          <w:b/>
          <w:sz w:val="24"/>
          <w:szCs w:val="24"/>
        </w:rPr>
        <w:lastRenderedPageBreak/>
        <w:t xml:space="preserve">Registro de candidaturas electrónicas. </w:t>
      </w:r>
      <w:r>
        <w:rPr>
          <w:rFonts w:ascii="Arial" w:hAnsi="Arial" w:cs="Arial"/>
          <w:sz w:val="24"/>
          <w:szCs w:val="24"/>
        </w:rPr>
        <w:t>Del 15 al 20 de marzo se llevaron a cabo los registros electrónicos</w:t>
      </w:r>
      <w:r w:rsidR="00921DD3">
        <w:rPr>
          <w:rFonts w:ascii="Arial" w:hAnsi="Arial" w:cs="Arial"/>
          <w:sz w:val="24"/>
          <w:szCs w:val="24"/>
        </w:rPr>
        <w:t xml:space="preserve"> en la página oficial del partido </w:t>
      </w:r>
      <w:r>
        <w:rPr>
          <w:rFonts w:ascii="Arial" w:hAnsi="Arial" w:cs="Arial"/>
          <w:sz w:val="24"/>
          <w:szCs w:val="24"/>
        </w:rPr>
        <w:t xml:space="preserve">para los aspirantes a diputaciones y </w:t>
      </w:r>
      <w:r w:rsidR="00C052D1">
        <w:rPr>
          <w:rFonts w:ascii="Arial" w:hAnsi="Arial" w:cs="Arial"/>
          <w:sz w:val="24"/>
          <w:szCs w:val="24"/>
        </w:rPr>
        <w:t>a</w:t>
      </w:r>
      <w:r>
        <w:rPr>
          <w:rFonts w:ascii="Arial" w:hAnsi="Arial" w:cs="Arial"/>
          <w:sz w:val="24"/>
          <w:szCs w:val="24"/>
        </w:rPr>
        <w:t>yuntamientos.</w:t>
      </w:r>
      <w:bookmarkStart w:id="10" w:name="_Toc483300358"/>
      <w:bookmarkStart w:id="11" w:name="_Hlk49948350"/>
    </w:p>
    <w:p w14:paraId="425F8DA9" w14:textId="77777777" w:rsidR="007518E0" w:rsidRPr="007518E0" w:rsidRDefault="007518E0" w:rsidP="007518E0">
      <w:pPr>
        <w:pStyle w:val="Prrafodelista"/>
        <w:widowControl w:val="0"/>
        <w:tabs>
          <w:tab w:val="left" w:pos="426"/>
        </w:tabs>
        <w:autoSpaceDE w:val="0"/>
        <w:autoSpaceDN w:val="0"/>
        <w:adjustRightInd w:val="0"/>
        <w:spacing w:before="480"/>
        <w:ind w:left="0"/>
        <w:jc w:val="both"/>
        <w:rPr>
          <w:rFonts w:ascii="Arial" w:hAnsi="Arial" w:cs="Arial"/>
          <w:b/>
          <w:sz w:val="24"/>
          <w:szCs w:val="24"/>
        </w:rPr>
      </w:pPr>
    </w:p>
    <w:p w14:paraId="20998DC4" w14:textId="138D3394" w:rsidR="00CB6250" w:rsidRDefault="00CB6250" w:rsidP="004F11DA">
      <w:pPr>
        <w:pStyle w:val="Prrafodelista"/>
        <w:widowControl w:val="0"/>
        <w:numPr>
          <w:ilvl w:val="0"/>
          <w:numId w:val="37"/>
        </w:numPr>
        <w:tabs>
          <w:tab w:val="left" w:pos="426"/>
        </w:tabs>
        <w:autoSpaceDE w:val="0"/>
        <w:autoSpaceDN w:val="0"/>
        <w:adjustRightInd w:val="0"/>
        <w:spacing w:before="480" w:line="360" w:lineRule="auto"/>
        <w:ind w:left="0" w:firstLine="0"/>
        <w:jc w:val="both"/>
        <w:rPr>
          <w:rFonts w:ascii="Arial" w:hAnsi="Arial" w:cs="Arial"/>
          <w:sz w:val="24"/>
          <w:szCs w:val="24"/>
        </w:rPr>
      </w:pPr>
      <w:r>
        <w:rPr>
          <w:rFonts w:ascii="Arial" w:hAnsi="Arial" w:cs="Arial"/>
          <w:b/>
          <w:sz w:val="24"/>
          <w:szCs w:val="24"/>
        </w:rPr>
        <w:t>Acu</w:t>
      </w:r>
      <w:r w:rsidR="006A61F6">
        <w:rPr>
          <w:rFonts w:ascii="Arial" w:hAnsi="Arial" w:cs="Arial"/>
          <w:b/>
          <w:sz w:val="24"/>
          <w:szCs w:val="24"/>
        </w:rPr>
        <w:t xml:space="preserve">erdos del Consejo Distrital. </w:t>
      </w:r>
      <w:r w:rsidR="006A61F6" w:rsidRPr="006A61F6">
        <w:rPr>
          <w:rFonts w:ascii="Arial" w:hAnsi="Arial" w:cs="Arial"/>
          <w:sz w:val="24"/>
          <w:szCs w:val="24"/>
        </w:rPr>
        <w:t xml:space="preserve">El 31 de </w:t>
      </w:r>
      <w:r w:rsidR="007518E0">
        <w:rPr>
          <w:rFonts w:ascii="Arial" w:hAnsi="Arial" w:cs="Arial"/>
          <w:sz w:val="24"/>
          <w:szCs w:val="24"/>
        </w:rPr>
        <w:t>marzo,</w:t>
      </w:r>
      <w:r w:rsidR="006A61F6" w:rsidRPr="006A61F6">
        <w:rPr>
          <w:rFonts w:ascii="Arial" w:hAnsi="Arial" w:cs="Arial"/>
          <w:sz w:val="24"/>
          <w:szCs w:val="24"/>
        </w:rPr>
        <w:t xml:space="preserve"> el </w:t>
      </w:r>
      <w:r w:rsidR="007518E0" w:rsidRPr="006A61F6">
        <w:rPr>
          <w:rFonts w:ascii="Arial" w:hAnsi="Arial" w:cs="Arial"/>
          <w:sz w:val="24"/>
          <w:szCs w:val="24"/>
        </w:rPr>
        <w:t xml:space="preserve">consejo distrital </w:t>
      </w:r>
      <w:r w:rsidR="006A61F6" w:rsidRPr="006A61F6">
        <w:rPr>
          <w:rFonts w:ascii="Arial" w:hAnsi="Arial" w:cs="Arial"/>
          <w:sz w:val="24"/>
          <w:szCs w:val="24"/>
        </w:rPr>
        <w:t>X</w:t>
      </w:r>
      <w:r w:rsidR="006A61F6">
        <w:rPr>
          <w:rFonts w:ascii="Arial" w:hAnsi="Arial" w:cs="Arial"/>
          <w:b/>
          <w:sz w:val="24"/>
          <w:szCs w:val="24"/>
        </w:rPr>
        <w:t xml:space="preserve"> </w:t>
      </w:r>
      <w:r w:rsidR="002F03D4" w:rsidRPr="002F03D4">
        <w:rPr>
          <w:rFonts w:ascii="Arial" w:hAnsi="Arial" w:cs="Arial"/>
          <w:sz w:val="24"/>
          <w:szCs w:val="24"/>
        </w:rPr>
        <w:t xml:space="preserve">emitió los acuerdos </w:t>
      </w:r>
      <w:r w:rsidR="002F03D4">
        <w:rPr>
          <w:rFonts w:ascii="Arial" w:hAnsi="Arial" w:cs="Arial"/>
          <w:sz w:val="24"/>
          <w:szCs w:val="24"/>
        </w:rPr>
        <w:t>que aprobaron las candidaturas</w:t>
      </w:r>
      <w:r w:rsidR="00C052D1">
        <w:rPr>
          <w:rFonts w:ascii="Arial" w:hAnsi="Arial" w:cs="Arial"/>
          <w:sz w:val="24"/>
          <w:szCs w:val="24"/>
        </w:rPr>
        <w:t xml:space="preserve"> de los cargos a diputaciones,</w:t>
      </w:r>
      <w:r w:rsidR="002F03D4">
        <w:rPr>
          <w:rFonts w:ascii="Arial" w:hAnsi="Arial" w:cs="Arial"/>
          <w:sz w:val="24"/>
          <w:szCs w:val="24"/>
        </w:rPr>
        <w:t xml:space="preserve"> que contenderán </w:t>
      </w:r>
      <w:r w:rsidR="00921DD3">
        <w:rPr>
          <w:rFonts w:ascii="Arial" w:hAnsi="Arial" w:cs="Arial"/>
          <w:sz w:val="24"/>
          <w:szCs w:val="24"/>
        </w:rPr>
        <w:t xml:space="preserve">en dicho </w:t>
      </w:r>
      <w:r w:rsidR="007518E0">
        <w:rPr>
          <w:rFonts w:ascii="Arial" w:hAnsi="Arial" w:cs="Arial"/>
          <w:sz w:val="24"/>
          <w:szCs w:val="24"/>
        </w:rPr>
        <w:t>d</w:t>
      </w:r>
      <w:r w:rsidR="00921DD3">
        <w:rPr>
          <w:rFonts w:ascii="Arial" w:hAnsi="Arial" w:cs="Arial"/>
          <w:sz w:val="24"/>
          <w:szCs w:val="24"/>
        </w:rPr>
        <w:t>istrito</w:t>
      </w:r>
      <w:r w:rsidR="00DB59B9">
        <w:rPr>
          <w:rFonts w:ascii="Arial" w:hAnsi="Arial" w:cs="Arial"/>
          <w:sz w:val="24"/>
          <w:szCs w:val="24"/>
        </w:rPr>
        <w:t xml:space="preserve"> en el actual proceso electoral.</w:t>
      </w:r>
    </w:p>
    <w:p w14:paraId="4CEA61DA" w14:textId="77777777" w:rsidR="007518E0" w:rsidRPr="002F03D4" w:rsidRDefault="007518E0" w:rsidP="007518E0">
      <w:pPr>
        <w:pStyle w:val="Prrafodelista"/>
        <w:widowControl w:val="0"/>
        <w:tabs>
          <w:tab w:val="left" w:pos="426"/>
        </w:tabs>
        <w:autoSpaceDE w:val="0"/>
        <w:autoSpaceDN w:val="0"/>
        <w:adjustRightInd w:val="0"/>
        <w:spacing w:before="480"/>
        <w:ind w:left="0"/>
        <w:jc w:val="both"/>
        <w:rPr>
          <w:rFonts w:ascii="Arial" w:hAnsi="Arial" w:cs="Arial"/>
          <w:sz w:val="24"/>
          <w:szCs w:val="24"/>
        </w:rPr>
      </w:pPr>
    </w:p>
    <w:p w14:paraId="6CD990EF" w14:textId="4B2E578C" w:rsidR="00B30DA7" w:rsidRPr="007518E0" w:rsidRDefault="00B30DA7" w:rsidP="00B30DA7">
      <w:pPr>
        <w:pStyle w:val="Prrafodelista"/>
        <w:widowControl w:val="0"/>
        <w:numPr>
          <w:ilvl w:val="0"/>
          <w:numId w:val="37"/>
        </w:numPr>
        <w:tabs>
          <w:tab w:val="left" w:pos="426"/>
        </w:tabs>
        <w:autoSpaceDE w:val="0"/>
        <w:autoSpaceDN w:val="0"/>
        <w:adjustRightInd w:val="0"/>
        <w:spacing w:before="480" w:line="360" w:lineRule="auto"/>
        <w:ind w:left="0" w:firstLine="0"/>
        <w:jc w:val="both"/>
        <w:rPr>
          <w:rFonts w:ascii="Arial" w:eastAsia="Calibri" w:hAnsi="Arial" w:cs="Arial"/>
          <w:sz w:val="24"/>
          <w:szCs w:val="24"/>
          <w:lang w:val="es-ES_tradnl"/>
        </w:rPr>
      </w:pPr>
      <w:r w:rsidRPr="00B30DA7">
        <w:rPr>
          <w:rFonts w:ascii="Arial" w:hAnsi="Arial" w:cs="Arial"/>
          <w:b/>
          <w:bCs/>
          <w:sz w:val="24"/>
          <w:szCs w:val="24"/>
        </w:rPr>
        <w:t>Juicio ciudadano.</w:t>
      </w:r>
      <w:r w:rsidR="002F03D4">
        <w:rPr>
          <w:rFonts w:ascii="Arial" w:hAnsi="Arial" w:cs="Arial"/>
          <w:sz w:val="24"/>
          <w:szCs w:val="24"/>
        </w:rPr>
        <w:t xml:space="preserve"> El 5 de abril</w:t>
      </w:r>
      <w:r w:rsidRPr="00B30DA7">
        <w:rPr>
          <w:rFonts w:ascii="Arial" w:hAnsi="Arial" w:cs="Arial"/>
          <w:sz w:val="24"/>
          <w:szCs w:val="24"/>
        </w:rPr>
        <w:t>, la ciudad</w:t>
      </w:r>
      <w:r w:rsidR="002F03D4">
        <w:rPr>
          <w:rFonts w:ascii="Arial" w:hAnsi="Arial" w:cs="Arial"/>
          <w:sz w:val="24"/>
          <w:szCs w:val="24"/>
        </w:rPr>
        <w:t>ana Aurora Venegas Martínez</w:t>
      </w:r>
      <w:r w:rsidR="00C052D1">
        <w:rPr>
          <w:rFonts w:ascii="Arial" w:hAnsi="Arial" w:cs="Arial"/>
          <w:sz w:val="24"/>
          <w:szCs w:val="24"/>
        </w:rPr>
        <w:t xml:space="preserve">, </w:t>
      </w:r>
      <w:r w:rsidR="00EA40F3">
        <w:rPr>
          <w:rFonts w:ascii="Arial" w:hAnsi="Arial" w:cs="Arial"/>
          <w:sz w:val="24"/>
          <w:szCs w:val="24"/>
        </w:rPr>
        <w:t>en su calidad de representante propietaria de MORENA</w:t>
      </w:r>
      <w:r w:rsidR="007E6CEF">
        <w:rPr>
          <w:rFonts w:ascii="Arial" w:hAnsi="Arial" w:cs="Arial"/>
          <w:sz w:val="24"/>
          <w:szCs w:val="24"/>
        </w:rPr>
        <w:t>,</w:t>
      </w:r>
      <w:r w:rsidRPr="00B30DA7">
        <w:rPr>
          <w:rFonts w:ascii="Arial" w:hAnsi="Arial" w:cs="Arial"/>
          <w:sz w:val="24"/>
          <w:szCs w:val="24"/>
        </w:rPr>
        <w:t xml:space="preserve"> presen</w:t>
      </w:r>
      <w:r w:rsidR="00C052D1">
        <w:rPr>
          <w:rFonts w:ascii="Arial" w:hAnsi="Arial" w:cs="Arial"/>
          <w:sz w:val="24"/>
          <w:szCs w:val="24"/>
        </w:rPr>
        <w:t>tó un r</w:t>
      </w:r>
      <w:r w:rsidR="007E6CEF">
        <w:rPr>
          <w:rFonts w:ascii="Arial" w:hAnsi="Arial" w:cs="Arial"/>
          <w:sz w:val="24"/>
          <w:szCs w:val="24"/>
        </w:rPr>
        <w:t xml:space="preserve">ecurso de </w:t>
      </w:r>
      <w:r w:rsidR="00C052D1">
        <w:rPr>
          <w:rFonts w:ascii="Arial" w:hAnsi="Arial" w:cs="Arial"/>
          <w:sz w:val="24"/>
          <w:szCs w:val="24"/>
        </w:rPr>
        <w:t>a</w:t>
      </w:r>
      <w:r w:rsidR="007E6CEF">
        <w:rPr>
          <w:rFonts w:ascii="Arial" w:hAnsi="Arial" w:cs="Arial"/>
          <w:sz w:val="24"/>
          <w:szCs w:val="24"/>
        </w:rPr>
        <w:t>pelación</w:t>
      </w:r>
      <w:r w:rsidRPr="00B30DA7">
        <w:rPr>
          <w:rFonts w:ascii="Arial" w:hAnsi="Arial" w:cs="Arial"/>
          <w:sz w:val="24"/>
          <w:szCs w:val="24"/>
        </w:rPr>
        <w:t xml:space="preserve"> ante este Tribunal, </w:t>
      </w:r>
      <w:r w:rsidR="00C052D1">
        <w:rPr>
          <w:rFonts w:ascii="Arial" w:hAnsi="Arial" w:cs="Arial"/>
          <w:sz w:val="24"/>
          <w:szCs w:val="24"/>
        </w:rPr>
        <w:t xml:space="preserve">al considerar básicamente que el Consejo Distrital fue omiso en </w:t>
      </w:r>
      <w:r w:rsidR="00422E63">
        <w:rPr>
          <w:rFonts w:ascii="Arial" w:hAnsi="Arial" w:cs="Arial"/>
          <w:sz w:val="24"/>
          <w:szCs w:val="24"/>
        </w:rPr>
        <w:t>realizar el registro de</w:t>
      </w:r>
      <w:r w:rsidR="00C052D1">
        <w:rPr>
          <w:rFonts w:ascii="Arial" w:hAnsi="Arial" w:cs="Arial"/>
          <w:sz w:val="24"/>
          <w:szCs w:val="24"/>
        </w:rPr>
        <w:t xml:space="preserve"> la ciudadana</w:t>
      </w:r>
      <w:r w:rsidR="00DB59B9">
        <w:rPr>
          <w:rFonts w:ascii="Arial" w:hAnsi="Arial" w:cs="Arial"/>
          <w:sz w:val="24"/>
          <w:szCs w:val="24"/>
        </w:rPr>
        <w:t xml:space="preserve"> Susana Sofía Calderón Pulido como </w:t>
      </w:r>
      <w:r w:rsidR="007E6CEF">
        <w:rPr>
          <w:rFonts w:ascii="Arial" w:hAnsi="Arial" w:cs="Arial"/>
          <w:sz w:val="24"/>
          <w:szCs w:val="24"/>
        </w:rPr>
        <w:t>candidata</w:t>
      </w:r>
      <w:r w:rsidR="00C052D1">
        <w:rPr>
          <w:rFonts w:ascii="Arial" w:hAnsi="Arial" w:cs="Arial"/>
          <w:sz w:val="24"/>
          <w:szCs w:val="24"/>
        </w:rPr>
        <w:t xml:space="preserve"> en el Distrito en cuestión</w:t>
      </w:r>
      <w:bookmarkEnd w:id="10"/>
      <w:bookmarkEnd w:id="11"/>
      <w:r w:rsidR="00C052D1">
        <w:rPr>
          <w:rFonts w:ascii="Arial" w:hAnsi="Arial" w:cs="Arial"/>
          <w:sz w:val="24"/>
          <w:szCs w:val="24"/>
        </w:rPr>
        <w:t xml:space="preserve">. </w:t>
      </w:r>
    </w:p>
    <w:p w14:paraId="4BE1788A" w14:textId="77777777" w:rsidR="007518E0" w:rsidRPr="00B30DA7" w:rsidRDefault="007518E0" w:rsidP="007518E0">
      <w:pPr>
        <w:pStyle w:val="Prrafodelista"/>
        <w:widowControl w:val="0"/>
        <w:tabs>
          <w:tab w:val="left" w:pos="426"/>
        </w:tabs>
        <w:autoSpaceDE w:val="0"/>
        <w:autoSpaceDN w:val="0"/>
        <w:adjustRightInd w:val="0"/>
        <w:spacing w:before="480"/>
        <w:ind w:left="0"/>
        <w:jc w:val="both"/>
        <w:rPr>
          <w:rFonts w:ascii="Arial" w:eastAsia="Calibri" w:hAnsi="Arial" w:cs="Arial"/>
          <w:sz w:val="24"/>
          <w:szCs w:val="24"/>
          <w:lang w:val="es-ES_tradnl"/>
        </w:rPr>
      </w:pPr>
    </w:p>
    <w:p w14:paraId="11F9E0B2" w14:textId="3C60B758" w:rsidR="00B30DA7" w:rsidRDefault="00B30DA7" w:rsidP="00B30DA7">
      <w:pPr>
        <w:spacing w:line="360" w:lineRule="auto"/>
        <w:jc w:val="both"/>
        <w:rPr>
          <w:rFonts w:ascii="Arial" w:hAnsi="Arial" w:cs="Arial"/>
          <w:sz w:val="24"/>
          <w:szCs w:val="24"/>
        </w:rPr>
      </w:pPr>
      <w:r w:rsidRPr="00B30DA7">
        <w:rPr>
          <w:rFonts w:ascii="Arial" w:hAnsi="Arial" w:cs="Arial"/>
          <w:b/>
          <w:bCs/>
          <w:sz w:val="24"/>
          <w:szCs w:val="24"/>
        </w:rPr>
        <w:t xml:space="preserve">5. Turno y radicación. </w:t>
      </w:r>
      <w:r w:rsidR="007E6CEF">
        <w:rPr>
          <w:rFonts w:ascii="Arial" w:hAnsi="Arial" w:cs="Arial"/>
          <w:sz w:val="24"/>
          <w:szCs w:val="24"/>
        </w:rPr>
        <w:t>El 6 de abril</w:t>
      </w:r>
      <w:r w:rsidRPr="00B30DA7">
        <w:rPr>
          <w:rFonts w:ascii="Arial" w:hAnsi="Arial" w:cs="Arial"/>
          <w:sz w:val="24"/>
          <w:szCs w:val="24"/>
        </w:rPr>
        <w:t xml:space="preserve">, se registró con </w:t>
      </w:r>
      <w:r w:rsidR="00921DD3">
        <w:rPr>
          <w:rFonts w:ascii="Arial" w:hAnsi="Arial" w:cs="Arial"/>
          <w:sz w:val="24"/>
          <w:szCs w:val="24"/>
        </w:rPr>
        <w:t>el número de expediente TEEA-RAP-013</w:t>
      </w:r>
      <w:r w:rsidRPr="00B30DA7">
        <w:rPr>
          <w:rFonts w:ascii="Arial" w:hAnsi="Arial" w:cs="Arial"/>
          <w:sz w:val="24"/>
          <w:szCs w:val="24"/>
        </w:rPr>
        <w:t>/2021 y fue turnado a la Ponencia de la Magistrada Laura Hortensia Llamas Hernández, quien en su oportunidad lo radicó.</w:t>
      </w:r>
    </w:p>
    <w:p w14:paraId="1FC340FE" w14:textId="0D6CC6E6" w:rsidR="00CC4728" w:rsidRDefault="00CC4728" w:rsidP="00CC4728">
      <w:pPr>
        <w:pStyle w:val="Sinespaciado"/>
      </w:pPr>
    </w:p>
    <w:p w14:paraId="211721B9" w14:textId="307EF45C" w:rsidR="00CC4728" w:rsidRPr="00CC4728" w:rsidRDefault="00CC4728" w:rsidP="00CC4728">
      <w:pPr>
        <w:spacing w:line="360" w:lineRule="auto"/>
        <w:jc w:val="both"/>
        <w:rPr>
          <w:rFonts w:ascii="Arial" w:hAnsi="Arial" w:cs="Arial"/>
          <w:b/>
          <w:bCs/>
          <w:sz w:val="24"/>
          <w:szCs w:val="24"/>
        </w:rPr>
      </w:pPr>
      <w:r w:rsidRPr="00914C52">
        <w:rPr>
          <w:rFonts w:ascii="Arial" w:hAnsi="Arial" w:cs="Arial"/>
          <w:b/>
          <w:bCs/>
          <w:sz w:val="24"/>
          <w:szCs w:val="24"/>
        </w:rPr>
        <w:t>Re</w:t>
      </w:r>
      <w:r w:rsidR="008A083D">
        <w:rPr>
          <w:rFonts w:ascii="Arial" w:hAnsi="Arial" w:cs="Arial"/>
          <w:b/>
          <w:bCs/>
          <w:sz w:val="24"/>
          <w:szCs w:val="24"/>
        </w:rPr>
        <w:t>encauzamiento al superior jerárquico (Consejo General)</w:t>
      </w:r>
    </w:p>
    <w:p w14:paraId="06B867B2" w14:textId="77777777" w:rsidR="00B30DA7" w:rsidRPr="00A42F43" w:rsidRDefault="00B30DA7" w:rsidP="00A42F43">
      <w:pPr>
        <w:pStyle w:val="Sinespaciado"/>
      </w:pPr>
      <w:bookmarkStart w:id="12" w:name="_Toc513490607"/>
    </w:p>
    <w:p w14:paraId="6B6ECD76" w14:textId="77777777" w:rsidR="00B30DA7" w:rsidRPr="00B30DA7" w:rsidRDefault="00B30DA7" w:rsidP="00CC4728">
      <w:pPr>
        <w:pStyle w:val="Ttulo2"/>
        <w:spacing w:before="0" w:line="360" w:lineRule="auto"/>
        <w:rPr>
          <w:rFonts w:ascii="Arial" w:hAnsi="Arial" w:cs="Arial"/>
          <w:b w:val="0"/>
          <w:color w:val="auto"/>
          <w:sz w:val="24"/>
          <w:szCs w:val="24"/>
        </w:rPr>
      </w:pPr>
      <w:bookmarkStart w:id="13" w:name="_Toc39151165"/>
      <w:bookmarkStart w:id="14" w:name="_Toc39231231"/>
      <w:bookmarkStart w:id="15" w:name="_Toc67049764"/>
      <w:r w:rsidRPr="00B30DA7">
        <w:rPr>
          <w:rFonts w:ascii="Arial" w:hAnsi="Arial" w:cs="Arial"/>
          <w:color w:val="auto"/>
          <w:sz w:val="24"/>
          <w:szCs w:val="24"/>
          <w:u w:val="single"/>
        </w:rPr>
        <w:t>Apartado I.</w:t>
      </w:r>
      <w:r w:rsidRPr="00B30DA7">
        <w:rPr>
          <w:rFonts w:ascii="Arial" w:hAnsi="Arial" w:cs="Arial"/>
          <w:color w:val="auto"/>
          <w:sz w:val="24"/>
          <w:szCs w:val="24"/>
        </w:rPr>
        <w:t xml:space="preserve"> Decisión</w:t>
      </w:r>
      <w:bookmarkEnd w:id="12"/>
      <w:bookmarkEnd w:id="13"/>
      <w:bookmarkEnd w:id="14"/>
      <w:bookmarkEnd w:id="15"/>
    </w:p>
    <w:p w14:paraId="14CD11BE" w14:textId="77777777" w:rsidR="00B30DA7" w:rsidRPr="00A42F43" w:rsidRDefault="00B30DA7" w:rsidP="00A42F43">
      <w:pPr>
        <w:pStyle w:val="Sinespaciado"/>
      </w:pPr>
    </w:p>
    <w:p w14:paraId="09774FAA" w14:textId="644E4E94" w:rsidR="00CC4728" w:rsidRDefault="00CC4728" w:rsidP="00CC4728">
      <w:pPr>
        <w:spacing w:line="360" w:lineRule="auto"/>
        <w:jc w:val="both"/>
        <w:rPr>
          <w:rFonts w:ascii="Arial" w:hAnsi="Arial" w:cs="Arial"/>
          <w:sz w:val="24"/>
          <w:szCs w:val="24"/>
        </w:rPr>
      </w:pPr>
      <w:r w:rsidRPr="0037036B">
        <w:rPr>
          <w:rFonts w:ascii="Arial" w:hAnsi="Arial" w:cs="Arial"/>
          <w:sz w:val="24"/>
          <w:szCs w:val="24"/>
        </w:rPr>
        <w:t xml:space="preserve">Este Tribunal considera que el presente juicio ciudadano </w:t>
      </w:r>
      <w:r w:rsidRPr="00CC4728">
        <w:rPr>
          <w:rFonts w:ascii="Arial" w:hAnsi="Arial" w:cs="Arial"/>
          <w:b/>
          <w:bCs/>
          <w:sz w:val="24"/>
          <w:szCs w:val="24"/>
        </w:rPr>
        <w:t>es improcedente</w:t>
      </w:r>
      <w:r w:rsidRPr="0037036B">
        <w:rPr>
          <w:rFonts w:ascii="Arial" w:hAnsi="Arial" w:cs="Arial"/>
          <w:sz w:val="24"/>
          <w:szCs w:val="24"/>
        </w:rPr>
        <w:t xml:space="preserve"> porque este órgano jurisdiccional sólo puede revisar las controversias en las que se hayan agotado las instancias previas y, en el caso, </w:t>
      </w:r>
      <w:r w:rsidRPr="00C052D1">
        <w:rPr>
          <w:rFonts w:ascii="Arial" w:hAnsi="Arial" w:cs="Arial"/>
          <w:b/>
          <w:sz w:val="24"/>
          <w:szCs w:val="24"/>
        </w:rPr>
        <w:t>la omisión reclamada</w:t>
      </w:r>
      <w:r w:rsidRPr="0037036B">
        <w:rPr>
          <w:rFonts w:ascii="Arial" w:hAnsi="Arial" w:cs="Arial"/>
          <w:sz w:val="24"/>
          <w:szCs w:val="24"/>
        </w:rPr>
        <w:t xml:space="preserve"> es susceptible de que sea analizada, en primer lugar</w:t>
      </w:r>
      <w:r w:rsidR="008A083D">
        <w:rPr>
          <w:rFonts w:ascii="Arial" w:hAnsi="Arial" w:cs="Arial"/>
          <w:sz w:val="24"/>
          <w:szCs w:val="24"/>
        </w:rPr>
        <w:t>, por el Consejo General</w:t>
      </w:r>
      <w:r w:rsidRPr="0037036B">
        <w:rPr>
          <w:rFonts w:ascii="Arial" w:hAnsi="Arial" w:cs="Arial"/>
          <w:sz w:val="24"/>
          <w:szCs w:val="24"/>
        </w:rPr>
        <w:t xml:space="preserve"> y, por tanto, </w:t>
      </w:r>
      <w:r w:rsidRPr="00CC4728">
        <w:rPr>
          <w:rFonts w:ascii="Arial" w:hAnsi="Arial" w:cs="Arial"/>
          <w:b/>
          <w:bCs/>
          <w:sz w:val="24"/>
          <w:szCs w:val="24"/>
        </w:rPr>
        <w:t>se reencauz</w:t>
      </w:r>
      <w:r w:rsidR="008A083D">
        <w:rPr>
          <w:rFonts w:ascii="Arial" w:hAnsi="Arial" w:cs="Arial"/>
          <w:b/>
          <w:bCs/>
          <w:sz w:val="24"/>
          <w:szCs w:val="24"/>
        </w:rPr>
        <w:t>a la demanda al Consejo General</w:t>
      </w:r>
      <w:r w:rsidRPr="00CC4728">
        <w:rPr>
          <w:rFonts w:ascii="Arial" w:hAnsi="Arial" w:cs="Arial"/>
          <w:b/>
          <w:bCs/>
          <w:sz w:val="24"/>
          <w:szCs w:val="24"/>
        </w:rPr>
        <w:t xml:space="preserve"> </w:t>
      </w:r>
      <w:r w:rsidRPr="0037036B">
        <w:rPr>
          <w:rFonts w:ascii="Arial" w:hAnsi="Arial" w:cs="Arial"/>
          <w:sz w:val="24"/>
          <w:szCs w:val="24"/>
        </w:rPr>
        <w:t xml:space="preserve">a fin de que resuelva conforme a Derecho. </w:t>
      </w:r>
    </w:p>
    <w:p w14:paraId="7DADC014" w14:textId="77777777" w:rsidR="00CC4728" w:rsidRPr="00B30DA7" w:rsidRDefault="00CC4728" w:rsidP="00B30DA7">
      <w:pPr>
        <w:pStyle w:val="Sinespaciado"/>
        <w:rPr>
          <w:rFonts w:ascii="Arial" w:hAnsi="Arial" w:cs="Arial"/>
          <w:sz w:val="24"/>
          <w:szCs w:val="24"/>
        </w:rPr>
      </w:pPr>
    </w:p>
    <w:p w14:paraId="7BC4216A" w14:textId="77777777" w:rsidR="00B30DA7" w:rsidRPr="00B30DA7" w:rsidRDefault="00B30DA7" w:rsidP="00B30DA7">
      <w:pPr>
        <w:pStyle w:val="Ttulo2"/>
        <w:spacing w:before="0" w:line="360" w:lineRule="auto"/>
        <w:rPr>
          <w:rFonts w:ascii="Arial" w:hAnsi="Arial" w:cs="Arial"/>
          <w:b w:val="0"/>
          <w:color w:val="auto"/>
          <w:sz w:val="24"/>
          <w:szCs w:val="24"/>
        </w:rPr>
      </w:pPr>
      <w:bookmarkStart w:id="16" w:name="_Toc513490608"/>
      <w:bookmarkStart w:id="17" w:name="_Toc39151166"/>
      <w:bookmarkStart w:id="18" w:name="_Toc39231232"/>
      <w:bookmarkStart w:id="19" w:name="_Toc67049765"/>
      <w:r w:rsidRPr="00B30DA7">
        <w:rPr>
          <w:rFonts w:ascii="Arial" w:hAnsi="Arial" w:cs="Arial"/>
          <w:color w:val="auto"/>
          <w:sz w:val="24"/>
          <w:szCs w:val="24"/>
          <w:u w:val="single"/>
        </w:rPr>
        <w:t>Apartado II.</w:t>
      </w:r>
      <w:r w:rsidRPr="00B30DA7">
        <w:rPr>
          <w:rFonts w:ascii="Arial" w:hAnsi="Arial" w:cs="Arial"/>
          <w:color w:val="auto"/>
          <w:sz w:val="24"/>
          <w:szCs w:val="24"/>
        </w:rPr>
        <w:t xml:space="preserve"> Justificación de la </w:t>
      </w:r>
      <w:bookmarkEnd w:id="16"/>
      <w:r w:rsidRPr="00B30DA7">
        <w:rPr>
          <w:rFonts w:ascii="Arial" w:hAnsi="Arial" w:cs="Arial"/>
          <w:color w:val="auto"/>
          <w:sz w:val="24"/>
          <w:szCs w:val="24"/>
        </w:rPr>
        <w:t>decisión</w:t>
      </w:r>
      <w:bookmarkEnd w:id="17"/>
      <w:bookmarkEnd w:id="18"/>
      <w:r w:rsidRPr="00B30DA7">
        <w:rPr>
          <w:rFonts w:ascii="Arial" w:hAnsi="Arial" w:cs="Arial"/>
          <w:color w:val="auto"/>
          <w:sz w:val="24"/>
          <w:szCs w:val="24"/>
        </w:rPr>
        <w:t xml:space="preserve"> de reencauzamiento</w:t>
      </w:r>
      <w:bookmarkEnd w:id="19"/>
    </w:p>
    <w:p w14:paraId="2E42DFA4" w14:textId="77777777" w:rsidR="00B30DA7" w:rsidRPr="00B30DA7" w:rsidRDefault="00B30DA7" w:rsidP="00B30DA7">
      <w:pPr>
        <w:pStyle w:val="Sinespaciado"/>
        <w:rPr>
          <w:rFonts w:ascii="Arial" w:hAnsi="Arial" w:cs="Arial"/>
          <w:sz w:val="24"/>
          <w:szCs w:val="24"/>
        </w:rPr>
      </w:pPr>
    </w:p>
    <w:p w14:paraId="7E6B720A" w14:textId="79E9406A" w:rsidR="00B30DA7" w:rsidRDefault="00B30DA7" w:rsidP="00EE24FF">
      <w:pPr>
        <w:pStyle w:val="Ttulo3"/>
        <w:spacing w:before="0" w:line="360" w:lineRule="auto"/>
        <w:jc w:val="both"/>
        <w:rPr>
          <w:rFonts w:ascii="Arial" w:eastAsia="Calibri" w:hAnsi="Arial" w:cs="Arial"/>
          <w:b/>
          <w:color w:val="auto"/>
        </w:rPr>
      </w:pPr>
      <w:bookmarkStart w:id="20" w:name="_Toc513490609"/>
      <w:bookmarkStart w:id="21" w:name="_Toc39151167"/>
      <w:bookmarkStart w:id="22" w:name="_Toc39231233"/>
      <w:bookmarkStart w:id="23" w:name="_Toc67049766"/>
      <w:r w:rsidRPr="00B30DA7">
        <w:rPr>
          <w:rFonts w:ascii="Arial" w:eastAsia="Calibri" w:hAnsi="Arial" w:cs="Arial"/>
          <w:b/>
          <w:color w:val="auto"/>
        </w:rPr>
        <w:t>1. Marco jurídico sobre el deber de agotar las instancias previas (</w:t>
      </w:r>
      <w:bookmarkEnd w:id="20"/>
      <w:r w:rsidRPr="00B30DA7">
        <w:rPr>
          <w:rFonts w:ascii="Arial" w:eastAsia="Calibri" w:hAnsi="Arial" w:cs="Arial"/>
          <w:b/>
          <w:color w:val="auto"/>
        </w:rPr>
        <w:t>principio de definitividad</w:t>
      </w:r>
      <w:bookmarkEnd w:id="21"/>
      <w:bookmarkEnd w:id="22"/>
      <w:r w:rsidRPr="00B30DA7">
        <w:rPr>
          <w:rFonts w:ascii="Arial" w:eastAsia="Calibri" w:hAnsi="Arial" w:cs="Arial"/>
          <w:b/>
          <w:color w:val="auto"/>
        </w:rPr>
        <w:t>)</w:t>
      </w:r>
      <w:bookmarkEnd w:id="23"/>
    </w:p>
    <w:p w14:paraId="04592BEE" w14:textId="77777777" w:rsidR="00EE24FF" w:rsidRPr="00EE24FF" w:rsidRDefault="00EE24FF" w:rsidP="00EE24FF">
      <w:pPr>
        <w:rPr>
          <w:rFonts w:eastAsia="Calibri"/>
        </w:rPr>
      </w:pPr>
    </w:p>
    <w:p w14:paraId="10AEE048" w14:textId="4C291A68" w:rsidR="00B30DA7" w:rsidRPr="00B30DA7" w:rsidRDefault="00B30DA7" w:rsidP="00B30DA7">
      <w:pPr>
        <w:spacing w:line="360" w:lineRule="auto"/>
        <w:jc w:val="both"/>
        <w:rPr>
          <w:rFonts w:ascii="Arial" w:eastAsia="Calibri" w:hAnsi="Arial" w:cs="Arial"/>
          <w:bCs/>
          <w:sz w:val="24"/>
          <w:szCs w:val="24"/>
        </w:rPr>
      </w:pPr>
      <w:r w:rsidRPr="00B30DA7">
        <w:rPr>
          <w:rFonts w:ascii="Arial" w:eastAsia="Calibri" w:hAnsi="Arial" w:cs="Arial"/>
          <w:bCs/>
          <w:sz w:val="24"/>
          <w:szCs w:val="24"/>
          <w:lang w:val="es-ES"/>
        </w:rPr>
        <w:t>El artículo 99, párrafo cuarto, fracción V, de la Constitución Federal</w:t>
      </w:r>
      <w:r w:rsidRPr="00B30DA7">
        <w:rPr>
          <w:rStyle w:val="Refdenotaalpie"/>
          <w:rFonts w:ascii="Arial" w:eastAsia="Calibri" w:hAnsi="Arial" w:cs="Arial"/>
          <w:bCs/>
          <w:sz w:val="24"/>
          <w:szCs w:val="24"/>
        </w:rPr>
        <w:footnoteReference w:id="3"/>
      </w:r>
      <w:r w:rsidRPr="00B30DA7">
        <w:rPr>
          <w:rFonts w:ascii="Arial" w:eastAsia="Calibri" w:hAnsi="Arial" w:cs="Arial"/>
          <w:bCs/>
          <w:sz w:val="24"/>
          <w:szCs w:val="24"/>
          <w:lang w:val="es-ES"/>
        </w:rPr>
        <w:t xml:space="preserve"> establece que los juicios o recursos deben cumplir con </w:t>
      </w:r>
      <w:r w:rsidRPr="00B30DA7">
        <w:rPr>
          <w:rFonts w:ascii="Arial" w:eastAsia="Calibri" w:hAnsi="Arial" w:cs="Arial"/>
          <w:bCs/>
          <w:sz w:val="24"/>
          <w:szCs w:val="24"/>
        </w:rPr>
        <w:t xml:space="preserve">determinados requisitos. Uno de ellos es el </w:t>
      </w:r>
      <w:r w:rsidRPr="00B30DA7">
        <w:rPr>
          <w:rFonts w:ascii="Arial" w:eastAsia="Calibri" w:hAnsi="Arial" w:cs="Arial"/>
          <w:b/>
          <w:sz w:val="24"/>
          <w:szCs w:val="24"/>
        </w:rPr>
        <w:t xml:space="preserve">principio de </w:t>
      </w:r>
      <w:r w:rsidRPr="00B30DA7">
        <w:rPr>
          <w:rFonts w:ascii="Arial" w:eastAsia="Calibri" w:hAnsi="Arial" w:cs="Arial"/>
          <w:b/>
          <w:sz w:val="24"/>
          <w:szCs w:val="24"/>
        </w:rPr>
        <w:lastRenderedPageBreak/>
        <w:t>definitividad</w:t>
      </w:r>
      <w:r w:rsidRPr="00B30DA7">
        <w:rPr>
          <w:rFonts w:ascii="Arial" w:eastAsia="Calibri" w:hAnsi="Arial" w:cs="Arial"/>
          <w:bCs/>
          <w:sz w:val="24"/>
          <w:szCs w:val="24"/>
        </w:rPr>
        <w:t>, que impone a los promoventes la carga de agotar las instancias de sol</w:t>
      </w:r>
      <w:r w:rsidR="007532DC">
        <w:rPr>
          <w:rFonts w:ascii="Arial" w:eastAsia="Calibri" w:hAnsi="Arial" w:cs="Arial"/>
          <w:bCs/>
          <w:sz w:val="24"/>
          <w:szCs w:val="24"/>
        </w:rPr>
        <w:t xml:space="preserve">ución de conflictos </w:t>
      </w:r>
      <w:r w:rsidRPr="00B30DA7">
        <w:rPr>
          <w:rFonts w:ascii="Arial" w:eastAsia="Calibri" w:hAnsi="Arial" w:cs="Arial"/>
          <w:bCs/>
          <w:sz w:val="24"/>
          <w:szCs w:val="24"/>
        </w:rPr>
        <w:t>p</w:t>
      </w:r>
      <w:r w:rsidR="007532DC">
        <w:rPr>
          <w:rFonts w:ascii="Arial" w:eastAsia="Calibri" w:hAnsi="Arial" w:cs="Arial"/>
          <w:bCs/>
          <w:sz w:val="24"/>
          <w:szCs w:val="24"/>
        </w:rPr>
        <w:t xml:space="preserve">revistas en el Código </w:t>
      </w:r>
      <w:r w:rsidR="007518E0">
        <w:rPr>
          <w:rFonts w:ascii="Arial" w:eastAsia="Calibri" w:hAnsi="Arial" w:cs="Arial"/>
          <w:bCs/>
          <w:sz w:val="24"/>
          <w:szCs w:val="24"/>
        </w:rPr>
        <w:t xml:space="preserve">Electoral, </w:t>
      </w:r>
      <w:r w:rsidR="007518E0" w:rsidRPr="00B30DA7">
        <w:rPr>
          <w:rFonts w:ascii="Arial" w:eastAsia="Calibri" w:hAnsi="Arial" w:cs="Arial"/>
          <w:bCs/>
          <w:sz w:val="24"/>
          <w:szCs w:val="24"/>
        </w:rPr>
        <w:t>previo</w:t>
      </w:r>
      <w:r w:rsidRPr="00B30DA7">
        <w:rPr>
          <w:rFonts w:ascii="Arial" w:eastAsia="Calibri" w:hAnsi="Arial" w:cs="Arial"/>
          <w:bCs/>
          <w:sz w:val="24"/>
          <w:szCs w:val="24"/>
        </w:rPr>
        <w:t xml:space="preserve"> a acudir a la jurisdicción de un Tribunal. </w:t>
      </w:r>
    </w:p>
    <w:p w14:paraId="1FDED35E" w14:textId="77777777" w:rsidR="00B30DA7" w:rsidRPr="007518E0" w:rsidRDefault="00B30DA7" w:rsidP="007518E0">
      <w:pPr>
        <w:pStyle w:val="Sinespaciado"/>
        <w:rPr>
          <w:rFonts w:eastAsia="Calibri"/>
        </w:rPr>
      </w:pPr>
    </w:p>
    <w:p w14:paraId="425F933E" w14:textId="341DBD32" w:rsidR="00B30DA7" w:rsidRPr="00B30DA7" w:rsidRDefault="00B30DA7" w:rsidP="00B30DA7">
      <w:pPr>
        <w:spacing w:line="360" w:lineRule="auto"/>
        <w:jc w:val="both"/>
        <w:rPr>
          <w:rFonts w:ascii="Arial" w:eastAsia="Calibri" w:hAnsi="Arial" w:cs="Arial"/>
          <w:bCs/>
          <w:sz w:val="24"/>
          <w:szCs w:val="24"/>
          <w:lang w:eastAsia="es-MX"/>
        </w:rPr>
      </w:pPr>
      <w:r w:rsidRPr="00B30DA7">
        <w:rPr>
          <w:rFonts w:ascii="Arial" w:eastAsia="Calibri" w:hAnsi="Arial" w:cs="Arial"/>
          <w:bCs/>
          <w:sz w:val="24"/>
          <w:szCs w:val="24"/>
          <w:lang w:eastAsia="es-MX"/>
        </w:rPr>
        <w:t>Por su parte, el</w:t>
      </w:r>
      <w:r w:rsidR="00546DE2">
        <w:rPr>
          <w:rFonts w:ascii="Arial" w:eastAsia="Calibri" w:hAnsi="Arial" w:cs="Arial"/>
          <w:bCs/>
          <w:sz w:val="24"/>
          <w:szCs w:val="24"/>
          <w:lang w:eastAsia="es-MX"/>
        </w:rPr>
        <w:t xml:space="preserve"> artículo</w:t>
      </w:r>
      <w:r w:rsidRPr="00B30DA7">
        <w:rPr>
          <w:rFonts w:ascii="Arial" w:eastAsia="Calibri" w:hAnsi="Arial" w:cs="Arial"/>
          <w:bCs/>
          <w:sz w:val="24"/>
          <w:szCs w:val="24"/>
          <w:lang w:eastAsia="es-MX"/>
        </w:rPr>
        <w:t xml:space="preserve"> 304, fracción II, in</w:t>
      </w:r>
      <w:r w:rsidR="00657B93">
        <w:rPr>
          <w:rFonts w:ascii="Arial" w:eastAsia="Calibri" w:hAnsi="Arial" w:cs="Arial"/>
          <w:bCs/>
          <w:sz w:val="24"/>
          <w:szCs w:val="24"/>
          <w:lang w:eastAsia="es-MX"/>
        </w:rPr>
        <w:t>ciso e), del Código Electoral</w:t>
      </w:r>
      <w:r w:rsidR="002549CE">
        <w:rPr>
          <w:rStyle w:val="Refdenotaalpie"/>
          <w:rFonts w:ascii="Arial" w:eastAsia="Calibri" w:hAnsi="Arial" w:cs="Arial"/>
          <w:bCs/>
          <w:sz w:val="24"/>
          <w:szCs w:val="24"/>
          <w:lang w:eastAsia="es-MX"/>
        </w:rPr>
        <w:footnoteReference w:id="4"/>
      </w:r>
      <w:r w:rsidR="00657B93">
        <w:rPr>
          <w:rFonts w:ascii="Arial" w:eastAsia="Calibri" w:hAnsi="Arial" w:cs="Arial"/>
          <w:bCs/>
          <w:sz w:val="24"/>
          <w:szCs w:val="24"/>
          <w:lang w:eastAsia="es-MX"/>
        </w:rPr>
        <w:t>, exigen</w:t>
      </w:r>
      <w:r w:rsidRPr="00B30DA7">
        <w:rPr>
          <w:rFonts w:ascii="Arial" w:eastAsia="Calibri" w:hAnsi="Arial" w:cs="Arial"/>
          <w:bCs/>
          <w:sz w:val="24"/>
          <w:szCs w:val="24"/>
          <w:lang w:eastAsia="es-MX"/>
        </w:rPr>
        <w:t xml:space="preserve"> la regla general </w:t>
      </w:r>
      <w:r w:rsidR="00657B93">
        <w:rPr>
          <w:rFonts w:ascii="Arial" w:eastAsia="Calibri" w:hAnsi="Arial" w:cs="Arial"/>
          <w:bCs/>
          <w:sz w:val="24"/>
          <w:szCs w:val="24"/>
          <w:lang w:eastAsia="es-MX"/>
        </w:rPr>
        <w:t>consistente en</w:t>
      </w:r>
      <w:r w:rsidRPr="00B30DA7">
        <w:rPr>
          <w:rFonts w:ascii="Arial" w:eastAsia="Calibri" w:hAnsi="Arial" w:cs="Arial"/>
          <w:bCs/>
          <w:sz w:val="24"/>
          <w:szCs w:val="24"/>
          <w:lang w:eastAsia="es-MX"/>
        </w:rPr>
        <w:t xml:space="preserve"> que los medios de impugnación electorales sólo serán procedentes cuando</w:t>
      </w:r>
      <w:r w:rsidRPr="00B30DA7">
        <w:rPr>
          <w:rFonts w:ascii="Arial" w:eastAsia="Calibri" w:hAnsi="Arial" w:cs="Arial"/>
          <w:b/>
          <w:bCs/>
          <w:sz w:val="24"/>
          <w:szCs w:val="24"/>
          <w:lang w:val="es-ES" w:eastAsia="es-MX"/>
        </w:rPr>
        <w:t xml:space="preserve"> </w:t>
      </w:r>
      <w:r w:rsidRPr="00B30DA7">
        <w:rPr>
          <w:rFonts w:ascii="Arial" w:eastAsia="Calibri" w:hAnsi="Arial" w:cs="Arial"/>
          <w:bCs/>
          <w:sz w:val="24"/>
          <w:szCs w:val="24"/>
          <w:lang w:val="es-ES" w:eastAsia="es-MX"/>
        </w:rPr>
        <w:t>se agoten las instancias previas establecidas por</w:t>
      </w:r>
      <w:r w:rsidR="00422E63">
        <w:rPr>
          <w:rFonts w:ascii="Arial" w:eastAsia="Calibri" w:hAnsi="Arial" w:cs="Arial"/>
          <w:bCs/>
          <w:sz w:val="24"/>
          <w:szCs w:val="24"/>
          <w:lang w:val="es-ES" w:eastAsia="es-MX"/>
        </w:rPr>
        <w:t xml:space="preserve"> las leyes federales y locales.</w:t>
      </w:r>
    </w:p>
    <w:p w14:paraId="67A0800C" w14:textId="77777777" w:rsidR="00B30DA7" w:rsidRPr="00CC4728" w:rsidRDefault="00B30DA7" w:rsidP="00CC4728">
      <w:pPr>
        <w:pStyle w:val="Sinespaciado"/>
        <w:rPr>
          <w:rFonts w:eastAsia="Calibri"/>
        </w:rPr>
      </w:pPr>
    </w:p>
    <w:p w14:paraId="553CAF19" w14:textId="7D3FBF86" w:rsidR="00B30DA7" w:rsidRDefault="00A136F9" w:rsidP="00B30DA7">
      <w:pPr>
        <w:spacing w:line="360" w:lineRule="auto"/>
        <w:jc w:val="both"/>
        <w:rPr>
          <w:rFonts w:ascii="Arial" w:eastAsia="Calibri" w:hAnsi="Arial" w:cs="Arial"/>
          <w:bCs/>
          <w:sz w:val="24"/>
          <w:szCs w:val="24"/>
          <w:lang w:val="es-ES" w:eastAsia="es-MX"/>
        </w:rPr>
      </w:pPr>
      <w:r>
        <w:rPr>
          <w:rFonts w:ascii="Arial" w:eastAsia="Calibri" w:hAnsi="Arial" w:cs="Arial"/>
          <w:bCs/>
          <w:sz w:val="24"/>
          <w:szCs w:val="24"/>
          <w:lang w:val="es-ES" w:eastAsia="es-MX"/>
        </w:rPr>
        <w:t>El artículo 330 de tal ordenamiento</w:t>
      </w:r>
      <w:r w:rsidR="0014471C">
        <w:rPr>
          <w:rStyle w:val="Refdenotaalpie"/>
          <w:rFonts w:ascii="Arial" w:eastAsia="Calibri" w:hAnsi="Arial" w:cs="Arial"/>
          <w:bCs/>
          <w:sz w:val="24"/>
          <w:szCs w:val="24"/>
          <w:lang w:val="es-ES" w:eastAsia="es-MX"/>
        </w:rPr>
        <w:footnoteReference w:id="5"/>
      </w:r>
      <w:r w:rsidR="0014471C">
        <w:rPr>
          <w:rFonts w:ascii="Arial" w:eastAsia="Calibri" w:hAnsi="Arial" w:cs="Arial"/>
          <w:bCs/>
          <w:sz w:val="24"/>
          <w:szCs w:val="24"/>
          <w:lang w:val="es-ES" w:eastAsia="es-MX"/>
        </w:rPr>
        <w:t xml:space="preserve"> establece que </w:t>
      </w:r>
      <w:r w:rsidR="0014471C" w:rsidRPr="00657B93">
        <w:rPr>
          <w:rFonts w:ascii="Arial" w:eastAsia="Calibri" w:hAnsi="Arial" w:cs="Arial"/>
          <w:b/>
          <w:bCs/>
          <w:sz w:val="24"/>
          <w:szCs w:val="24"/>
          <w:lang w:val="es-ES" w:eastAsia="es-MX"/>
        </w:rPr>
        <w:t>el medio id</w:t>
      </w:r>
      <w:r w:rsidR="007518E0">
        <w:rPr>
          <w:rFonts w:ascii="Arial" w:eastAsia="Calibri" w:hAnsi="Arial" w:cs="Arial"/>
          <w:b/>
          <w:bCs/>
          <w:sz w:val="24"/>
          <w:szCs w:val="24"/>
          <w:lang w:val="es-ES" w:eastAsia="es-MX"/>
        </w:rPr>
        <w:t>óne</w:t>
      </w:r>
      <w:r w:rsidR="0014471C" w:rsidRPr="00657B93">
        <w:rPr>
          <w:rFonts w:ascii="Arial" w:eastAsia="Calibri" w:hAnsi="Arial" w:cs="Arial"/>
          <w:b/>
          <w:bCs/>
          <w:sz w:val="24"/>
          <w:szCs w:val="24"/>
          <w:lang w:val="es-ES" w:eastAsia="es-MX"/>
        </w:rPr>
        <w:t>o para impugnar las determinaciones de los consejos</w:t>
      </w:r>
      <w:r w:rsidR="0014471C">
        <w:rPr>
          <w:rFonts w:ascii="Arial" w:eastAsia="Calibri" w:hAnsi="Arial" w:cs="Arial"/>
          <w:bCs/>
          <w:sz w:val="24"/>
          <w:szCs w:val="24"/>
          <w:lang w:val="es-ES" w:eastAsia="es-MX"/>
        </w:rPr>
        <w:t xml:space="preserve"> m</w:t>
      </w:r>
      <w:r w:rsidR="00657B93">
        <w:rPr>
          <w:rFonts w:ascii="Arial" w:eastAsia="Calibri" w:hAnsi="Arial" w:cs="Arial"/>
          <w:bCs/>
          <w:sz w:val="24"/>
          <w:szCs w:val="24"/>
          <w:lang w:val="es-ES" w:eastAsia="es-MX"/>
        </w:rPr>
        <w:t xml:space="preserve">unicipales y </w:t>
      </w:r>
      <w:r w:rsidR="00657B93" w:rsidRPr="00657B93">
        <w:rPr>
          <w:rFonts w:ascii="Arial" w:eastAsia="Calibri" w:hAnsi="Arial" w:cs="Arial"/>
          <w:b/>
          <w:bCs/>
          <w:sz w:val="24"/>
          <w:szCs w:val="24"/>
          <w:u w:val="single"/>
          <w:lang w:val="es-ES" w:eastAsia="es-MX"/>
        </w:rPr>
        <w:t>distritales es el r</w:t>
      </w:r>
      <w:r w:rsidR="0014471C" w:rsidRPr="00657B93">
        <w:rPr>
          <w:rFonts w:ascii="Arial" w:eastAsia="Calibri" w:hAnsi="Arial" w:cs="Arial"/>
          <w:b/>
          <w:bCs/>
          <w:sz w:val="24"/>
          <w:szCs w:val="24"/>
          <w:u w:val="single"/>
          <w:lang w:val="es-ES" w:eastAsia="es-MX"/>
        </w:rPr>
        <w:t xml:space="preserve">ecurso de </w:t>
      </w:r>
      <w:r w:rsidR="00657B93" w:rsidRPr="00657B93">
        <w:rPr>
          <w:rFonts w:ascii="Arial" w:eastAsia="Calibri" w:hAnsi="Arial" w:cs="Arial"/>
          <w:b/>
          <w:bCs/>
          <w:sz w:val="24"/>
          <w:szCs w:val="24"/>
          <w:u w:val="single"/>
          <w:lang w:val="es-ES" w:eastAsia="es-MX"/>
        </w:rPr>
        <w:t>in</w:t>
      </w:r>
      <w:r w:rsidR="007532DC" w:rsidRPr="00657B93">
        <w:rPr>
          <w:rFonts w:ascii="Arial" w:eastAsia="Calibri" w:hAnsi="Arial" w:cs="Arial"/>
          <w:b/>
          <w:bCs/>
          <w:sz w:val="24"/>
          <w:szCs w:val="24"/>
          <w:u w:val="single"/>
          <w:lang w:val="es-ES" w:eastAsia="es-MX"/>
        </w:rPr>
        <w:t>conformidad</w:t>
      </w:r>
      <w:r w:rsidR="0014471C" w:rsidRPr="00657B93">
        <w:rPr>
          <w:rFonts w:ascii="Arial" w:eastAsia="Calibri" w:hAnsi="Arial" w:cs="Arial"/>
          <w:b/>
          <w:bCs/>
          <w:sz w:val="24"/>
          <w:szCs w:val="24"/>
          <w:u w:val="single"/>
          <w:lang w:val="es-ES" w:eastAsia="es-MX"/>
        </w:rPr>
        <w:t>.</w:t>
      </w:r>
      <w:r w:rsidR="0014471C">
        <w:rPr>
          <w:rFonts w:ascii="Arial" w:eastAsia="Calibri" w:hAnsi="Arial" w:cs="Arial"/>
          <w:bCs/>
          <w:sz w:val="24"/>
          <w:szCs w:val="24"/>
          <w:lang w:val="es-ES" w:eastAsia="es-MX"/>
        </w:rPr>
        <w:t xml:space="preserve"> </w:t>
      </w:r>
      <w:r w:rsidR="00657B93">
        <w:rPr>
          <w:rFonts w:ascii="Arial" w:eastAsia="Calibri" w:hAnsi="Arial" w:cs="Arial"/>
          <w:bCs/>
          <w:sz w:val="24"/>
          <w:szCs w:val="24"/>
          <w:lang w:val="es-ES" w:eastAsia="es-MX"/>
        </w:rPr>
        <w:t xml:space="preserve">Asimismo, </w:t>
      </w:r>
      <w:r w:rsidR="0014471C">
        <w:rPr>
          <w:rFonts w:ascii="Arial" w:eastAsia="Calibri" w:hAnsi="Arial" w:cs="Arial"/>
          <w:bCs/>
          <w:sz w:val="24"/>
          <w:szCs w:val="24"/>
          <w:lang w:val="es-ES" w:eastAsia="es-MX"/>
        </w:rPr>
        <w:t xml:space="preserve">el propio artículo señala que </w:t>
      </w:r>
      <w:r w:rsidR="0014471C" w:rsidRPr="00657B93">
        <w:rPr>
          <w:rFonts w:ascii="Arial" w:eastAsia="Calibri" w:hAnsi="Arial" w:cs="Arial"/>
          <w:b/>
          <w:bCs/>
          <w:sz w:val="24"/>
          <w:szCs w:val="24"/>
          <w:lang w:val="es-ES" w:eastAsia="es-MX"/>
        </w:rPr>
        <w:t>la autoridad competente para conocer</w:t>
      </w:r>
      <w:r w:rsidR="00422E63" w:rsidRPr="00657B93">
        <w:rPr>
          <w:rFonts w:ascii="Arial" w:eastAsia="Calibri" w:hAnsi="Arial" w:cs="Arial"/>
          <w:b/>
          <w:bCs/>
          <w:sz w:val="24"/>
          <w:szCs w:val="24"/>
          <w:lang w:val="es-ES" w:eastAsia="es-MX"/>
        </w:rPr>
        <w:t xml:space="preserve"> y resolver</w:t>
      </w:r>
      <w:r w:rsidR="0014471C" w:rsidRPr="00657B93">
        <w:rPr>
          <w:rFonts w:ascii="Arial" w:eastAsia="Calibri" w:hAnsi="Arial" w:cs="Arial"/>
          <w:b/>
          <w:bCs/>
          <w:sz w:val="24"/>
          <w:szCs w:val="24"/>
          <w:lang w:val="es-ES" w:eastAsia="es-MX"/>
        </w:rPr>
        <w:t xml:space="preserve"> dich</w:t>
      </w:r>
      <w:r w:rsidR="00657B93" w:rsidRPr="00657B93">
        <w:rPr>
          <w:rFonts w:ascii="Arial" w:eastAsia="Calibri" w:hAnsi="Arial" w:cs="Arial"/>
          <w:b/>
          <w:bCs/>
          <w:sz w:val="24"/>
          <w:szCs w:val="24"/>
          <w:lang w:val="es-ES" w:eastAsia="es-MX"/>
        </w:rPr>
        <w:t>o r</w:t>
      </w:r>
      <w:r w:rsidR="00422E63" w:rsidRPr="00657B93">
        <w:rPr>
          <w:rFonts w:ascii="Arial" w:eastAsia="Calibri" w:hAnsi="Arial" w:cs="Arial"/>
          <w:b/>
          <w:bCs/>
          <w:sz w:val="24"/>
          <w:szCs w:val="24"/>
          <w:lang w:val="es-ES" w:eastAsia="es-MX"/>
        </w:rPr>
        <w:t>ecurso es el Consejo General</w:t>
      </w:r>
      <w:r w:rsidR="00422E63">
        <w:rPr>
          <w:rFonts w:ascii="Arial" w:eastAsia="Calibri" w:hAnsi="Arial" w:cs="Arial"/>
          <w:bCs/>
          <w:sz w:val="24"/>
          <w:szCs w:val="24"/>
          <w:lang w:val="es-ES" w:eastAsia="es-MX"/>
        </w:rPr>
        <w:t>.</w:t>
      </w:r>
    </w:p>
    <w:p w14:paraId="1B5CB1F0" w14:textId="77777777" w:rsidR="00A136F9" w:rsidRDefault="00A136F9" w:rsidP="007518E0">
      <w:pPr>
        <w:pStyle w:val="Sinespaciado"/>
        <w:rPr>
          <w:rFonts w:eastAsia="Calibri"/>
          <w:lang w:val="es-ES" w:eastAsia="es-MX"/>
        </w:rPr>
      </w:pPr>
    </w:p>
    <w:p w14:paraId="48671064" w14:textId="1E4D2262" w:rsidR="00A136F9" w:rsidRPr="0014471C" w:rsidRDefault="00A136F9" w:rsidP="00B30DA7">
      <w:pPr>
        <w:spacing w:line="360" w:lineRule="auto"/>
        <w:jc w:val="both"/>
        <w:rPr>
          <w:rFonts w:ascii="Arial" w:eastAsia="Calibri" w:hAnsi="Arial" w:cs="Arial"/>
          <w:bCs/>
          <w:sz w:val="24"/>
          <w:szCs w:val="24"/>
          <w:lang w:val="es-ES" w:eastAsia="es-MX"/>
        </w:rPr>
      </w:pPr>
      <w:r>
        <w:rPr>
          <w:rFonts w:ascii="Arial" w:eastAsia="Calibri" w:hAnsi="Arial" w:cs="Arial"/>
          <w:bCs/>
          <w:sz w:val="24"/>
          <w:szCs w:val="24"/>
          <w:lang w:val="es-ES" w:eastAsia="es-MX"/>
        </w:rPr>
        <w:t xml:space="preserve">Finalmente, </w:t>
      </w:r>
      <w:r w:rsidR="007518E0">
        <w:rPr>
          <w:rFonts w:ascii="Arial" w:eastAsia="Calibri" w:hAnsi="Arial" w:cs="Arial"/>
          <w:bCs/>
          <w:sz w:val="24"/>
          <w:szCs w:val="24"/>
          <w:lang w:val="es-ES" w:eastAsia="es-MX"/>
        </w:rPr>
        <w:t xml:space="preserve">el </w:t>
      </w:r>
      <w:r>
        <w:rPr>
          <w:rFonts w:ascii="Arial" w:eastAsia="Calibri" w:hAnsi="Arial" w:cs="Arial"/>
          <w:bCs/>
          <w:sz w:val="24"/>
          <w:szCs w:val="24"/>
          <w:lang w:val="es-ES" w:eastAsia="es-MX"/>
        </w:rPr>
        <w:t>artículo 331</w:t>
      </w:r>
      <w:r w:rsidR="002549CE">
        <w:rPr>
          <w:rStyle w:val="Refdenotaalpie"/>
          <w:rFonts w:ascii="Arial" w:eastAsia="Calibri" w:hAnsi="Arial" w:cs="Arial"/>
          <w:bCs/>
          <w:sz w:val="24"/>
          <w:szCs w:val="24"/>
          <w:lang w:val="es-ES" w:eastAsia="es-MX"/>
        </w:rPr>
        <w:footnoteReference w:id="6"/>
      </w:r>
      <w:r>
        <w:rPr>
          <w:rFonts w:ascii="Arial" w:eastAsia="Calibri" w:hAnsi="Arial" w:cs="Arial"/>
          <w:bCs/>
          <w:sz w:val="24"/>
          <w:szCs w:val="24"/>
          <w:lang w:val="es-ES" w:eastAsia="es-MX"/>
        </w:rPr>
        <w:t xml:space="preserve"> </w:t>
      </w:r>
      <w:r w:rsidR="007518E0">
        <w:rPr>
          <w:rFonts w:ascii="Arial" w:eastAsia="Calibri" w:hAnsi="Arial" w:cs="Arial"/>
          <w:bCs/>
          <w:sz w:val="24"/>
          <w:szCs w:val="24"/>
          <w:lang w:val="es-ES" w:eastAsia="es-MX"/>
        </w:rPr>
        <w:t xml:space="preserve"> dispone</w:t>
      </w:r>
      <w:r>
        <w:rPr>
          <w:rFonts w:ascii="Arial" w:eastAsia="Calibri" w:hAnsi="Arial" w:cs="Arial"/>
          <w:bCs/>
          <w:sz w:val="24"/>
          <w:szCs w:val="24"/>
          <w:lang w:val="es-ES" w:eastAsia="es-MX"/>
        </w:rPr>
        <w:t xml:space="preserve"> que el recurso de inconformidad deberá presentarse ante el </w:t>
      </w:r>
      <w:r w:rsidR="007518E0" w:rsidRPr="00A136F9">
        <w:rPr>
          <w:rFonts w:ascii="Arial" w:eastAsia="Calibri" w:hAnsi="Arial" w:cs="Arial"/>
          <w:b/>
          <w:bCs/>
          <w:sz w:val="24"/>
          <w:szCs w:val="24"/>
          <w:lang w:val="es-ES" w:eastAsia="es-MX"/>
        </w:rPr>
        <w:t>consejo distrital</w:t>
      </w:r>
      <w:r w:rsidR="007518E0">
        <w:rPr>
          <w:rFonts w:ascii="Arial" w:eastAsia="Calibri" w:hAnsi="Arial" w:cs="Arial"/>
          <w:bCs/>
          <w:sz w:val="24"/>
          <w:szCs w:val="24"/>
          <w:lang w:val="es-ES" w:eastAsia="es-MX"/>
        </w:rPr>
        <w:t xml:space="preserve"> y municipal </w:t>
      </w:r>
      <w:r>
        <w:rPr>
          <w:rFonts w:ascii="Arial" w:eastAsia="Calibri" w:hAnsi="Arial" w:cs="Arial"/>
          <w:bCs/>
          <w:sz w:val="24"/>
          <w:szCs w:val="24"/>
          <w:lang w:val="es-ES" w:eastAsia="es-MX"/>
        </w:rPr>
        <w:t xml:space="preserve">que haya </w:t>
      </w:r>
      <w:r w:rsidRPr="00A136F9">
        <w:rPr>
          <w:rFonts w:ascii="Arial" w:eastAsia="Calibri" w:hAnsi="Arial" w:cs="Arial"/>
          <w:b/>
          <w:bCs/>
          <w:sz w:val="24"/>
          <w:szCs w:val="24"/>
          <w:lang w:val="es-ES" w:eastAsia="es-MX"/>
        </w:rPr>
        <w:t>emitido el acto o resolución impugnada</w:t>
      </w:r>
      <w:r>
        <w:rPr>
          <w:rFonts w:ascii="Arial" w:eastAsia="Calibri" w:hAnsi="Arial" w:cs="Arial"/>
          <w:bCs/>
          <w:sz w:val="24"/>
          <w:szCs w:val="24"/>
          <w:lang w:val="es-ES" w:eastAsia="es-MX"/>
        </w:rPr>
        <w:t xml:space="preserve">. Esto, con la precisión que </w:t>
      </w:r>
      <w:r w:rsidRPr="00A136F9">
        <w:rPr>
          <w:rFonts w:ascii="Arial" w:eastAsia="Calibri" w:hAnsi="Arial" w:cs="Arial"/>
          <w:b/>
          <w:bCs/>
          <w:sz w:val="24"/>
          <w:szCs w:val="24"/>
          <w:lang w:val="es-ES" w:eastAsia="es-MX"/>
        </w:rPr>
        <w:t>dicha vía procederá exclusivamente durante la etapa de preparación de la elección</w:t>
      </w:r>
      <w:r>
        <w:rPr>
          <w:rFonts w:ascii="Arial" w:eastAsia="Calibri" w:hAnsi="Arial" w:cs="Arial"/>
          <w:bCs/>
          <w:sz w:val="24"/>
          <w:szCs w:val="24"/>
          <w:lang w:val="es-ES" w:eastAsia="es-MX"/>
        </w:rPr>
        <w:t xml:space="preserve">. </w:t>
      </w:r>
    </w:p>
    <w:p w14:paraId="141646E6" w14:textId="77777777" w:rsidR="00B30DA7" w:rsidRPr="00CC4728" w:rsidRDefault="00B30DA7" w:rsidP="00CC4728">
      <w:pPr>
        <w:pStyle w:val="Sinespaciado"/>
        <w:rPr>
          <w:rFonts w:eastAsia="Calibri"/>
        </w:rPr>
      </w:pPr>
    </w:p>
    <w:p w14:paraId="35AA9FDA" w14:textId="3A4B354F" w:rsidR="00B30DA7" w:rsidRPr="00B30DA7" w:rsidRDefault="00657B93" w:rsidP="00B30DA7">
      <w:pPr>
        <w:spacing w:line="360" w:lineRule="auto"/>
        <w:jc w:val="both"/>
        <w:rPr>
          <w:rFonts w:ascii="Arial" w:eastAsia="Calibri" w:hAnsi="Arial" w:cs="Arial"/>
          <w:bCs/>
          <w:sz w:val="24"/>
          <w:szCs w:val="24"/>
        </w:rPr>
      </w:pPr>
      <w:r>
        <w:rPr>
          <w:rFonts w:ascii="Arial" w:eastAsia="Calibri" w:hAnsi="Arial" w:cs="Arial"/>
          <w:bCs/>
          <w:sz w:val="24"/>
          <w:szCs w:val="24"/>
        </w:rPr>
        <w:t xml:space="preserve">De lo anterior es posible concluir que </w:t>
      </w:r>
      <w:r w:rsidR="00422E63">
        <w:rPr>
          <w:rFonts w:ascii="Arial" w:eastAsia="Calibri" w:hAnsi="Arial" w:cs="Arial"/>
          <w:bCs/>
          <w:sz w:val="24"/>
          <w:szCs w:val="24"/>
        </w:rPr>
        <w:t xml:space="preserve">las impugnaciones contra </w:t>
      </w:r>
      <w:r>
        <w:rPr>
          <w:rFonts w:ascii="Arial" w:eastAsia="Calibri" w:hAnsi="Arial" w:cs="Arial"/>
          <w:bCs/>
          <w:sz w:val="24"/>
          <w:szCs w:val="24"/>
        </w:rPr>
        <w:t xml:space="preserve">actos u omisiones en contra de los </w:t>
      </w:r>
      <w:r w:rsidR="00422E63">
        <w:rPr>
          <w:rFonts w:ascii="Arial" w:eastAsia="Calibri" w:hAnsi="Arial" w:cs="Arial"/>
          <w:bCs/>
          <w:sz w:val="24"/>
          <w:szCs w:val="24"/>
        </w:rPr>
        <w:t>consejos distritales y municipales las debe atender</w:t>
      </w:r>
      <w:r>
        <w:rPr>
          <w:rFonts w:ascii="Arial" w:eastAsia="Calibri" w:hAnsi="Arial" w:cs="Arial"/>
          <w:bCs/>
          <w:sz w:val="24"/>
          <w:szCs w:val="24"/>
        </w:rPr>
        <w:t xml:space="preserve"> exclusivamente</w:t>
      </w:r>
      <w:r w:rsidR="00A136F9">
        <w:rPr>
          <w:rFonts w:ascii="Arial" w:eastAsia="Calibri" w:hAnsi="Arial" w:cs="Arial"/>
          <w:bCs/>
          <w:sz w:val="24"/>
          <w:szCs w:val="24"/>
        </w:rPr>
        <w:t xml:space="preserve"> el Consejo General, cuando se esté en la etapa de preparación de la elecci</w:t>
      </w:r>
      <w:r w:rsidR="002549CE">
        <w:rPr>
          <w:rFonts w:ascii="Arial" w:eastAsia="Calibri" w:hAnsi="Arial" w:cs="Arial"/>
          <w:bCs/>
          <w:sz w:val="24"/>
          <w:szCs w:val="24"/>
        </w:rPr>
        <w:t>ón, como en el</w:t>
      </w:r>
      <w:r w:rsidR="00A136F9">
        <w:rPr>
          <w:rFonts w:ascii="Arial" w:eastAsia="Calibri" w:hAnsi="Arial" w:cs="Arial"/>
          <w:bCs/>
          <w:sz w:val="24"/>
          <w:szCs w:val="24"/>
        </w:rPr>
        <w:t xml:space="preserve"> caso, </w:t>
      </w:r>
      <w:r w:rsidR="002549CE">
        <w:rPr>
          <w:rFonts w:ascii="Arial" w:eastAsia="Calibri" w:hAnsi="Arial" w:cs="Arial"/>
          <w:bCs/>
          <w:sz w:val="24"/>
          <w:szCs w:val="24"/>
        </w:rPr>
        <w:t>el periodo de campañas.</w:t>
      </w:r>
    </w:p>
    <w:p w14:paraId="377B1F18" w14:textId="77777777" w:rsidR="00C74D3A" w:rsidRPr="007518E0" w:rsidRDefault="00C74D3A" w:rsidP="007518E0">
      <w:pPr>
        <w:pStyle w:val="Sinespaciado"/>
        <w:rPr>
          <w:rFonts w:eastAsia="Calibri"/>
        </w:rPr>
      </w:pPr>
      <w:bookmarkStart w:id="24" w:name="_Toc513490610"/>
      <w:bookmarkStart w:id="25" w:name="_Toc39151168"/>
      <w:bookmarkStart w:id="26" w:name="_Toc39231234"/>
      <w:bookmarkStart w:id="27" w:name="_Toc67049767"/>
    </w:p>
    <w:p w14:paraId="57C8FB35" w14:textId="2B8BAD6F" w:rsidR="00B30DA7" w:rsidRDefault="00B30DA7" w:rsidP="00C74D3A">
      <w:pPr>
        <w:pStyle w:val="Ttulo3"/>
        <w:spacing w:before="0" w:line="360" w:lineRule="auto"/>
        <w:rPr>
          <w:rFonts w:ascii="Arial" w:eastAsia="Calibri" w:hAnsi="Arial" w:cs="Arial"/>
          <w:b/>
          <w:color w:val="auto"/>
        </w:rPr>
      </w:pPr>
      <w:r w:rsidRPr="00B30DA7">
        <w:rPr>
          <w:rFonts w:ascii="Arial" w:eastAsia="Calibri" w:hAnsi="Arial" w:cs="Arial"/>
          <w:b/>
          <w:color w:val="auto"/>
        </w:rPr>
        <w:t xml:space="preserve">2. </w:t>
      </w:r>
      <w:bookmarkEnd w:id="24"/>
      <w:r w:rsidRPr="00B30DA7">
        <w:rPr>
          <w:rFonts w:ascii="Arial" w:eastAsia="Calibri" w:hAnsi="Arial" w:cs="Arial"/>
          <w:b/>
          <w:color w:val="auto"/>
        </w:rPr>
        <w:t>Caso concreto</w:t>
      </w:r>
      <w:bookmarkEnd w:id="25"/>
      <w:bookmarkEnd w:id="26"/>
      <w:bookmarkEnd w:id="27"/>
    </w:p>
    <w:p w14:paraId="17876303" w14:textId="77777777" w:rsidR="00657B93" w:rsidRPr="00657B93" w:rsidRDefault="00657B93" w:rsidP="00657B93">
      <w:pPr>
        <w:rPr>
          <w:rFonts w:eastAsia="Calibri"/>
        </w:rPr>
      </w:pPr>
    </w:p>
    <w:p w14:paraId="2DC9813A" w14:textId="32AC738C" w:rsidR="00146A49" w:rsidRDefault="00437758" w:rsidP="00B30DA7">
      <w:pPr>
        <w:spacing w:line="360" w:lineRule="auto"/>
        <w:jc w:val="both"/>
        <w:rPr>
          <w:rFonts w:ascii="Arial" w:hAnsi="Arial" w:cs="Arial"/>
          <w:sz w:val="24"/>
          <w:szCs w:val="24"/>
        </w:rPr>
      </w:pPr>
      <w:r>
        <w:rPr>
          <w:rFonts w:ascii="Arial" w:hAnsi="Arial" w:cs="Arial"/>
          <w:sz w:val="24"/>
          <w:szCs w:val="24"/>
        </w:rPr>
        <w:t xml:space="preserve">En el presente </w:t>
      </w:r>
      <w:r w:rsidR="00422E63">
        <w:rPr>
          <w:rFonts w:ascii="Arial" w:hAnsi="Arial" w:cs="Arial"/>
          <w:sz w:val="24"/>
          <w:szCs w:val="24"/>
        </w:rPr>
        <w:t>asunto,</w:t>
      </w:r>
      <w:r w:rsidR="00B30DA7" w:rsidRPr="00B30DA7">
        <w:rPr>
          <w:rFonts w:ascii="Arial" w:hAnsi="Arial" w:cs="Arial"/>
          <w:sz w:val="24"/>
          <w:szCs w:val="24"/>
        </w:rPr>
        <w:t xml:space="preserve"> </w:t>
      </w:r>
      <w:r w:rsidR="00146A49">
        <w:rPr>
          <w:rFonts w:ascii="Arial" w:hAnsi="Arial" w:cs="Arial"/>
          <w:sz w:val="24"/>
          <w:szCs w:val="24"/>
        </w:rPr>
        <w:t>la acto</w:t>
      </w:r>
      <w:r w:rsidR="00422E63">
        <w:rPr>
          <w:rFonts w:ascii="Arial" w:hAnsi="Arial" w:cs="Arial"/>
          <w:sz w:val="24"/>
          <w:szCs w:val="24"/>
        </w:rPr>
        <w:t xml:space="preserve">ra, en su calidad de representante </w:t>
      </w:r>
      <w:r>
        <w:rPr>
          <w:rFonts w:ascii="Arial" w:hAnsi="Arial" w:cs="Arial"/>
          <w:sz w:val="24"/>
          <w:szCs w:val="24"/>
        </w:rPr>
        <w:t>propietaria</w:t>
      </w:r>
      <w:r w:rsidR="00422E63">
        <w:rPr>
          <w:rFonts w:ascii="Arial" w:hAnsi="Arial" w:cs="Arial"/>
          <w:sz w:val="24"/>
          <w:szCs w:val="24"/>
        </w:rPr>
        <w:t xml:space="preserve"> de MORENA </w:t>
      </w:r>
      <w:r w:rsidR="00146A49">
        <w:rPr>
          <w:rFonts w:ascii="Arial" w:hAnsi="Arial" w:cs="Arial"/>
          <w:sz w:val="24"/>
          <w:szCs w:val="24"/>
        </w:rPr>
        <w:t xml:space="preserve">impugna la omisión </w:t>
      </w:r>
      <w:r w:rsidR="00422E63">
        <w:rPr>
          <w:rFonts w:ascii="Arial" w:hAnsi="Arial" w:cs="Arial"/>
          <w:sz w:val="24"/>
          <w:szCs w:val="24"/>
        </w:rPr>
        <w:t xml:space="preserve">del </w:t>
      </w:r>
      <w:r w:rsidR="007518E0">
        <w:rPr>
          <w:rFonts w:ascii="Arial" w:hAnsi="Arial" w:cs="Arial"/>
          <w:sz w:val="24"/>
          <w:szCs w:val="24"/>
        </w:rPr>
        <w:t xml:space="preserve">consejo distrital </w:t>
      </w:r>
      <w:r w:rsidR="00422E63">
        <w:rPr>
          <w:rFonts w:ascii="Arial" w:hAnsi="Arial" w:cs="Arial"/>
          <w:sz w:val="24"/>
          <w:szCs w:val="24"/>
        </w:rPr>
        <w:t xml:space="preserve">de </w:t>
      </w:r>
      <w:r w:rsidR="00657B93">
        <w:rPr>
          <w:rFonts w:ascii="Arial" w:hAnsi="Arial" w:cs="Arial"/>
          <w:sz w:val="24"/>
          <w:szCs w:val="24"/>
        </w:rPr>
        <w:t xml:space="preserve">haber realizado </w:t>
      </w:r>
      <w:r w:rsidR="00422E63">
        <w:rPr>
          <w:rFonts w:ascii="Arial" w:hAnsi="Arial" w:cs="Arial"/>
          <w:sz w:val="24"/>
          <w:szCs w:val="24"/>
        </w:rPr>
        <w:t xml:space="preserve">registro de </w:t>
      </w:r>
      <w:r>
        <w:rPr>
          <w:rFonts w:ascii="Arial" w:hAnsi="Arial" w:cs="Arial"/>
          <w:sz w:val="24"/>
          <w:szCs w:val="24"/>
        </w:rPr>
        <w:t>la</w:t>
      </w:r>
      <w:r w:rsidR="00657B93">
        <w:rPr>
          <w:rFonts w:ascii="Arial" w:hAnsi="Arial" w:cs="Arial"/>
          <w:sz w:val="24"/>
          <w:szCs w:val="24"/>
        </w:rPr>
        <w:t xml:space="preserve"> ciudadana</w:t>
      </w:r>
      <w:r w:rsidR="00DB59B9">
        <w:rPr>
          <w:rFonts w:ascii="Arial" w:hAnsi="Arial" w:cs="Arial"/>
          <w:sz w:val="24"/>
          <w:szCs w:val="24"/>
        </w:rPr>
        <w:t xml:space="preserve"> Susana Sofía Calderón Pulido</w:t>
      </w:r>
      <w:r>
        <w:rPr>
          <w:rFonts w:ascii="Arial" w:hAnsi="Arial" w:cs="Arial"/>
          <w:sz w:val="24"/>
          <w:szCs w:val="24"/>
        </w:rPr>
        <w:t xml:space="preserve"> </w:t>
      </w:r>
      <w:r w:rsidR="00DB59B9">
        <w:rPr>
          <w:rFonts w:ascii="Arial" w:hAnsi="Arial" w:cs="Arial"/>
          <w:sz w:val="24"/>
          <w:szCs w:val="24"/>
        </w:rPr>
        <w:t xml:space="preserve">como </w:t>
      </w:r>
      <w:r>
        <w:rPr>
          <w:rFonts w:ascii="Arial" w:hAnsi="Arial" w:cs="Arial"/>
          <w:sz w:val="24"/>
          <w:szCs w:val="24"/>
        </w:rPr>
        <w:t xml:space="preserve">candidata que contenderá </w:t>
      </w:r>
      <w:r w:rsidR="00657B93">
        <w:rPr>
          <w:rFonts w:ascii="Arial" w:hAnsi="Arial" w:cs="Arial"/>
          <w:sz w:val="24"/>
          <w:szCs w:val="24"/>
        </w:rPr>
        <w:t xml:space="preserve">en el </w:t>
      </w:r>
      <w:r w:rsidR="007518E0">
        <w:rPr>
          <w:rFonts w:ascii="Arial" w:hAnsi="Arial" w:cs="Arial"/>
          <w:sz w:val="24"/>
          <w:szCs w:val="24"/>
        </w:rPr>
        <w:t>d</w:t>
      </w:r>
      <w:r>
        <w:rPr>
          <w:rFonts w:ascii="Arial" w:hAnsi="Arial" w:cs="Arial"/>
          <w:sz w:val="24"/>
          <w:szCs w:val="24"/>
        </w:rPr>
        <w:t>istrito</w:t>
      </w:r>
      <w:r w:rsidR="00657B93">
        <w:rPr>
          <w:rFonts w:ascii="Arial" w:hAnsi="Arial" w:cs="Arial"/>
          <w:sz w:val="24"/>
          <w:szCs w:val="24"/>
        </w:rPr>
        <w:t xml:space="preserve"> X, </w:t>
      </w:r>
      <w:r>
        <w:rPr>
          <w:rFonts w:ascii="Arial" w:hAnsi="Arial" w:cs="Arial"/>
          <w:sz w:val="24"/>
          <w:szCs w:val="24"/>
        </w:rPr>
        <w:t>en el actual proceso electoral.</w:t>
      </w:r>
    </w:p>
    <w:p w14:paraId="42E59149" w14:textId="77777777" w:rsidR="00657B93" w:rsidRPr="00A42F43" w:rsidRDefault="00657B93" w:rsidP="00A42F43">
      <w:pPr>
        <w:pStyle w:val="Sinespaciado"/>
      </w:pPr>
    </w:p>
    <w:p w14:paraId="16F8B3A3" w14:textId="61DE0337" w:rsidR="004D418A" w:rsidRPr="004D418A" w:rsidRDefault="00657B93" w:rsidP="004D418A">
      <w:pPr>
        <w:spacing w:line="360" w:lineRule="auto"/>
        <w:jc w:val="both"/>
        <w:rPr>
          <w:rFonts w:ascii="Arial" w:hAnsi="Arial" w:cs="Arial"/>
          <w:sz w:val="24"/>
          <w:szCs w:val="24"/>
        </w:rPr>
      </w:pPr>
      <w:r>
        <w:rPr>
          <w:rFonts w:ascii="Arial" w:hAnsi="Arial" w:cs="Arial"/>
          <w:sz w:val="24"/>
          <w:szCs w:val="24"/>
        </w:rPr>
        <w:t xml:space="preserve">Asimismo, refiere que dicha omisión vulneró </w:t>
      </w:r>
      <w:r w:rsidR="004D418A">
        <w:rPr>
          <w:rFonts w:ascii="Arial" w:hAnsi="Arial" w:cs="Arial"/>
          <w:sz w:val="24"/>
          <w:szCs w:val="24"/>
        </w:rPr>
        <w:t>de manera injustificada el derecho político de ser votada</w:t>
      </w:r>
      <w:r w:rsidR="00146A49">
        <w:rPr>
          <w:rFonts w:ascii="Arial" w:hAnsi="Arial" w:cs="Arial"/>
          <w:sz w:val="24"/>
          <w:szCs w:val="24"/>
        </w:rPr>
        <w:t xml:space="preserve"> </w:t>
      </w:r>
      <w:bookmarkStart w:id="28" w:name="_Hlk47614429"/>
      <w:bookmarkStart w:id="29" w:name="_Hlk49944748"/>
      <w:r>
        <w:rPr>
          <w:rFonts w:ascii="Arial" w:hAnsi="Arial" w:cs="Arial"/>
          <w:sz w:val="24"/>
          <w:szCs w:val="24"/>
        </w:rPr>
        <w:t>de la aspirante en cuestión</w:t>
      </w:r>
      <w:r w:rsidR="007047A8">
        <w:rPr>
          <w:rFonts w:ascii="Arial" w:hAnsi="Arial" w:cs="Arial"/>
          <w:sz w:val="24"/>
          <w:szCs w:val="24"/>
        </w:rPr>
        <w:t>, pues</w:t>
      </w:r>
      <w:r w:rsidR="004D418A">
        <w:rPr>
          <w:rFonts w:ascii="Arial" w:hAnsi="Arial" w:cs="Arial"/>
          <w:sz w:val="24"/>
          <w:szCs w:val="24"/>
        </w:rPr>
        <w:t xml:space="preserve"> la actora cumplió</w:t>
      </w:r>
      <w:r w:rsidR="007047A8">
        <w:rPr>
          <w:rFonts w:ascii="Arial" w:hAnsi="Arial" w:cs="Arial"/>
          <w:sz w:val="24"/>
          <w:szCs w:val="24"/>
        </w:rPr>
        <w:t xml:space="preserve"> </w:t>
      </w:r>
      <w:r w:rsidR="004D418A">
        <w:rPr>
          <w:rFonts w:ascii="Arial" w:hAnsi="Arial" w:cs="Arial"/>
          <w:sz w:val="24"/>
          <w:szCs w:val="24"/>
        </w:rPr>
        <w:t xml:space="preserve">a cabalidad con todos los </w:t>
      </w:r>
      <w:bookmarkStart w:id="30" w:name="_Toc513490611"/>
      <w:bookmarkStart w:id="31" w:name="_Toc39151169"/>
      <w:bookmarkStart w:id="32" w:name="_Toc39231235"/>
      <w:bookmarkEnd w:id="28"/>
      <w:bookmarkEnd w:id="29"/>
      <w:r w:rsidR="004D418A">
        <w:rPr>
          <w:rFonts w:ascii="Arial" w:hAnsi="Arial" w:cs="Arial"/>
          <w:sz w:val="24"/>
          <w:szCs w:val="24"/>
        </w:rPr>
        <w:t>requisitos</w:t>
      </w:r>
      <w:r w:rsidR="00591911">
        <w:rPr>
          <w:rFonts w:ascii="Arial" w:hAnsi="Arial" w:cs="Arial"/>
          <w:sz w:val="24"/>
          <w:szCs w:val="24"/>
        </w:rPr>
        <w:t xml:space="preserve"> que la ley </w:t>
      </w:r>
      <w:r w:rsidR="007047A8">
        <w:rPr>
          <w:rFonts w:ascii="Arial" w:hAnsi="Arial" w:cs="Arial"/>
          <w:sz w:val="24"/>
          <w:szCs w:val="24"/>
        </w:rPr>
        <w:t xml:space="preserve">mandata para </w:t>
      </w:r>
      <w:r>
        <w:rPr>
          <w:rFonts w:ascii="Arial" w:hAnsi="Arial" w:cs="Arial"/>
          <w:sz w:val="24"/>
          <w:szCs w:val="24"/>
        </w:rPr>
        <w:t xml:space="preserve">ser candidata a diputada local. </w:t>
      </w:r>
      <w:r w:rsidR="00591911">
        <w:rPr>
          <w:rFonts w:ascii="Arial" w:hAnsi="Arial" w:cs="Arial"/>
          <w:sz w:val="24"/>
          <w:szCs w:val="24"/>
        </w:rPr>
        <w:t>También menciona</w:t>
      </w:r>
      <w:r w:rsidR="004D418A">
        <w:rPr>
          <w:rFonts w:ascii="Arial" w:hAnsi="Arial" w:cs="Arial"/>
          <w:sz w:val="24"/>
          <w:szCs w:val="24"/>
        </w:rPr>
        <w:t xml:space="preserve"> que la omisión</w:t>
      </w:r>
      <w:r>
        <w:rPr>
          <w:rFonts w:ascii="Arial" w:hAnsi="Arial" w:cs="Arial"/>
          <w:sz w:val="24"/>
          <w:szCs w:val="24"/>
        </w:rPr>
        <w:t xml:space="preserve"> afecta a tal instituto político</w:t>
      </w:r>
      <w:r w:rsidR="00591911">
        <w:rPr>
          <w:rFonts w:ascii="Arial" w:hAnsi="Arial" w:cs="Arial"/>
          <w:sz w:val="24"/>
          <w:szCs w:val="24"/>
        </w:rPr>
        <w:t xml:space="preserve">, ya que lo </w:t>
      </w:r>
      <w:r w:rsidR="004D418A">
        <w:rPr>
          <w:rFonts w:ascii="Arial" w:hAnsi="Arial" w:cs="Arial"/>
          <w:sz w:val="24"/>
          <w:szCs w:val="24"/>
        </w:rPr>
        <w:t xml:space="preserve">deja sin </w:t>
      </w:r>
      <w:r w:rsidR="00591911">
        <w:rPr>
          <w:rFonts w:ascii="Arial" w:hAnsi="Arial" w:cs="Arial"/>
          <w:sz w:val="24"/>
          <w:szCs w:val="24"/>
        </w:rPr>
        <w:t>representación</w:t>
      </w:r>
      <w:r w:rsidR="00D12B26">
        <w:rPr>
          <w:rFonts w:ascii="Arial" w:hAnsi="Arial" w:cs="Arial"/>
          <w:sz w:val="24"/>
          <w:szCs w:val="24"/>
        </w:rPr>
        <w:t xml:space="preserve"> en dicho </w:t>
      </w:r>
      <w:r w:rsidR="007518E0">
        <w:rPr>
          <w:rFonts w:ascii="Arial" w:hAnsi="Arial" w:cs="Arial"/>
          <w:sz w:val="24"/>
          <w:szCs w:val="24"/>
        </w:rPr>
        <w:t>d</w:t>
      </w:r>
      <w:r w:rsidR="00D12B26">
        <w:rPr>
          <w:rFonts w:ascii="Arial" w:hAnsi="Arial" w:cs="Arial"/>
          <w:sz w:val="24"/>
          <w:szCs w:val="24"/>
        </w:rPr>
        <w:t>istrito.</w:t>
      </w:r>
    </w:p>
    <w:p w14:paraId="2889547E" w14:textId="2D5FD183" w:rsidR="00C74D3A" w:rsidRDefault="00C74D3A" w:rsidP="00B30DA7">
      <w:pPr>
        <w:pStyle w:val="Ttulo3"/>
        <w:spacing w:before="0" w:line="360" w:lineRule="auto"/>
        <w:rPr>
          <w:rFonts w:ascii="Arial" w:eastAsia="Calibri" w:hAnsi="Arial" w:cs="Arial"/>
          <w:b/>
          <w:color w:val="auto"/>
        </w:rPr>
      </w:pPr>
      <w:bookmarkStart w:id="33" w:name="_Toc67049768"/>
    </w:p>
    <w:p w14:paraId="4FF55D44" w14:textId="1307C8E8" w:rsidR="007518E0" w:rsidRDefault="007518E0" w:rsidP="007518E0">
      <w:pPr>
        <w:rPr>
          <w:rFonts w:eastAsia="Calibri"/>
        </w:rPr>
      </w:pPr>
    </w:p>
    <w:p w14:paraId="2CB31F89" w14:textId="6ECD8789" w:rsidR="007518E0" w:rsidRDefault="007518E0" w:rsidP="007518E0">
      <w:pPr>
        <w:rPr>
          <w:rFonts w:eastAsia="Calibri"/>
        </w:rPr>
      </w:pPr>
    </w:p>
    <w:p w14:paraId="5DD57885" w14:textId="77777777" w:rsidR="007518E0" w:rsidRPr="007518E0" w:rsidRDefault="007518E0" w:rsidP="007518E0">
      <w:pPr>
        <w:rPr>
          <w:rFonts w:eastAsia="Calibri"/>
        </w:rPr>
      </w:pPr>
    </w:p>
    <w:p w14:paraId="15A131FA" w14:textId="77777777" w:rsidR="00B30DA7" w:rsidRDefault="00B30DA7" w:rsidP="00B30DA7">
      <w:pPr>
        <w:pStyle w:val="Ttulo3"/>
        <w:spacing w:before="0" w:line="360" w:lineRule="auto"/>
        <w:rPr>
          <w:rFonts w:ascii="Arial" w:eastAsia="Calibri" w:hAnsi="Arial" w:cs="Arial"/>
          <w:b/>
          <w:color w:val="auto"/>
        </w:rPr>
      </w:pPr>
      <w:r w:rsidRPr="00B30DA7">
        <w:rPr>
          <w:rFonts w:ascii="Arial" w:eastAsia="Calibri" w:hAnsi="Arial" w:cs="Arial"/>
          <w:b/>
          <w:color w:val="auto"/>
        </w:rPr>
        <w:lastRenderedPageBreak/>
        <w:t>3. Valoración</w:t>
      </w:r>
      <w:bookmarkEnd w:id="30"/>
      <w:bookmarkEnd w:id="31"/>
      <w:bookmarkEnd w:id="32"/>
      <w:bookmarkEnd w:id="33"/>
    </w:p>
    <w:p w14:paraId="644F6C74" w14:textId="77777777" w:rsidR="00657B93" w:rsidRPr="00A42F43" w:rsidRDefault="00657B93" w:rsidP="00A42F43">
      <w:pPr>
        <w:pStyle w:val="Sinespaciado"/>
        <w:rPr>
          <w:rFonts w:eastAsia="Calibri"/>
        </w:rPr>
      </w:pPr>
    </w:p>
    <w:p w14:paraId="069A8FDD" w14:textId="61B35865" w:rsidR="00146A49" w:rsidRDefault="00B30DA7" w:rsidP="00146A49">
      <w:pPr>
        <w:spacing w:line="360" w:lineRule="auto"/>
        <w:jc w:val="both"/>
        <w:rPr>
          <w:rFonts w:ascii="Arial" w:hAnsi="Arial" w:cs="Arial"/>
          <w:sz w:val="24"/>
          <w:szCs w:val="24"/>
        </w:rPr>
      </w:pPr>
      <w:r w:rsidRPr="00B30DA7">
        <w:rPr>
          <w:rFonts w:ascii="Arial" w:eastAsia="Calibri" w:hAnsi="Arial" w:cs="Arial"/>
          <w:b/>
          <w:sz w:val="24"/>
          <w:szCs w:val="24"/>
          <w:lang w:eastAsia="es-MX"/>
        </w:rPr>
        <w:t>Improcedencia por falta de definitividad</w:t>
      </w:r>
    </w:p>
    <w:p w14:paraId="77005F28" w14:textId="77777777" w:rsidR="00657B93" w:rsidRDefault="00657B93" w:rsidP="007518E0">
      <w:pPr>
        <w:pStyle w:val="Sinespaciado"/>
      </w:pPr>
    </w:p>
    <w:p w14:paraId="20A8FD44" w14:textId="56007FC5" w:rsidR="00146A49" w:rsidRPr="007518E0" w:rsidRDefault="00146A49" w:rsidP="00146A49">
      <w:pPr>
        <w:spacing w:line="360" w:lineRule="auto"/>
        <w:jc w:val="both"/>
        <w:rPr>
          <w:rFonts w:ascii="Arial" w:hAnsi="Arial" w:cs="Arial"/>
          <w:b/>
          <w:bCs/>
          <w:sz w:val="24"/>
          <w:szCs w:val="24"/>
        </w:rPr>
      </w:pPr>
      <w:r w:rsidRPr="0037036B">
        <w:rPr>
          <w:rFonts w:ascii="Arial" w:hAnsi="Arial" w:cs="Arial"/>
          <w:sz w:val="24"/>
          <w:szCs w:val="24"/>
        </w:rPr>
        <w:t xml:space="preserve">Como se adelantó, este Tribunal considera que la impugnación de la recurrente </w:t>
      </w:r>
      <w:r w:rsidRPr="007518E0">
        <w:rPr>
          <w:rFonts w:ascii="Arial" w:hAnsi="Arial" w:cs="Arial"/>
          <w:b/>
          <w:bCs/>
          <w:sz w:val="24"/>
          <w:szCs w:val="24"/>
        </w:rPr>
        <w:t>debe ser analizada, en primer l</w:t>
      </w:r>
      <w:r w:rsidR="00D12B26" w:rsidRPr="007518E0">
        <w:rPr>
          <w:rFonts w:ascii="Arial" w:hAnsi="Arial" w:cs="Arial"/>
          <w:b/>
          <w:bCs/>
          <w:sz w:val="24"/>
          <w:szCs w:val="24"/>
        </w:rPr>
        <w:t>ugar</w:t>
      </w:r>
      <w:r w:rsidR="00657B93" w:rsidRPr="007518E0">
        <w:rPr>
          <w:rFonts w:ascii="Arial" w:hAnsi="Arial" w:cs="Arial"/>
          <w:b/>
          <w:bCs/>
          <w:sz w:val="24"/>
          <w:szCs w:val="24"/>
        </w:rPr>
        <w:t>,</w:t>
      </w:r>
      <w:r w:rsidR="00D12B26" w:rsidRPr="007518E0">
        <w:rPr>
          <w:rFonts w:ascii="Arial" w:hAnsi="Arial" w:cs="Arial"/>
          <w:b/>
          <w:bCs/>
          <w:sz w:val="24"/>
          <w:szCs w:val="24"/>
        </w:rPr>
        <w:t xml:space="preserve"> por el Consejo General</w:t>
      </w:r>
      <w:r w:rsidRPr="007518E0">
        <w:rPr>
          <w:rFonts w:ascii="Arial" w:hAnsi="Arial" w:cs="Arial"/>
          <w:b/>
          <w:bCs/>
          <w:sz w:val="24"/>
          <w:szCs w:val="24"/>
        </w:rPr>
        <w:t xml:space="preserve">. </w:t>
      </w:r>
    </w:p>
    <w:p w14:paraId="6C329C67" w14:textId="77777777" w:rsidR="00657B93" w:rsidRDefault="00657B93" w:rsidP="007518E0">
      <w:pPr>
        <w:pStyle w:val="Sinespaciado"/>
      </w:pPr>
    </w:p>
    <w:p w14:paraId="6CA71493" w14:textId="51398BDE" w:rsidR="00657B93" w:rsidRDefault="00146A49" w:rsidP="00C74D3A">
      <w:pPr>
        <w:spacing w:line="360" w:lineRule="auto"/>
        <w:jc w:val="both"/>
        <w:rPr>
          <w:rFonts w:ascii="Arial" w:hAnsi="Arial" w:cs="Arial"/>
          <w:sz w:val="24"/>
          <w:szCs w:val="24"/>
        </w:rPr>
      </w:pPr>
      <w:r w:rsidRPr="0037036B">
        <w:rPr>
          <w:rFonts w:ascii="Arial" w:hAnsi="Arial" w:cs="Arial"/>
          <w:sz w:val="24"/>
          <w:szCs w:val="24"/>
        </w:rPr>
        <w:t>Esto debe ser así, porque co</w:t>
      </w:r>
      <w:r w:rsidR="00591911">
        <w:rPr>
          <w:rFonts w:ascii="Arial" w:hAnsi="Arial" w:cs="Arial"/>
          <w:sz w:val="24"/>
          <w:szCs w:val="24"/>
        </w:rPr>
        <w:t xml:space="preserve">mo se precisó, el Consejo General, </w:t>
      </w:r>
      <w:r w:rsidRPr="0037036B">
        <w:rPr>
          <w:rFonts w:ascii="Arial" w:hAnsi="Arial" w:cs="Arial"/>
          <w:sz w:val="24"/>
          <w:szCs w:val="24"/>
        </w:rPr>
        <w:t>es la autoridad competente para conocer los conflictos relacionados con</w:t>
      </w:r>
      <w:r w:rsidR="00591911">
        <w:rPr>
          <w:rFonts w:ascii="Arial" w:hAnsi="Arial" w:cs="Arial"/>
          <w:sz w:val="24"/>
          <w:szCs w:val="24"/>
        </w:rPr>
        <w:t xml:space="preserve"> los consejos distritales y municipales</w:t>
      </w:r>
      <w:r w:rsidRPr="0037036B">
        <w:rPr>
          <w:rFonts w:ascii="Arial" w:hAnsi="Arial" w:cs="Arial"/>
          <w:sz w:val="24"/>
          <w:szCs w:val="24"/>
        </w:rPr>
        <w:t>, en el presente caso</w:t>
      </w:r>
      <w:r w:rsidR="00591911">
        <w:rPr>
          <w:rFonts w:ascii="Arial" w:hAnsi="Arial" w:cs="Arial"/>
          <w:sz w:val="24"/>
          <w:szCs w:val="24"/>
        </w:rPr>
        <w:t xml:space="preserve">, por lo actos originados en el </w:t>
      </w:r>
      <w:r w:rsidRPr="0037036B">
        <w:rPr>
          <w:rFonts w:ascii="Arial" w:hAnsi="Arial" w:cs="Arial"/>
          <w:sz w:val="24"/>
          <w:szCs w:val="24"/>
        </w:rPr>
        <w:t>registro de candidaturas para el proceso electoral en curso.</w:t>
      </w:r>
      <w:r w:rsidR="001E2AB8">
        <w:rPr>
          <w:rFonts w:ascii="Arial" w:hAnsi="Arial" w:cs="Arial"/>
          <w:sz w:val="24"/>
          <w:szCs w:val="24"/>
        </w:rPr>
        <w:t xml:space="preserve"> Ello, porque la omisión reclamada se trata de un acto surgido en la etapa de preparación de la elección. Así que ese cumple con el presupuesto procesal de procedencia que exige el Código Electoral. </w:t>
      </w:r>
    </w:p>
    <w:p w14:paraId="4FCFB150" w14:textId="33777724" w:rsidR="00146A49" w:rsidRPr="00546DE2" w:rsidRDefault="00146A49" w:rsidP="007518E0">
      <w:pPr>
        <w:pStyle w:val="Sinespaciado"/>
      </w:pPr>
      <w:r w:rsidRPr="0037036B">
        <w:t xml:space="preserve"> </w:t>
      </w:r>
    </w:p>
    <w:p w14:paraId="26834855" w14:textId="6E0315FE" w:rsidR="00146A49" w:rsidRDefault="007518E0" w:rsidP="00A4114C">
      <w:pPr>
        <w:spacing w:line="360" w:lineRule="auto"/>
        <w:jc w:val="both"/>
        <w:rPr>
          <w:rFonts w:ascii="Arial" w:hAnsi="Arial" w:cs="Arial"/>
          <w:sz w:val="24"/>
          <w:szCs w:val="24"/>
        </w:rPr>
      </w:pPr>
      <w:r>
        <w:rPr>
          <w:rFonts w:ascii="Arial" w:hAnsi="Arial" w:cs="Arial"/>
          <w:sz w:val="24"/>
          <w:szCs w:val="24"/>
        </w:rPr>
        <w:t>Igualmente</w:t>
      </w:r>
      <w:r w:rsidR="00146A49" w:rsidRPr="0037036B">
        <w:rPr>
          <w:rFonts w:ascii="Arial" w:hAnsi="Arial" w:cs="Arial"/>
          <w:sz w:val="24"/>
          <w:szCs w:val="24"/>
        </w:rPr>
        <w:t>, a pesar de que el p</w:t>
      </w:r>
      <w:r w:rsidR="004F11DA">
        <w:rPr>
          <w:rFonts w:ascii="Arial" w:hAnsi="Arial" w:cs="Arial"/>
          <w:sz w:val="24"/>
          <w:szCs w:val="24"/>
        </w:rPr>
        <w:t>l</w:t>
      </w:r>
      <w:r w:rsidR="00146A49" w:rsidRPr="0037036B">
        <w:rPr>
          <w:rFonts w:ascii="Arial" w:hAnsi="Arial" w:cs="Arial"/>
          <w:sz w:val="24"/>
          <w:szCs w:val="24"/>
        </w:rPr>
        <w:t>azo para llevar a cabo el registro de candidaturas ante la a</w:t>
      </w:r>
      <w:r w:rsidR="00A4114C">
        <w:rPr>
          <w:rFonts w:ascii="Arial" w:hAnsi="Arial" w:cs="Arial"/>
          <w:sz w:val="24"/>
          <w:szCs w:val="24"/>
        </w:rPr>
        <w:t>utoridad administrativa concluyó</w:t>
      </w:r>
      <w:r w:rsidR="00146A49" w:rsidRPr="0037036B">
        <w:rPr>
          <w:rFonts w:ascii="Arial" w:hAnsi="Arial" w:cs="Arial"/>
          <w:sz w:val="24"/>
          <w:szCs w:val="24"/>
        </w:rPr>
        <w:t xml:space="preserve"> el día </w:t>
      </w:r>
      <w:r w:rsidR="00A4114C">
        <w:rPr>
          <w:rFonts w:ascii="Arial" w:hAnsi="Arial" w:cs="Arial"/>
          <w:sz w:val="24"/>
          <w:szCs w:val="24"/>
        </w:rPr>
        <w:t>20 de marzo</w:t>
      </w:r>
      <w:r w:rsidR="00146A49" w:rsidRPr="0037036B">
        <w:rPr>
          <w:rFonts w:ascii="Arial" w:hAnsi="Arial" w:cs="Arial"/>
          <w:sz w:val="24"/>
          <w:szCs w:val="24"/>
        </w:rPr>
        <w:t>, ello no le genera un perjuicio en</w:t>
      </w:r>
      <w:r w:rsidR="00146A49">
        <w:rPr>
          <w:rFonts w:ascii="Arial" w:hAnsi="Arial" w:cs="Arial"/>
          <w:sz w:val="24"/>
          <w:szCs w:val="24"/>
        </w:rPr>
        <w:t xml:space="preserve"> su</w:t>
      </w:r>
      <w:r w:rsidR="00146A49" w:rsidRPr="0037036B">
        <w:rPr>
          <w:rFonts w:ascii="Arial" w:hAnsi="Arial" w:cs="Arial"/>
          <w:sz w:val="24"/>
          <w:szCs w:val="24"/>
        </w:rPr>
        <w:t xml:space="preserve"> pretensión, pues </w:t>
      </w:r>
      <w:r w:rsidR="00546DE2" w:rsidRPr="00546DE2">
        <w:rPr>
          <w:rFonts w:ascii="Arial" w:hAnsi="Arial" w:cs="Arial"/>
          <w:b/>
          <w:sz w:val="24"/>
          <w:szCs w:val="24"/>
        </w:rPr>
        <w:t>de acreditar la omisión impugnada</w:t>
      </w:r>
      <w:r w:rsidR="00546DE2">
        <w:rPr>
          <w:rFonts w:ascii="Arial" w:hAnsi="Arial" w:cs="Arial"/>
          <w:sz w:val="24"/>
          <w:szCs w:val="24"/>
        </w:rPr>
        <w:t xml:space="preserve">, </w:t>
      </w:r>
      <w:r w:rsidR="00146A49" w:rsidRPr="0037036B">
        <w:rPr>
          <w:rFonts w:ascii="Arial" w:hAnsi="Arial" w:cs="Arial"/>
          <w:sz w:val="24"/>
          <w:szCs w:val="24"/>
        </w:rPr>
        <w:t>a través d</w:t>
      </w:r>
      <w:r w:rsidR="00A4114C">
        <w:rPr>
          <w:rFonts w:ascii="Arial" w:hAnsi="Arial" w:cs="Arial"/>
          <w:sz w:val="24"/>
          <w:szCs w:val="24"/>
        </w:rPr>
        <w:t xml:space="preserve">e una resolución </w:t>
      </w:r>
      <w:r w:rsidR="00146A49" w:rsidRPr="0037036B">
        <w:rPr>
          <w:rFonts w:ascii="Arial" w:hAnsi="Arial" w:cs="Arial"/>
          <w:sz w:val="24"/>
          <w:szCs w:val="24"/>
        </w:rPr>
        <w:t xml:space="preserve">favorable a sus intereses emitida </w:t>
      </w:r>
      <w:r w:rsidR="00A4114C">
        <w:rPr>
          <w:rFonts w:ascii="Arial" w:hAnsi="Arial" w:cs="Arial"/>
          <w:sz w:val="24"/>
          <w:szCs w:val="24"/>
        </w:rPr>
        <w:t xml:space="preserve">por el Consejo General, </w:t>
      </w:r>
      <w:r w:rsidR="00546DE2">
        <w:rPr>
          <w:rFonts w:ascii="Arial" w:hAnsi="Arial" w:cs="Arial"/>
          <w:sz w:val="24"/>
          <w:szCs w:val="24"/>
        </w:rPr>
        <w:t xml:space="preserve">podría conseguir </w:t>
      </w:r>
      <w:r w:rsidR="001E2AB8">
        <w:rPr>
          <w:rFonts w:ascii="Arial" w:hAnsi="Arial" w:cs="Arial"/>
          <w:sz w:val="24"/>
          <w:szCs w:val="24"/>
        </w:rPr>
        <w:t xml:space="preserve">el </w:t>
      </w:r>
      <w:r w:rsidR="001E2AB8" w:rsidRPr="0037036B">
        <w:rPr>
          <w:rFonts w:ascii="Arial" w:hAnsi="Arial" w:cs="Arial"/>
          <w:sz w:val="24"/>
          <w:szCs w:val="24"/>
        </w:rPr>
        <w:t>registro</w:t>
      </w:r>
      <w:r w:rsidR="00146A49" w:rsidRPr="0037036B">
        <w:rPr>
          <w:rFonts w:ascii="Arial" w:hAnsi="Arial" w:cs="Arial"/>
          <w:sz w:val="24"/>
          <w:szCs w:val="24"/>
        </w:rPr>
        <w:t xml:space="preserve"> de </w:t>
      </w:r>
      <w:r w:rsidR="00546DE2">
        <w:rPr>
          <w:rFonts w:ascii="Arial" w:hAnsi="Arial" w:cs="Arial"/>
          <w:sz w:val="24"/>
          <w:szCs w:val="24"/>
        </w:rPr>
        <w:t>su candidatura</w:t>
      </w:r>
      <w:r w:rsidR="00146A49" w:rsidRPr="0037036B">
        <w:rPr>
          <w:rFonts w:ascii="Arial" w:hAnsi="Arial" w:cs="Arial"/>
          <w:sz w:val="24"/>
          <w:szCs w:val="24"/>
        </w:rPr>
        <w:t>, a</w:t>
      </w:r>
      <w:r w:rsidR="00146A49">
        <w:rPr>
          <w:rFonts w:ascii="Arial" w:hAnsi="Arial" w:cs="Arial"/>
          <w:sz w:val="24"/>
          <w:szCs w:val="24"/>
        </w:rPr>
        <w:t>ú</w:t>
      </w:r>
      <w:r w:rsidR="00146A49" w:rsidRPr="0037036B">
        <w:rPr>
          <w:rFonts w:ascii="Arial" w:hAnsi="Arial" w:cs="Arial"/>
          <w:sz w:val="24"/>
          <w:szCs w:val="24"/>
        </w:rPr>
        <w:t xml:space="preserve">n </w:t>
      </w:r>
      <w:r w:rsidR="00146A49">
        <w:rPr>
          <w:rFonts w:ascii="Arial" w:hAnsi="Arial" w:cs="Arial"/>
          <w:sz w:val="24"/>
          <w:szCs w:val="24"/>
        </w:rPr>
        <w:t xml:space="preserve">y </w:t>
      </w:r>
      <w:r w:rsidR="00146A49" w:rsidRPr="0037036B">
        <w:rPr>
          <w:rFonts w:ascii="Arial" w:hAnsi="Arial" w:cs="Arial"/>
          <w:sz w:val="24"/>
          <w:szCs w:val="24"/>
        </w:rPr>
        <w:t xml:space="preserve">cuando las campañas electorales hayan iniciado. </w:t>
      </w:r>
    </w:p>
    <w:p w14:paraId="3D369DF0" w14:textId="77777777" w:rsidR="00657B93" w:rsidRPr="00A4114C" w:rsidRDefault="00657B93" w:rsidP="007518E0">
      <w:pPr>
        <w:pStyle w:val="Sinespaciado"/>
      </w:pPr>
    </w:p>
    <w:p w14:paraId="15B05BF9" w14:textId="31344E31" w:rsidR="00146A49" w:rsidRPr="0037036B" w:rsidRDefault="00146A49" w:rsidP="00146A49">
      <w:pPr>
        <w:spacing w:line="360" w:lineRule="auto"/>
        <w:jc w:val="both"/>
        <w:rPr>
          <w:rFonts w:ascii="Arial" w:hAnsi="Arial" w:cs="Arial"/>
          <w:sz w:val="24"/>
          <w:szCs w:val="24"/>
        </w:rPr>
      </w:pPr>
      <w:r w:rsidRPr="0037036B">
        <w:rPr>
          <w:rFonts w:ascii="Arial" w:hAnsi="Arial" w:cs="Arial"/>
          <w:sz w:val="24"/>
          <w:szCs w:val="24"/>
        </w:rPr>
        <w:t xml:space="preserve">En consecuencia, como la promovente no agotó de forma </w:t>
      </w:r>
      <w:r w:rsidR="00A4114C">
        <w:rPr>
          <w:rFonts w:ascii="Arial" w:hAnsi="Arial" w:cs="Arial"/>
          <w:sz w:val="24"/>
          <w:szCs w:val="24"/>
        </w:rPr>
        <w:t>previa la instancia</w:t>
      </w:r>
      <w:r w:rsidR="007518E0">
        <w:rPr>
          <w:rFonts w:ascii="Arial" w:hAnsi="Arial" w:cs="Arial"/>
          <w:sz w:val="24"/>
          <w:szCs w:val="24"/>
        </w:rPr>
        <w:t xml:space="preserve"> establecida</w:t>
      </w:r>
      <w:r w:rsidR="00A4114C">
        <w:rPr>
          <w:rFonts w:ascii="Arial" w:hAnsi="Arial" w:cs="Arial"/>
          <w:sz w:val="24"/>
          <w:szCs w:val="24"/>
        </w:rPr>
        <w:t xml:space="preserve"> en el Código Electoral </w:t>
      </w:r>
      <w:r w:rsidR="004C58BA">
        <w:rPr>
          <w:rFonts w:ascii="Arial" w:hAnsi="Arial" w:cs="Arial"/>
          <w:sz w:val="24"/>
          <w:szCs w:val="24"/>
        </w:rPr>
        <w:t>implica que el presente asunto actualmente, sea</w:t>
      </w:r>
      <w:r w:rsidRPr="0037036B">
        <w:rPr>
          <w:rFonts w:ascii="Arial" w:hAnsi="Arial" w:cs="Arial"/>
          <w:sz w:val="24"/>
          <w:szCs w:val="24"/>
        </w:rPr>
        <w:t xml:space="preserve"> </w:t>
      </w:r>
      <w:r w:rsidRPr="004C58BA">
        <w:rPr>
          <w:rFonts w:ascii="Arial" w:hAnsi="Arial" w:cs="Arial"/>
          <w:b/>
          <w:sz w:val="24"/>
          <w:szCs w:val="24"/>
        </w:rPr>
        <w:t>improcedente.</w:t>
      </w:r>
      <w:r w:rsidRPr="0037036B">
        <w:rPr>
          <w:rFonts w:ascii="Arial" w:hAnsi="Arial" w:cs="Arial"/>
          <w:sz w:val="24"/>
          <w:szCs w:val="24"/>
        </w:rPr>
        <w:t xml:space="preserve"> </w:t>
      </w:r>
    </w:p>
    <w:p w14:paraId="5939DD53" w14:textId="77777777" w:rsidR="004C58BA" w:rsidRPr="007518E0" w:rsidRDefault="004C58BA" w:rsidP="007518E0">
      <w:pPr>
        <w:pStyle w:val="Sinespaciado"/>
      </w:pPr>
    </w:p>
    <w:p w14:paraId="0B87C910" w14:textId="157A9B81" w:rsidR="00146A49" w:rsidRDefault="00146A49" w:rsidP="00146A49">
      <w:pPr>
        <w:spacing w:line="360" w:lineRule="auto"/>
        <w:jc w:val="both"/>
        <w:rPr>
          <w:rFonts w:ascii="Arial" w:hAnsi="Arial" w:cs="Arial"/>
          <w:b/>
          <w:bCs/>
          <w:sz w:val="24"/>
          <w:szCs w:val="24"/>
        </w:rPr>
      </w:pPr>
      <w:r w:rsidRPr="00914C52">
        <w:rPr>
          <w:rFonts w:ascii="Arial" w:hAnsi="Arial" w:cs="Arial"/>
          <w:b/>
          <w:bCs/>
          <w:sz w:val="24"/>
          <w:szCs w:val="24"/>
        </w:rPr>
        <w:t xml:space="preserve">Reencauzamiento que garantiza el derecho de acceso a la justicia </w:t>
      </w:r>
    </w:p>
    <w:p w14:paraId="7355D467" w14:textId="77777777" w:rsidR="00657B93" w:rsidRPr="007518E0" w:rsidRDefault="00657B93" w:rsidP="007518E0">
      <w:pPr>
        <w:pStyle w:val="Sinespaciado"/>
      </w:pPr>
    </w:p>
    <w:p w14:paraId="73393391" w14:textId="6F9E8FBD" w:rsidR="00146A49" w:rsidRDefault="00146A49" w:rsidP="00146A49">
      <w:pPr>
        <w:spacing w:line="360" w:lineRule="auto"/>
        <w:jc w:val="both"/>
        <w:rPr>
          <w:rFonts w:ascii="Arial" w:hAnsi="Arial" w:cs="Arial"/>
          <w:sz w:val="24"/>
          <w:szCs w:val="24"/>
        </w:rPr>
      </w:pPr>
      <w:r w:rsidRPr="0037036B">
        <w:rPr>
          <w:rFonts w:ascii="Arial" w:hAnsi="Arial" w:cs="Arial"/>
          <w:sz w:val="24"/>
          <w:szCs w:val="24"/>
        </w:rPr>
        <w:t xml:space="preserve">Este Tribunal considera el hecho de que la presente controversia se encuentre plenamente identificada, así como el motivo por el cual refiere un perjuicio, </w:t>
      </w:r>
      <w:r w:rsidR="007518E0">
        <w:rPr>
          <w:rFonts w:ascii="Arial" w:hAnsi="Arial" w:cs="Arial"/>
          <w:sz w:val="24"/>
          <w:szCs w:val="24"/>
        </w:rPr>
        <w:t xml:space="preserve">derivado de ello, </w:t>
      </w:r>
      <w:r w:rsidRPr="00EE24FF">
        <w:rPr>
          <w:rFonts w:ascii="Arial" w:hAnsi="Arial" w:cs="Arial"/>
          <w:b/>
          <w:bCs/>
          <w:sz w:val="24"/>
          <w:szCs w:val="24"/>
        </w:rPr>
        <w:t>surge la necesidad de reencauza</w:t>
      </w:r>
      <w:r w:rsidR="004C58BA">
        <w:rPr>
          <w:rFonts w:ascii="Arial" w:hAnsi="Arial" w:cs="Arial"/>
          <w:b/>
          <w:bCs/>
          <w:sz w:val="24"/>
          <w:szCs w:val="24"/>
        </w:rPr>
        <w:t xml:space="preserve">r la demanda al Consejo General, </w:t>
      </w:r>
      <w:r w:rsidRPr="0037036B">
        <w:rPr>
          <w:rFonts w:ascii="Arial" w:hAnsi="Arial" w:cs="Arial"/>
          <w:sz w:val="24"/>
          <w:szCs w:val="24"/>
        </w:rPr>
        <w:t>con el propósito de garantizar el derecho de acceso a la justicia previsto en el artículo 17 de la Constitución Federal</w:t>
      </w:r>
      <w:r w:rsidR="00EE24FF">
        <w:rPr>
          <w:rStyle w:val="Refdenotaalpie"/>
          <w:rFonts w:ascii="Arial" w:hAnsi="Arial" w:cs="Arial"/>
          <w:sz w:val="24"/>
          <w:szCs w:val="24"/>
        </w:rPr>
        <w:footnoteReference w:id="7"/>
      </w:r>
      <w:r w:rsidRPr="0037036B">
        <w:rPr>
          <w:rFonts w:ascii="Arial" w:hAnsi="Arial" w:cs="Arial"/>
          <w:sz w:val="24"/>
          <w:szCs w:val="24"/>
        </w:rPr>
        <w:t>.</w:t>
      </w:r>
    </w:p>
    <w:p w14:paraId="6A1F75E4" w14:textId="77777777" w:rsidR="00146A49" w:rsidRPr="007518E0" w:rsidRDefault="00146A49" w:rsidP="007518E0">
      <w:pPr>
        <w:pStyle w:val="Sinespaciado"/>
      </w:pPr>
    </w:p>
    <w:p w14:paraId="747C29D3" w14:textId="54115C6E" w:rsidR="00146A49" w:rsidRDefault="00146A49" w:rsidP="00146A49">
      <w:pPr>
        <w:spacing w:line="360" w:lineRule="auto"/>
        <w:jc w:val="both"/>
        <w:rPr>
          <w:rFonts w:ascii="Arial" w:hAnsi="Arial" w:cs="Arial"/>
          <w:sz w:val="24"/>
          <w:szCs w:val="24"/>
        </w:rPr>
      </w:pPr>
      <w:r w:rsidRPr="0037036B">
        <w:rPr>
          <w:rFonts w:ascii="Arial" w:hAnsi="Arial" w:cs="Arial"/>
          <w:sz w:val="24"/>
          <w:szCs w:val="24"/>
        </w:rPr>
        <w:t>Lo anterior, para que, en el plazo de</w:t>
      </w:r>
      <w:r w:rsidR="002549CE">
        <w:rPr>
          <w:rFonts w:ascii="Arial" w:hAnsi="Arial" w:cs="Arial"/>
          <w:sz w:val="24"/>
          <w:szCs w:val="24"/>
        </w:rPr>
        <w:t xml:space="preserve"> 3</w:t>
      </w:r>
      <w:r w:rsidR="00546DE2">
        <w:rPr>
          <w:rFonts w:ascii="Arial" w:hAnsi="Arial" w:cs="Arial"/>
          <w:sz w:val="24"/>
          <w:szCs w:val="24"/>
        </w:rPr>
        <w:t xml:space="preserve"> días</w:t>
      </w:r>
      <w:r w:rsidRPr="0037036B">
        <w:rPr>
          <w:rFonts w:ascii="Arial" w:hAnsi="Arial" w:cs="Arial"/>
          <w:sz w:val="24"/>
          <w:szCs w:val="24"/>
        </w:rPr>
        <w:t>, contadas a partir de que se tengan las constancias de tr</w:t>
      </w:r>
      <w:r w:rsidR="00EE24FF">
        <w:rPr>
          <w:rFonts w:ascii="Arial" w:hAnsi="Arial" w:cs="Arial"/>
          <w:sz w:val="24"/>
          <w:szCs w:val="24"/>
        </w:rPr>
        <w:t>á</w:t>
      </w:r>
      <w:r w:rsidRPr="0037036B">
        <w:rPr>
          <w:rFonts w:ascii="Arial" w:hAnsi="Arial" w:cs="Arial"/>
          <w:sz w:val="24"/>
          <w:szCs w:val="24"/>
        </w:rPr>
        <w:t xml:space="preserve">mite realice lo siguiente: </w:t>
      </w:r>
      <w:r w:rsidRPr="00914C52">
        <w:rPr>
          <w:rFonts w:ascii="Arial" w:hAnsi="Arial" w:cs="Arial"/>
          <w:b/>
          <w:bCs/>
          <w:i/>
          <w:iCs/>
          <w:sz w:val="24"/>
          <w:szCs w:val="24"/>
        </w:rPr>
        <w:t>a)</w:t>
      </w:r>
      <w:r w:rsidR="00546DE2">
        <w:rPr>
          <w:rFonts w:ascii="Arial" w:hAnsi="Arial" w:cs="Arial"/>
          <w:sz w:val="24"/>
          <w:szCs w:val="24"/>
        </w:rPr>
        <w:t xml:space="preserve"> conozca el r</w:t>
      </w:r>
      <w:r w:rsidR="004C58BA">
        <w:rPr>
          <w:rFonts w:ascii="Arial" w:hAnsi="Arial" w:cs="Arial"/>
          <w:sz w:val="24"/>
          <w:szCs w:val="24"/>
        </w:rPr>
        <w:t xml:space="preserve">ecurso de </w:t>
      </w:r>
      <w:r w:rsidR="00546DE2">
        <w:rPr>
          <w:rFonts w:ascii="Arial" w:hAnsi="Arial" w:cs="Arial"/>
          <w:sz w:val="24"/>
          <w:szCs w:val="24"/>
        </w:rPr>
        <w:t>i</w:t>
      </w:r>
      <w:r w:rsidR="00827311">
        <w:rPr>
          <w:rFonts w:ascii="Arial" w:hAnsi="Arial" w:cs="Arial"/>
          <w:sz w:val="24"/>
          <w:szCs w:val="24"/>
        </w:rPr>
        <w:t>nconformidad</w:t>
      </w:r>
      <w:r w:rsidRPr="0037036B">
        <w:rPr>
          <w:rFonts w:ascii="Arial" w:hAnsi="Arial" w:cs="Arial"/>
          <w:sz w:val="24"/>
          <w:szCs w:val="24"/>
        </w:rPr>
        <w:t xml:space="preserve"> presentado a</w:t>
      </w:r>
      <w:r w:rsidR="004C58BA">
        <w:rPr>
          <w:rFonts w:ascii="Arial" w:hAnsi="Arial" w:cs="Arial"/>
          <w:sz w:val="24"/>
          <w:szCs w:val="24"/>
        </w:rPr>
        <w:t>nte esta autoridad jurisdiccional</w:t>
      </w:r>
      <w:r w:rsidRPr="0037036B">
        <w:rPr>
          <w:rFonts w:ascii="Arial" w:hAnsi="Arial" w:cs="Arial"/>
          <w:sz w:val="24"/>
          <w:szCs w:val="24"/>
        </w:rPr>
        <w:t xml:space="preserve">, </w:t>
      </w:r>
      <w:r w:rsidRPr="00914C52">
        <w:rPr>
          <w:rFonts w:ascii="Arial" w:hAnsi="Arial" w:cs="Arial"/>
          <w:b/>
          <w:bCs/>
          <w:i/>
          <w:iCs/>
          <w:sz w:val="24"/>
          <w:szCs w:val="24"/>
        </w:rPr>
        <w:t>b)</w:t>
      </w:r>
      <w:r w:rsidRPr="0037036B">
        <w:rPr>
          <w:rFonts w:ascii="Arial" w:hAnsi="Arial" w:cs="Arial"/>
          <w:sz w:val="24"/>
          <w:szCs w:val="24"/>
        </w:rPr>
        <w:t xml:space="preserve"> resuelva la controversia planteada en plenitud de jurisdicción y; </w:t>
      </w:r>
      <w:r w:rsidRPr="00914C52">
        <w:rPr>
          <w:rFonts w:ascii="Arial" w:hAnsi="Arial" w:cs="Arial"/>
          <w:b/>
          <w:bCs/>
          <w:i/>
          <w:iCs/>
          <w:sz w:val="24"/>
          <w:szCs w:val="24"/>
        </w:rPr>
        <w:t>c)</w:t>
      </w:r>
      <w:r w:rsidRPr="0037036B">
        <w:rPr>
          <w:rFonts w:ascii="Arial" w:hAnsi="Arial" w:cs="Arial"/>
          <w:sz w:val="24"/>
          <w:szCs w:val="24"/>
        </w:rPr>
        <w:t xml:space="preserve"> sin que esta resolución prejuzgue la procedencia del medio de </w:t>
      </w:r>
      <w:r w:rsidR="00A42F43">
        <w:rPr>
          <w:rFonts w:ascii="Arial" w:hAnsi="Arial" w:cs="Arial"/>
          <w:sz w:val="24"/>
          <w:szCs w:val="24"/>
        </w:rPr>
        <w:lastRenderedPageBreak/>
        <w:t>i</w:t>
      </w:r>
      <w:r w:rsidRPr="0037036B">
        <w:rPr>
          <w:rFonts w:ascii="Arial" w:hAnsi="Arial" w:cs="Arial"/>
          <w:sz w:val="24"/>
          <w:szCs w:val="24"/>
        </w:rPr>
        <w:t>mpugnación</w:t>
      </w:r>
      <w:r w:rsidRPr="0037036B">
        <w:rPr>
          <w:rStyle w:val="Refdenotaalpie"/>
          <w:rFonts w:ascii="Arial" w:hAnsi="Arial" w:cs="Arial"/>
          <w:sz w:val="24"/>
          <w:szCs w:val="24"/>
        </w:rPr>
        <w:footnoteReference w:id="8"/>
      </w:r>
      <w:r w:rsidRPr="0037036B">
        <w:rPr>
          <w:rFonts w:ascii="Arial" w:hAnsi="Arial" w:cs="Arial"/>
          <w:sz w:val="24"/>
          <w:szCs w:val="24"/>
        </w:rPr>
        <w:t xml:space="preserve">. </w:t>
      </w:r>
      <w:r w:rsidR="002549CE">
        <w:rPr>
          <w:rFonts w:ascii="Arial" w:hAnsi="Arial" w:cs="Arial"/>
          <w:sz w:val="24"/>
          <w:szCs w:val="24"/>
        </w:rPr>
        <w:t>Ello, si</w:t>
      </w:r>
      <w:r w:rsidR="0019664B">
        <w:rPr>
          <w:rFonts w:ascii="Arial" w:hAnsi="Arial" w:cs="Arial"/>
          <w:sz w:val="24"/>
          <w:szCs w:val="24"/>
        </w:rPr>
        <w:t>n</w:t>
      </w:r>
      <w:r w:rsidR="002549CE">
        <w:rPr>
          <w:rFonts w:ascii="Arial" w:hAnsi="Arial" w:cs="Arial"/>
          <w:sz w:val="24"/>
          <w:szCs w:val="24"/>
        </w:rPr>
        <w:t xml:space="preserve"> perjuicio de lo dispuesto por el artículo 332, del Código Electoral</w:t>
      </w:r>
      <w:r w:rsidR="002549CE">
        <w:rPr>
          <w:rStyle w:val="Refdenotaalpie"/>
          <w:rFonts w:ascii="Arial" w:hAnsi="Arial" w:cs="Arial"/>
          <w:sz w:val="24"/>
          <w:szCs w:val="24"/>
        </w:rPr>
        <w:footnoteReference w:id="9"/>
      </w:r>
      <w:r w:rsidR="0019664B">
        <w:rPr>
          <w:rFonts w:ascii="Arial" w:hAnsi="Arial" w:cs="Arial"/>
          <w:sz w:val="24"/>
          <w:szCs w:val="24"/>
        </w:rPr>
        <w:t xml:space="preserve">, al advertir que se cuenta con las constancias necesarias para su resolución. </w:t>
      </w:r>
      <w:r w:rsidR="002549CE">
        <w:rPr>
          <w:rFonts w:ascii="Arial" w:hAnsi="Arial" w:cs="Arial"/>
          <w:sz w:val="24"/>
          <w:szCs w:val="24"/>
        </w:rPr>
        <w:t xml:space="preserve"> </w:t>
      </w:r>
    </w:p>
    <w:p w14:paraId="515ECF52" w14:textId="77777777" w:rsidR="00146A49" w:rsidRPr="0037036B" w:rsidRDefault="00146A49" w:rsidP="00146A49">
      <w:pPr>
        <w:pStyle w:val="Sinespaciado"/>
      </w:pPr>
    </w:p>
    <w:p w14:paraId="5A5D7013" w14:textId="16C04E26" w:rsidR="00146A49" w:rsidRDefault="004C58BA" w:rsidP="00146A49">
      <w:pPr>
        <w:spacing w:line="360" w:lineRule="auto"/>
        <w:jc w:val="both"/>
        <w:rPr>
          <w:rFonts w:ascii="Arial" w:hAnsi="Arial" w:cs="Arial"/>
          <w:sz w:val="24"/>
          <w:szCs w:val="24"/>
        </w:rPr>
      </w:pPr>
      <w:r>
        <w:rPr>
          <w:rFonts w:ascii="Arial" w:hAnsi="Arial" w:cs="Arial"/>
          <w:sz w:val="24"/>
          <w:szCs w:val="24"/>
        </w:rPr>
        <w:t xml:space="preserve">Asimismo, el Consejo </w:t>
      </w:r>
      <w:r w:rsidR="007518E0">
        <w:rPr>
          <w:rFonts w:ascii="Arial" w:hAnsi="Arial" w:cs="Arial"/>
          <w:sz w:val="24"/>
          <w:szCs w:val="24"/>
        </w:rPr>
        <w:t xml:space="preserve">General </w:t>
      </w:r>
      <w:r w:rsidR="007518E0" w:rsidRPr="0037036B">
        <w:rPr>
          <w:rFonts w:ascii="Arial" w:hAnsi="Arial" w:cs="Arial"/>
          <w:sz w:val="24"/>
          <w:szCs w:val="24"/>
        </w:rPr>
        <w:t>deberá</w:t>
      </w:r>
      <w:r w:rsidR="00146A49" w:rsidRPr="0037036B">
        <w:rPr>
          <w:rFonts w:ascii="Arial" w:hAnsi="Arial" w:cs="Arial"/>
          <w:sz w:val="24"/>
          <w:szCs w:val="24"/>
        </w:rPr>
        <w:t xml:space="preserve"> informar a este Tribunal sobre el cumplimiento, dentro de las 24 horas posteriores a </w:t>
      </w:r>
      <w:r w:rsidR="00146A49">
        <w:rPr>
          <w:rFonts w:ascii="Arial" w:hAnsi="Arial" w:cs="Arial"/>
          <w:sz w:val="24"/>
          <w:szCs w:val="24"/>
        </w:rPr>
        <w:t xml:space="preserve">que </w:t>
      </w:r>
      <w:r w:rsidR="00146A49" w:rsidRPr="0037036B">
        <w:rPr>
          <w:rFonts w:ascii="Arial" w:hAnsi="Arial" w:cs="Arial"/>
          <w:sz w:val="24"/>
          <w:szCs w:val="24"/>
        </w:rPr>
        <w:t>emita la resolución y, a su vez, remitir las constancias que lo acrediten; primero vía correo electrónico a la cu</w:t>
      </w:r>
      <w:r w:rsidR="004F11DA">
        <w:rPr>
          <w:rFonts w:ascii="Arial" w:hAnsi="Arial" w:cs="Arial"/>
          <w:sz w:val="24"/>
          <w:szCs w:val="24"/>
        </w:rPr>
        <w:t>e</w:t>
      </w:r>
      <w:r w:rsidR="00146A49" w:rsidRPr="0037036B">
        <w:rPr>
          <w:rFonts w:ascii="Arial" w:hAnsi="Arial" w:cs="Arial"/>
          <w:sz w:val="24"/>
          <w:szCs w:val="24"/>
        </w:rPr>
        <w:t xml:space="preserve">nta </w:t>
      </w:r>
      <w:hyperlink r:id="rId8" w:history="1">
        <w:r w:rsidR="00EE24FF" w:rsidRPr="00EE24FF">
          <w:rPr>
            <w:rStyle w:val="Hipervnculo"/>
            <w:rFonts w:ascii="Arial" w:hAnsi="Arial" w:cs="Arial"/>
            <w:i/>
            <w:iCs/>
            <w:sz w:val="24"/>
            <w:szCs w:val="24"/>
          </w:rPr>
          <w:t>cumplimientos@teeags.mx</w:t>
        </w:r>
      </w:hyperlink>
      <w:r w:rsidR="00EE24FF">
        <w:rPr>
          <w:rFonts w:ascii="Arial" w:hAnsi="Arial" w:cs="Arial"/>
          <w:sz w:val="24"/>
          <w:szCs w:val="24"/>
        </w:rPr>
        <w:t>;</w:t>
      </w:r>
      <w:r w:rsidR="00146A49" w:rsidRPr="0037036B">
        <w:rPr>
          <w:rFonts w:ascii="Arial" w:hAnsi="Arial" w:cs="Arial"/>
          <w:sz w:val="24"/>
          <w:szCs w:val="24"/>
        </w:rPr>
        <w:t xml:space="preserve"> después en original o copia certificada por el medio más rápido. </w:t>
      </w:r>
    </w:p>
    <w:p w14:paraId="031520A5" w14:textId="77777777" w:rsidR="00146A49" w:rsidRPr="0037036B" w:rsidRDefault="00146A49" w:rsidP="00146A49">
      <w:pPr>
        <w:pStyle w:val="Sinespaciado"/>
      </w:pPr>
    </w:p>
    <w:p w14:paraId="4DA15C72" w14:textId="5B725E21" w:rsidR="00146A49" w:rsidRDefault="00146A49" w:rsidP="00146A49">
      <w:pPr>
        <w:spacing w:line="360" w:lineRule="auto"/>
        <w:jc w:val="both"/>
        <w:rPr>
          <w:rFonts w:ascii="Arial" w:hAnsi="Arial" w:cs="Arial"/>
          <w:sz w:val="24"/>
          <w:szCs w:val="24"/>
        </w:rPr>
      </w:pPr>
      <w:r w:rsidRPr="0037036B">
        <w:rPr>
          <w:rFonts w:ascii="Arial" w:hAnsi="Arial" w:cs="Arial"/>
          <w:sz w:val="24"/>
          <w:szCs w:val="24"/>
        </w:rPr>
        <w:t xml:space="preserve">Esto, bajo el apercibimiento que en caso de incumplir lo ordenado en el plazo precisado, se aplicara alguna de las medidas de apremio, previstas en el artículo </w:t>
      </w:r>
      <w:r w:rsidR="00EE24FF">
        <w:rPr>
          <w:rFonts w:ascii="Arial" w:hAnsi="Arial" w:cs="Arial"/>
          <w:sz w:val="24"/>
          <w:szCs w:val="24"/>
        </w:rPr>
        <w:t>328</w:t>
      </w:r>
      <w:r w:rsidRPr="0037036B">
        <w:rPr>
          <w:rFonts w:ascii="Arial" w:hAnsi="Arial" w:cs="Arial"/>
          <w:sz w:val="24"/>
          <w:szCs w:val="24"/>
        </w:rPr>
        <w:t xml:space="preserve"> del Código Electoral. </w:t>
      </w:r>
    </w:p>
    <w:p w14:paraId="4D91EF21" w14:textId="77777777" w:rsidR="00EE24FF" w:rsidRPr="0037036B" w:rsidRDefault="00EE24FF" w:rsidP="00EE24FF">
      <w:pPr>
        <w:pStyle w:val="Sinespaciado"/>
      </w:pPr>
    </w:p>
    <w:p w14:paraId="2B334098" w14:textId="273309CC" w:rsidR="001A177E" w:rsidRPr="0037036B" w:rsidRDefault="00146A49" w:rsidP="00146A49">
      <w:pPr>
        <w:spacing w:line="360" w:lineRule="auto"/>
        <w:jc w:val="both"/>
        <w:rPr>
          <w:rFonts w:ascii="Arial" w:hAnsi="Arial" w:cs="Arial"/>
          <w:sz w:val="24"/>
          <w:szCs w:val="24"/>
        </w:rPr>
      </w:pPr>
      <w:r w:rsidRPr="0037036B">
        <w:rPr>
          <w:rFonts w:ascii="Arial" w:hAnsi="Arial" w:cs="Arial"/>
          <w:sz w:val="24"/>
          <w:szCs w:val="24"/>
        </w:rPr>
        <w:t xml:space="preserve">Por lo expuesto y fundado, se: </w:t>
      </w:r>
    </w:p>
    <w:p w14:paraId="436E9084" w14:textId="108FC443" w:rsidR="00B30DA7" w:rsidRPr="00B30DA7" w:rsidRDefault="00B30DA7" w:rsidP="00A42F43">
      <w:pPr>
        <w:pStyle w:val="Ttulo1"/>
        <w:tabs>
          <w:tab w:val="left" w:pos="3105"/>
          <w:tab w:val="center" w:pos="4844"/>
        </w:tabs>
        <w:spacing w:after="0" w:afterAutospacing="0"/>
        <w:jc w:val="center"/>
        <w:rPr>
          <w:rFonts w:cs="Arial"/>
          <w:szCs w:val="24"/>
        </w:rPr>
      </w:pPr>
      <w:bookmarkStart w:id="38" w:name="_Toc513490613"/>
      <w:bookmarkStart w:id="39" w:name="_Toc39151171"/>
      <w:bookmarkStart w:id="40" w:name="_Toc39231236"/>
      <w:bookmarkStart w:id="41" w:name="_Toc67049769"/>
      <w:r w:rsidRPr="00B30DA7">
        <w:rPr>
          <w:rFonts w:cs="Arial"/>
          <w:caps w:val="0"/>
          <w:szCs w:val="24"/>
        </w:rPr>
        <w:t>Acuerda</w:t>
      </w:r>
      <w:bookmarkEnd w:id="38"/>
      <w:bookmarkEnd w:id="39"/>
      <w:bookmarkEnd w:id="40"/>
      <w:bookmarkEnd w:id="41"/>
    </w:p>
    <w:p w14:paraId="03AAF0BF" w14:textId="77777777" w:rsidR="00B30DA7" w:rsidRPr="00A42F43" w:rsidRDefault="00B30DA7" w:rsidP="00A42F43">
      <w:pPr>
        <w:pStyle w:val="Sinespaciado"/>
      </w:pPr>
    </w:p>
    <w:p w14:paraId="4FE28C3A" w14:textId="45CBE1A5" w:rsidR="00B30DA7" w:rsidRPr="00B30DA7" w:rsidRDefault="00657B93" w:rsidP="00B30DA7">
      <w:pPr>
        <w:spacing w:line="360" w:lineRule="auto"/>
        <w:jc w:val="both"/>
        <w:rPr>
          <w:rFonts w:ascii="Arial" w:eastAsia="Calibri" w:hAnsi="Arial" w:cs="Arial"/>
          <w:sz w:val="24"/>
          <w:szCs w:val="24"/>
          <w:lang w:eastAsia="es-MX"/>
        </w:rPr>
      </w:pPr>
      <w:r>
        <w:rPr>
          <w:rFonts w:ascii="Arial" w:eastAsia="Calibri" w:hAnsi="Arial" w:cs="Arial"/>
          <w:b/>
          <w:bCs/>
          <w:sz w:val="24"/>
          <w:szCs w:val="24"/>
          <w:lang w:eastAsia="es-MX"/>
        </w:rPr>
        <w:t>Único</w:t>
      </w:r>
      <w:r w:rsidR="00B30DA7" w:rsidRPr="00B30DA7">
        <w:rPr>
          <w:rFonts w:ascii="Arial" w:eastAsia="Calibri" w:hAnsi="Arial" w:cs="Arial"/>
          <w:b/>
          <w:bCs/>
          <w:sz w:val="24"/>
          <w:szCs w:val="24"/>
          <w:lang w:eastAsia="es-MX"/>
        </w:rPr>
        <w:t xml:space="preserve">. </w:t>
      </w:r>
      <w:r w:rsidR="00B30DA7" w:rsidRPr="00B30DA7">
        <w:rPr>
          <w:rFonts w:ascii="Arial" w:eastAsia="Calibri" w:hAnsi="Arial" w:cs="Arial"/>
          <w:sz w:val="24"/>
          <w:szCs w:val="24"/>
          <w:lang w:eastAsia="es-MX"/>
        </w:rPr>
        <w:t xml:space="preserve">Se </w:t>
      </w:r>
      <w:r w:rsidR="00B30DA7" w:rsidRPr="00B30DA7">
        <w:rPr>
          <w:rFonts w:ascii="Arial" w:eastAsia="Calibri" w:hAnsi="Arial" w:cs="Arial"/>
          <w:b/>
          <w:sz w:val="24"/>
          <w:szCs w:val="24"/>
          <w:lang w:eastAsia="es-MX"/>
        </w:rPr>
        <w:t>reencauza</w:t>
      </w:r>
      <w:r w:rsidR="004C58BA">
        <w:rPr>
          <w:rFonts w:ascii="Arial" w:eastAsia="Calibri" w:hAnsi="Arial" w:cs="Arial"/>
          <w:sz w:val="24"/>
          <w:szCs w:val="24"/>
          <w:lang w:eastAsia="es-MX"/>
        </w:rPr>
        <w:t xml:space="preserve"> la demanda al Consejo General del Instituto Estatal de Aguascalientes.</w:t>
      </w:r>
    </w:p>
    <w:p w14:paraId="412A79CB" w14:textId="77777777" w:rsidR="00B30DA7" w:rsidRPr="00A42F43" w:rsidRDefault="00B30DA7" w:rsidP="00A42F43">
      <w:pPr>
        <w:pStyle w:val="Sinespaciado"/>
      </w:pPr>
    </w:p>
    <w:p w14:paraId="02561442" w14:textId="77777777" w:rsidR="00EE24FF" w:rsidRDefault="00B30DA7" w:rsidP="00EE24FF">
      <w:pPr>
        <w:spacing w:line="360" w:lineRule="auto"/>
        <w:jc w:val="both"/>
        <w:rPr>
          <w:rFonts w:ascii="Arial" w:eastAsia="Calibri" w:hAnsi="Arial" w:cs="Arial"/>
          <w:sz w:val="24"/>
          <w:szCs w:val="24"/>
          <w:lang w:eastAsia="es-MX"/>
        </w:rPr>
      </w:pPr>
      <w:r w:rsidRPr="00B30DA7">
        <w:rPr>
          <w:rFonts w:ascii="Arial" w:eastAsia="Calibri" w:hAnsi="Arial" w:cs="Arial"/>
          <w:sz w:val="24"/>
          <w:szCs w:val="24"/>
          <w:lang w:eastAsia="es-MX"/>
        </w:rPr>
        <w:t xml:space="preserve">En su oportunidad, </w:t>
      </w:r>
      <w:r w:rsidRPr="00B30DA7">
        <w:rPr>
          <w:rFonts w:ascii="Arial" w:eastAsia="Calibri" w:hAnsi="Arial" w:cs="Arial"/>
          <w:b/>
          <w:sz w:val="24"/>
          <w:szCs w:val="24"/>
          <w:lang w:eastAsia="es-MX"/>
        </w:rPr>
        <w:t>archívese</w:t>
      </w:r>
      <w:r w:rsidRPr="00B30DA7">
        <w:rPr>
          <w:rFonts w:ascii="Arial" w:eastAsia="Calibri" w:hAnsi="Arial" w:cs="Arial"/>
          <w:sz w:val="24"/>
          <w:szCs w:val="24"/>
          <w:lang w:eastAsia="es-MX"/>
        </w:rPr>
        <w:t xml:space="preserve"> el expediente como asunto concluido. </w:t>
      </w:r>
    </w:p>
    <w:p w14:paraId="1CE2AE20" w14:textId="77777777" w:rsidR="00EE24FF" w:rsidRPr="004F11DA" w:rsidRDefault="00EE24FF" w:rsidP="004F11DA">
      <w:pPr>
        <w:pStyle w:val="Sinespaciado"/>
        <w:rPr>
          <w:rFonts w:eastAsia="Calibri"/>
        </w:rPr>
      </w:pPr>
    </w:p>
    <w:p w14:paraId="6603BD9A" w14:textId="3523A1A6" w:rsidR="00EE24FF" w:rsidRDefault="00054D63" w:rsidP="004F11DA">
      <w:pPr>
        <w:spacing w:line="360" w:lineRule="auto"/>
        <w:jc w:val="both"/>
        <w:rPr>
          <w:rFonts w:ascii="Arial" w:eastAsia="Arial" w:hAnsi="Arial" w:cs="Arial"/>
          <w:color w:val="000000"/>
          <w:sz w:val="24"/>
          <w:szCs w:val="24"/>
          <w:u w:color="000000"/>
          <w:bdr w:val="nil"/>
          <w:lang w:val="es-ES_tradnl" w:eastAsia="es-MX"/>
        </w:rPr>
      </w:pPr>
      <w:r w:rsidRPr="00B30DA7">
        <w:rPr>
          <w:rFonts w:ascii="Arial" w:eastAsia="Arial" w:hAnsi="Arial" w:cs="Arial"/>
          <w:b/>
          <w:bCs/>
          <w:color w:val="000000"/>
          <w:sz w:val="24"/>
          <w:szCs w:val="24"/>
          <w:u w:color="000000"/>
          <w:bdr w:val="nil"/>
          <w:lang w:val="es-ES_tradnl" w:eastAsia="es-MX"/>
        </w:rPr>
        <w:t>Notifíquese</w:t>
      </w:r>
      <w:r w:rsidRPr="00B30DA7">
        <w:rPr>
          <w:rFonts w:ascii="Arial" w:eastAsia="Arial" w:hAnsi="Arial" w:cs="Arial"/>
          <w:color w:val="000000"/>
          <w:sz w:val="24"/>
          <w:szCs w:val="24"/>
          <w:u w:color="000000"/>
          <w:bdr w:val="nil"/>
          <w:lang w:val="es-ES_tradnl" w:eastAsia="es-MX"/>
        </w:rPr>
        <w:t xml:space="preserve"> conforme a Derecho. </w:t>
      </w:r>
      <w:bookmarkEnd w:id="0"/>
    </w:p>
    <w:p w14:paraId="32FD1EA5" w14:textId="77777777" w:rsidR="007518E0" w:rsidRPr="004F11DA" w:rsidRDefault="007518E0" w:rsidP="007518E0">
      <w:pPr>
        <w:pStyle w:val="Sinespaciado"/>
        <w:rPr>
          <w:rFonts w:eastAsia="Arial"/>
          <w:u w:color="000000"/>
          <w:bdr w:val="nil"/>
          <w:lang w:val="es-ES_tradnl" w:eastAsia="es-MX"/>
        </w:rPr>
      </w:pPr>
    </w:p>
    <w:p w14:paraId="0BB2B58A" w14:textId="6A82C099" w:rsidR="00054D63" w:rsidRPr="00B30DA7" w:rsidRDefault="00054D63" w:rsidP="00B30DA7">
      <w:pPr>
        <w:spacing w:line="360" w:lineRule="auto"/>
        <w:jc w:val="both"/>
        <w:rPr>
          <w:rFonts w:ascii="Arial" w:hAnsi="Arial" w:cs="Arial"/>
          <w:bCs/>
          <w:sz w:val="24"/>
          <w:szCs w:val="24"/>
        </w:rPr>
      </w:pPr>
      <w:r w:rsidRPr="00B30DA7">
        <w:rPr>
          <w:rFonts w:ascii="Arial" w:hAnsi="Arial" w:cs="Arial"/>
          <w:sz w:val="24"/>
          <w:szCs w:val="24"/>
          <w:lang w:eastAsia="es-MX"/>
        </w:rPr>
        <w:t>Así lo resolvieron, por</w:t>
      </w:r>
      <w:r w:rsidRPr="00B30DA7">
        <w:rPr>
          <w:rFonts w:ascii="Arial" w:hAnsi="Arial" w:cs="Arial"/>
          <w:b/>
          <w:bCs/>
          <w:sz w:val="24"/>
          <w:szCs w:val="24"/>
        </w:rPr>
        <w:t xml:space="preserve"> </w:t>
      </w:r>
      <w:r w:rsidR="00493E6A" w:rsidRPr="00B30DA7">
        <w:rPr>
          <w:rFonts w:ascii="Arial" w:hAnsi="Arial" w:cs="Arial"/>
          <w:sz w:val="24"/>
          <w:szCs w:val="24"/>
        </w:rPr>
        <w:t xml:space="preserve">unanimidad </w:t>
      </w:r>
      <w:r w:rsidRPr="00B30DA7">
        <w:rPr>
          <w:rFonts w:ascii="Arial" w:hAnsi="Arial" w:cs="Arial"/>
          <w:sz w:val="24"/>
          <w:szCs w:val="24"/>
        </w:rPr>
        <w:t xml:space="preserve">de votos, </w:t>
      </w:r>
      <w:r w:rsidRPr="00B30DA7">
        <w:rPr>
          <w:rFonts w:ascii="Arial" w:hAnsi="Arial" w:cs="Arial"/>
          <w:bCs/>
          <w:sz w:val="24"/>
          <w:szCs w:val="24"/>
        </w:rPr>
        <w:t>las Magistrada y el Magistrado del Tribunal Electoral del Estado de Aguascalientes</w:t>
      </w:r>
      <w:r w:rsidRPr="00B30DA7">
        <w:rPr>
          <w:rFonts w:ascii="Arial" w:hAnsi="Arial" w:cs="Arial"/>
          <w:sz w:val="24"/>
          <w:szCs w:val="24"/>
        </w:rPr>
        <w:t xml:space="preserve">, </w:t>
      </w:r>
      <w:r w:rsidRPr="00B30DA7">
        <w:rPr>
          <w:rFonts w:ascii="Arial" w:hAnsi="Arial" w:cs="Arial"/>
          <w:bCs/>
          <w:sz w:val="24"/>
          <w:szCs w:val="24"/>
        </w:rPr>
        <w:t>ante el Secretario General de Acuerdos que autoriza y da fe.</w:t>
      </w:r>
    </w:p>
    <w:p w14:paraId="5442DEB0" w14:textId="77777777" w:rsidR="00B907C5" w:rsidRPr="00B30DA7" w:rsidRDefault="00B907C5" w:rsidP="00B30DA7">
      <w:pPr>
        <w:spacing w:line="360" w:lineRule="auto"/>
        <w:jc w:val="both"/>
        <w:rPr>
          <w:rFonts w:ascii="Arial" w:hAnsi="Arial" w:cs="Arial"/>
          <w:bCs/>
          <w:sz w:val="24"/>
          <w:szCs w:val="24"/>
        </w:rPr>
      </w:pPr>
    </w:p>
    <w:tbl>
      <w:tblPr>
        <w:tblW w:w="8175" w:type="dxa"/>
        <w:jc w:val="center"/>
        <w:tblLayout w:type="fixed"/>
        <w:tblLook w:val="04A0" w:firstRow="1" w:lastRow="0" w:firstColumn="1" w:lastColumn="0" w:noHBand="0" w:noVBand="1"/>
      </w:tblPr>
      <w:tblGrid>
        <w:gridCol w:w="4063"/>
        <w:gridCol w:w="4112"/>
      </w:tblGrid>
      <w:tr w:rsidR="00667675" w:rsidRPr="00B30DA7" w14:paraId="0211FD11" w14:textId="77777777" w:rsidTr="00667675">
        <w:trPr>
          <w:trHeight w:val="1093"/>
          <w:jc w:val="center"/>
        </w:trPr>
        <w:tc>
          <w:tcPr>
            <w:tcW w:w="8175" w:type="dxa"/>
            <w:gridSpan w:val="2"/>
          </w:tcPr>
          <w:bookmarkEnd w:id="1"/>
          <w:p w14:paraId="1626B7BE" w14:textId="74532E82" w:rsidR="00667675" w:rsidRDefault="00667675" w:rsidP="00A42F43">
            <w:pPr>
              <w:pStyle w:val="NormalWeb"/>
              <w:spacing w:before="0" w:beforeAutospacing="0" w:after="0" w:afterAutospacing="0" w:line="360" w:lineRule="auto"/>
              <w:ind w:right="49"/>
              <w:contextualSpacing/>
              <w:mirrorIndents/>
              <w:jc w:val="center"/>
              <w:rPr>
                <w:rFonts w:ascii="Arial" w:hAnsi="Arial" w:cs="Arial"/>
                <w:b/>
                <w:bCs/>
                <w:lang w:val="es-ES" w:eastAsia="en-US"/>
              </w:rPr>
            </w:pPr>
            <w:r w:rsidRPr="00B30DA7">
              <w:rPr>
                <w:rFonts w:ascii="Arial" w:hAnsi="Arial" w:cs="Arial"/>
                <w:b/>
                <w:bCs/>
                <w:lang w:val="es-ES" w:eastAsia="en-US"/>
              </w:rPr>
              <w:t>MAGISTRADA PRESIDENTA</w:t>
            </w:r>
          </w:p>
          <w:p w14:paraId="362C1781" w14:textId="77777777" w:rsidR="00A42F43" w:rsidRPr="00B30DA7" w:rsidRDefault="00A42F43" w:rsidP="00A42F43">
            <w:pPr>
              <w:pStyle w:val="Sinespaciado"/>
              <w:rPr>
                <w:lang w:val="es-ES"/>
              </w:rPr>
            </w:pPr>
          </w:p>
          <w:p w14:paraId="391111ED" w14:textId="77777777" w:rsidR="00500D98" w:rsidRDefault="00667675" w:rsidP="00A42F43">
            <w:pPr>
              <w:pStyle w:val="NormalWeb"/>
              <w:spacing w:before="0" w:beforeAutospacing="0" w:after="0" w:afterAutospacing="0" w:line="360" w:lineRule="auto"/>
              <w:ind w:right="49"/>
              <w:contextualSpacing/>
              <w:mirrorIndents/>
              <w:jc w:val="center"/>
              <w:rPr>
                <w:rFonts w:ascii="Arial" w:hAnsi="Arial" w:cs="Arial"/>
                <w:b/>
                <w:bCs/>
                <w:lang w:val="es-ES" w:eastAsia="en-US"/>
              </w:rPr>
            </w:pPr>
            <w:r w:rsidRPr="00B30DA7">
              <w:rPr>
                <w:rFonts w:ascii="Arial" w:hAnsi="Arial" w:cs="Arial"/>
                <w:b/>
                <w:bCs/>
                <w:lang w:val="es-ES" w:eastAsia="en-US"/>
              </w:rPr>
              <w:t xml:space="preserve">CLAUDIA ELOISA DÍAZ DE LEÓN GONZÁLEZ </w:t>
            </w:r>
          </w:p>
          <w:p w14:paraId="2F76F7ED" w14:textId="2050065E" w:rsidR="00A42F43" w:rsidRPr="00B30DA7" w:rsidRDefault="00A42F43" w:rsidP="00A42F43">
            <w:pPr>
              <w:pStyle w:val="NormalWeb"/>
              <w:spacing w:before="0" w:beforeAutospacing="0" w:after="0" w:afterAutospacing="0" w:line="360" w:lineRule="auto"/>
              <w:ind w:right="49"/>
              <w:contextualSpacing/>
              <w:mirrorIndents/>
              <w:jc w:val="center"/>
              <w:rPr>
                <w:rFonts w:ascii="Arial" w:hAnsi="Arial" w:cs="Arial"/>
                <w:b/>
                <w:bCs/>
                <w:lang w:val="es-ES" w:eastAsia="en-US"/>
              </w:rPr>
            </w:pPr>
          </w:p>
        </w:tc>
      </w:tr>
      <w:tr w:rsidR="00667675" w:rsidRPr="00B30DA7" w14:paraId="67E0A0B5" w14:textId="77777777" w:rsidTr="00B907C5">
        <w:trPr>
          <w:trHeight w:val="1437"/>
          <w:jc w:val="center"/>
        </w:trPr>
        <w:tc>
          <w:tcPr>
            <w:tcW w:w="4063" w:type="dxa"/>
          </w:tcPr>
          <w:p w14:paraId="2E7E8672" w14:textId="00A4932B" w:rsidR="001F4FE4" w:rsidRDefault="00667675" w:rsidP="00A42F43">
            <w:pPr>
              <w:pStyle w:val="NormalWeb"/>
              <w:spacing w:before="0" w:beforeAutospacing="0" w:after="0" w:afterAutospacing="0" w:line="360" w:lineRule="auto"/>
              <w:ind w:right="49"/>
              <w:contextualSpacing/>
              <w:mirrorIndents/>
              <w:jc w:val="center"/>
              <w:rPr>
                <w:rFonts w:ascii="Arial" w:hAnsi="Arial" w:cs="Arial"/>
                <w:b/>
                <w:bCs/>
                <w:lang w:eastAsia="en-US"/>
              </w:rPr>
            </w:pPr>
            <w:r w:rsidRPr="00B30DA7">
              <w:rPr>
                <w:rFonts w:ascii="Arial" w:hAnsi="Arial" w:cs="Arial"/>
                <w:b/>
                <w:bCs/>
                <w:lang w:eastAsia="en-US"/>
              </w:rPr>
              <w:t>MAGISTRADA</w:t>
            </w:r>
          </w:p>
          <w:p w14:paraId="44AE788A" w14:textId="77777777" w:rsidR="00A42F43" w:rsidRPr="00B30DA7" w:rsidRDefault="00A42F43" w:rsidP="00A42F43">
            <w:pPr>
              <w:pStyle w:val="Sinespaciado"/>
            </w:pPr>
          </w:p>
          <w:p w14:paraId="06EEC3DB" w14:textId="77777777" w:rsidR="00667675" w:rsidRPr="00B30DA7" w:rsidRDefault="00667675" w:rsidP="00B30DA7">
            <w:pPr>
              <w:pStyle w:val="NormalWeb"/>
              <w:spacing w:before="0" w:beforeAutospacing="0" w:after="0" w:afterAutospacing="0" w:line="360" w:lineRule="auto"/>
              <w:ind w:right="49"/>
              <w:contextualSpacing/>
              <w:mirrorIndents/>
              <w:jc w:val="center"/>
              <w:rPr>
                <w:rFonts w:ascii="Arial" w:hAnsi="Arial" w:cs="Arial"/>
                <w:b/>
                <w:bCs/>
                <w:lang w:eastAsia="en-US"/>
              </w:rPr>
            </w:pPr>
            <w:r w:rsidRPr="00B30DA7">
              <w:rPr>
                <w:rFonts w:ascii="Arial" w:hAnsi="Arial" w:cs="Arial"/>
                <w:b/>
                <w:bCs/>
                <w:lang w:eastAsia="en-US"/>
              </w:rPr>
              <w:t xml:space="preserve">LAURA HORTENSIA </w:t>
            </w:r>
          </w:p>
          <w:p w14:paraId="10DC61A8" w14:textId="0C47979B" w:rsidR="00667675" w:rsidRPr="00B30DA7" w:rsidRDefault="00667675" w:rsidP="00B30DA7">
            <w:pPr>
              <w:pStyle w:val="NormalWeb"/>
              <w:spacing w:before="0" w:beforeAutospacing="0" w:after="0" w:afterAutospacing="0" w:line="360" w:lineRule="auto"/>
              <w:ind w:right="49"/>
              <w:contextualSpacing/>
              <w:mirrorIndents/>
              <w:jc w:val="center"/>
              <w:rPr>
                <w:rFonts w:ascii="Arial" w:hAnsi="Arial" w:cs="Arial"/>
                <w:b/>
                <w:bCs/>
                <w:lang w:eastAsia="en-US"/>
              </w:rPr>
            </w:pPr>
            <w:r w:rsidRPr="00B30DA7">
              <w:rPr>
                <w:rFonts w:ascii="Arial" w:hAnsi="Arial" w:cs="Arial"/>
                <w:b/>
                <w:bCs/>
                <w:lang w:eastAsia="en-US"/>
              </w:rPr>
              <w:t>LLAMAS HERNÁNDE</w:t>
            </w:r>
            <w:r w:rsidR="00A76DFE" w:rsidRPr="00B30DA7">
              <w:rPr>
                <w:rFonts w:ascii="Arial" w:hAnsi="Arial" w:cs="Arial"/>
                <w:b/>
                <w:bCs/>
                <w:lang w:eastAsia="en-US"/>
              </w:rPr>
              <w:t>Z</w:t>
            </w:r>
          </w:p>
        </w:tc>
        <w:tc>
          <w:tcPr>
            <w:tcW w:w="4112" w:type="dxa"/>
          </w:tcPr>
          <w:p w14:paraId="69237ABD" w14:textId="6F40AD15" w:rsidR="00667675" w:rsidRDefault="00667675" w:rsidP="00A42F43">
            <w:pPr>
              <w:pStyle w:val="NormalWeb"/>
              <w:spacing w:before="0" w:beforeAutospacing="0" w:after="0" w:afterAutospacing="0" w:line="360" w:lineRule="auto"/>
              <w:ind w:right="49"/>
              <w:contextualSpacing/>
              <w:mirrorIndents/>
              <w:jc w:val="center"/>
              <w:rPr>
                <w:rFonts w:ascii="Arial" w:hAnsi="Arial" w:cs="Arial"/>
                <w:b/>
                <w:bCs/>
                <w:lang w:eastAsia="en-US"/>
              </w:rPr>
            </w:pPr>
            <w:r w:rsidRPr="00B30DA7">
              <w:rPr>
                <w:rFonts w:ascii="Arial" w:hAnsi="Arial" w:cs="Arial"/>
                <w:b/>
                <w:bCs/>
                <w:lang w:eastAsia="en-US"/>
              </w:rPr>
              <w:t>MAGISTRADO</w:t>
            </w:r>
          </w:p>
          <w:p w14:paraId="1F3CF58B" w14:textId="77777777" w:rsidR="00A42F43" w:rsidRPr="00B30DA7" w:rsidRDefault="00A42F43" w:rsidP="00A42F43">
            <w:pPr>
              <w:pStyle w:val="Sinespaciado"/>
            </w:pPr>
          </w:p>
          <w:p w14:paraId="5A075F52" w14:textId="19B9651A" w:rsidR="00BF7BFF" w:rsidRPr="00B30DA7" w:rsidRDefault="00667675" w:rsidP="00B30DA7">
            <w:pPr>
              <w:pStyle w:val="NormalWeb"/>
              <w:spacing w:before="0" w:beforeAutospacing="0" w:after="0" w:afterAutospacing="0" w:line="360" w:lineRule="auto"/>
              <w:ind w:right="49"/>
              <w:contextualSpacing/>
              <w:mirrorIndents/>
              <w:jc w:val="center"/>
              <w:rPr>
                <w:rFonts w:ascii="Arial" w:hAnsi="Arial" w:cs="Arial"/>
                <w:b/>
                <w:bCs/>
                <w:lang w:eastAsia="en-US"/>
              </w:rPr>
            </w:pPr>
            <w:r w:rsidRPr="00B30DA7">
              <w:rPr>
                <w:rFonts w:ascii="Arial" w:hAnsi="Arial" w:cs="Arial"/>
                <w:b/>
                <w:bCs/>
                <w:lang w:eastAsia="en-US"/>
              </w:rPr>
              <w:t>HÉCTOR SALVADOR HERNÁNDEZ GALLEGOS</w:t>
            </w:r>
          </w:p>
        </w:tc>
      </w:tr>
      <w:tr w:rsidR="00667675" w:rsidRPr="00B30DA7" w14:paraId="02C4A8FE" w14:textId="77777777" w:rsidTr="00667675">
        <w:trPr>
          <w:trHeight w:val="853"/>
          <w:jc w:val="center"/>
        </w:trPr>
        <w:tc>
          <w:tcPr>
            <w:tcW w:w="8175" w:type="dxa"/>
            <w:gridSpan w:val="2"/>
          </w:tcPr>
          <w:p w14:paraId="3899AE1D" w14:textId="655722D7" w:rsidR="00500D98" w:rsidRPr="00B30DA7" w:rsidRDefault="00500D98" w:rsidP="00B30DA7">
            <w:pPr>
              <w:pStyle w:val="NormalWeb"/>
              <w:spacing w:before="0" w:beforeAutospacing="0" w:after="0" w:afterAutospacing="0" w:line="360" w:lineRule="auto"/>
              <w:ind w:right="49"/>
              <w:contextualSpacing/>
              <w:mirrorIndents/>
              <w:rPr>
                <w:rFonts w:ascii="Arial" w:hAnsi="Arial" w:cs="Arial"/>
                <w:b/>
                <w:bCs/>
                <w:lang w:eastAsia="en-US"/>
              </w:rPr>
            </w:pPr>
          </w:p>
          <w:p w14:paraId="2FA090EC" w14:textId="64F5261B" w:rsidR="00667675" w:rsidRDefault="00667675" w:rsidP="00A42F43">
            <w:pPr>
              <w:pStyle w:val="NormalWeb"/>
              <w:spacing w:before="0" w:beforeAutospacing="0" w:after="0" w:afterAutospacing="0" w:line="360" w:lineRule="auto"/>
              <w:ind w:right="49"/>
              <w:contextualSpacing/>
              <w:mirrorIndents/>
              <w:jc w:val="center"/>
              <w:rPr>
                <w:rFonts w:ascii="Arial" w:hAnsi="Arial" w:cs="Arial"/>
                <w:b/>
                <w:bCs/>
                <w:lang w:eastAsia="en-US"/>
              </w:rPr>
            </w:pPr>
            <w:r w:rsidRPr="00B30DA7">
              <w:rPr>
                <w:rFonts w:ascii="Arial" w:hAnsi="Arial" w:cs="Arial"/>
                <w:b/>
                <w:bCs/>
                <w:lang w:eastAsia="en-US"/>
              </w:rPr>
              <w:t>SECRETARIO GENERAL DE ACUERDOS</w:t>
            </w:r>
          </w:p>
          <w:p w14:paraId="2BC3C974" w14:textId="77777777" w:rsidR="00A42F43" w:rsidRPr="00A42F43" w:rsidRDefault="00A42F43" w:rsidP="00A42F43">
            <w:pPr>
              <w:pStyle w:val="Sinespaciado"/>
            </w:pPr>
          </w:p>
          <w:p w14:paraId="3DE484BA" w14:textId="77777777" w:rsidR="00667675" w:rsidRPr="00B30DA7" w:rsidRDefault="00667675" w:rsidP="00B30DA7">
            <w:pPr>
              <w:pStyle w:val="NormalWeb"/>
              <w:spacing w:before="0" w:beforeAutospacing="0" w:after="0" w:afterAutospacing="0" w:line="360" w:lineRule="auto"/>
              <w:ind w:right="49"/>
              <w:contextualSpacing/>
              <w:mirrorIndents/>
              <w:jc w:val="center"/>
              <w:rPr>
                <w:rFonts w:ascii="Arial" w:hAnsi="Arial" w:cs="Arial"/>
                <w:b/>
                <w:bCs/>
                <w:lang w:val="es-ES" w:eastAsia="en-US"/>
              </w:rPr>
            </w:pPr>
            <w:r w:rsidRPr="00B30DA7">
              <w:rPr>
                <w:rFonts w:ascii="Arial" w:hAnsi="Arial" w:cs="Arial"/>
                <w:b/>
                <w:bCs/>
                <w:lang w:val="es-ES" w:eastAsia="en-US"/>
              </w:rPr>
              <w:t>JESÚS OCIEL BAENA SAUCEDO</w:t>
            </w:r>
          </w:p>
        </w:tc>
      </w:tr>
    </w:tbl>
    <w:p w14:paraId="112DBF9A" w14:textId="77777777" w:rsidR="007518E0" w:rsidRPr="00B30DA7" w:rsidRDefault="007518E0" w:rsidP="00B30DA7">
      <w:pPr>
        <w:spacing w:line="360" w:lineRule="auto"/>
        <w:rPr>
          <w:rFonts w:ascii="Arial" w:hAnsi="Arial" w:cs="Arial"/>
          <w:sz w:val="24"/>
          <w:szCs w:val="24"/>
        </w:rPr>
      </w:pPr>
    </w:p>
    <w:p w14:paraId="21DDC9DC" w14:textId="0478902F" w:rsidR="006839F5" w:rsidRPr="00B30DA7" w:rsidRDefault="006839F5" w:rsidP="00B30DA7">
      <w:pPr>
        <w:spacing w:line="360" w:lineRule="auto"/>
        <w:rPr>
          <w:rFonts w:ascii="Arial" w:hAnsi="Arial" w:cs="Arial"/>
          <w:sz w:val="22"/>
          <w:szCs w:val="22"/>
        </w:rPr>
      </w:pPr>
    </w:p>
    <w:sectPr w:rsidR="006839F5" w:rsidRPr="00B30DA7" w:rsidSect="00B4455F">
      <w:headerReference w:type="even" r:id="rId9"/>
      <w:headerReference w:type="default" r:id="rId10"/>
      <w:footerReference w:type="even" r:id="rId11"/>
      <w:footerReference w:type="default" r:id="rId12"/>
      <w:headerReference w:type="first" r:id="rId13"/>
      <w:footerReference w:type="first" r:id="rId14"/>
      <w:pgSz w:w="12240" w:h="20160" w:code="5"/>
      <w:pgMar w:top="2268"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BA391" w14:textId="77777777" w:rsidR="00C80CB5" w:rsidRDefault="00C80CB5" w:rsidP="0018649D">
      <w:r>
        <w:separator/>
      </w:r>
    </w:p>
  </w:endnote>
  <w:endnote w:type="continuationSeparator" w:id="0">
    <w:p w14:paraId="48DD1FAA" w14:textId="77777777" w:rsidR="00C80CB5" w:rsidRDefault="00C80CB5" w:rsidP="0018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0ADDB" w14:textId="77777777" w:rsidR="00A42F43" w:rsidRDefault="00A42F4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10148" w14:textId="77777777" w:rsidR="00A42F43" w:rsidRDefault="00A42F4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0FDDA" w14:textId="77777777" w:rsidR="00A42F43" w:rsidRDefault="00A42F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AEF6F" w14:textId="77777777" w:rsidR="00C80CB5" w:rsidRDefault="00C80CB5" w:rsidP="0018649D">
      <w:r>
        <w:separator/>
      </w:r>
    </w:p>
  </w:footnote>
  <w:footnote w:type="continuationSeparator" w:id="0">
    <w:p w14:paraId="64D33263" w14:textId="77777777" w:rsidR="00C80CB5" w:rsidRDefault="00C80CB5" w:rsidP="0018649D">
      <w:r>
        <w:continuationSeparator/>
      </w:r>
    </w:p>
  </w:footnote>
  <w:footnote w:id="1">
    <w:p w14:paraId="30409B43" w14:textId="77777777" w:rsidR="00B30DA7" w:rsidRPr="00CC4728" w:rsidRDefault="00B30DA7" w:rsidP="00B30DA7">
      <w:pPr>
        <w:pStyle w:val="Textonotapie"/>
        <w:rPr>
          <w:rFonts w:ascii="Arial" w:hAnsi="Arial" w:cs="Arial"/>
        </w:rPr>
      </w:pPr>
      <w:r w:rsidRPr="00CC4728">
        <w:rPr>
          <w:rStyle w:val="Refdenotaalpie"/>
          <w:rFonts w:ascii="Arial" w:hAnsi="Arial" w:cs="Arial"/>
        </w:rPr>
        <w:footnoteRef/>
      </w:r>
      <w:r w:rsidRPr="00CC4728">
        <w:rPr>
          <w:rFonts w:ascii="Arial" w:hAnsi="Arial" w:cs="Arial"/>
        </w:rPr>
        <w:t xml:space="preserve"> Encargado de despacho de la secretaría de estudio de la ponencia II.</w:t>
      </w:r>
    </w:p>
  </w:footnote>
  <w:footnote w:id="2">
    <w:p w14:paraId="39913940" w14:textId="77777777" w:rsidR="00B30DA7" w:rsidRPr="00943C41" w:rsidRDefault="00B30DA7" w:rsidP="00B30DA7">
      <w:pPr>
        <w:pStyle w:val="Textonotapie"/>
        <w:rPr>
          <w:rFonts w:ascii="Arial" w:hAnsi="Arial" w:cs="Arial"/>
        </w:rPr>
      </w:pPr>
      <w:r w:rsidRPr="00943C41">
        <w:rPr>
          <w:rStyle w:val="Refdenotaalpie"/>
          <w:rFonts w:ascii="Arial" w:hAnsi="Arial" w:cs="Arial"/>
        </w:rPr>
        <w:footnoteRef/>
      </w:r>
      <w:r w:rsidRPr="00943C41">
        <w:rPr>
          <w:rFonts w:ascii="Arial" w:hAnsi="Arial" w:cs="Arial"/>
        </w:rPr>
        <w:t xml:space="preserve"> Todas las fechas corresponden al 2021, salvo precisión en contrario.</w:t>
      </w:r>
    </w:p>
  </w:footnote>
  <w:footnote w:id="3">
    <w:p w14:paraId="35383323" w14:textId="77777777" w:rsidR="00B30DA7" w:rsidRPr="00943C41" w:rsidRDefault="00B30DA7" w:rsidP="00B30DA7">
      <w:pPr>
        <w:pStyle w:val="Textonotapie"/>
        <w:jc w:val="both"/>
        <w:rPr>
          <w:rFonts w:ascii="Arial" w:hAnsi="Arial" w:cs="Arial"/>
        </w:rPr>
      </w:pPr>
      <w:r w:rsidRPr="00943C41">
        <w:rPr>
          <w:rStyle w:val="Refdenotaalpie"/>
          <w:rFonts w:ascii="Arial" w:hAnsi="Arial" w:cs="Arial"/>
        </w:rPr>
        <w:footnoteRef/>
      </w:r>
      <w:r w:rsidRPr="00943C41">
        <w:rPr>
          <w:rFonts w:ascii="Arial" w:hAnsi="Arial" w:cs="Arial"/>
        </w:rPr>
        <w:t xml:space="preserve"> </w:t>
      </w:r>
      <w:r w:rsidRPr="00943C41">
        <w:rPr>
          <w:rFonts w:ascii="Arial" w:hAnsi="Arial" w:cs="Arial"/>
          <w:bCs/>
        </w:rPr>
        <w:t>Artículo 99.</w:t>
      </w:r>
      <w:r w:rsidRPr="00943C41">
        <w:rPr>
          <w:rFonts w:ascii="Arial" w:hAnsi="Arial" w:cs="Arial"/>
        </w:rPr>
        <w:t xml:space="preserve"> El Tribunal Electoral será, con excepción de lo dispuesto en la fracción II del artículo 105 de esta Constitución, la máxima autoridad jurisdiccional en la materia y órgano especializado del Poder Judicial de la Federación. </w:t>
      </w:r>
      <w:r>
        <w:rPr>
          <w:rFonts w:ascii="Arial" w:hAnsi="Arial" w:cs="Arial"/>
        </w:rPr>
        <w:t>(</w:t>
      </w:r>
      <w:r w:rsidRPr="00943C41">
        <w:rPr>
          <w:rFonts w:ascii="Arial" w:hAnsi="Arial" w:cs="Arial"/>
        </w:rPr>
        <w:t>…</w:t>
      </w:r>
      <w:r>
        <w:rPr>
          <w:rFonts w:ascii="Arial" w:hAnsi="Arial" w:cs="Arial"/>
        </w:rPr>
        <w:t>)</w:t>
      </w:r>
    </w:p>
    <w:p w14:paraId="480E8BEC" w14:textId="77777777" w:rsidR="00B30DA7" w:rsidRPr="00943C41" w:rsidRDefault="00B30DA7" w:rsidP="00B30DA7">
      <w:pPr>
        <w:pStyle w:val="Textonotapie"/>
        <w:jc w:val="both"/>
        <w:rPr>
          <w:rFonts w:ascii="Arial" w:hAnsi="Arial" w:cs="Arial"/>
        </w:rPr>
      </w:pPr>
      <w:r w:rsidRPr="00943C41">
        <w:rPr>
          <w:rFonts w:ascii="Arial" w:hAnsi="Arial" w:cs="Arial"/>
        </w:rPr>
        <w:t xml:space="preserve">Al Tribunal Electoral le corresponde resolver en forma definitiva e inatacable, en los términos de esta Constitución y según lo disponga la ley, sobre: </w:t>
      </w:r>
      <w:r>
        <w:rPr>
          <w:rFonts w:ascii="Arial" w:hAnsi="Arial" w:cs="Arial"/>
        </w:rPr>
        <w:t>(</w:t>
      </w:r>
      <w:r w:rsidRPr="00943C41">
        <w:rPr>
          <w:rFonts w:ascii="Arial" w:hAnsi="Arial" w:cs="Arial"/>
        </w:rPr>
        <w:t>…</w:t>
      </w:r>
      <w:r>
        <w:rPr>
          <w:rFonts w:ascii="Arial" w:hAnsi="Arial" w:cs="Arial"/>
        </w:rPr>
        <w:t>)</w:t>
      </w:r>
    </w:p>
    <w:p w14:paraId="711ABE23" w14:textId="77777777" w:rsidR="00B30DA7" w:rsidRPr="009D5623" w:rsidRDefault="00B30DA7" w:rsidP="00B30DA7">
      <w:pPr>
        <w:pStyle w:val="Textonotapie"/>
        <w:jc w:val="both"/>
        <w:rPr>
          <w:rFonts w:ascii="Arial" w:hAnsi="Arial" w:cs="Arial"/>
          <w:sz w:val="16"/>
          <w:szCs w:val="16"/>
        </w:rPr>
      </w:pPr>
      <w:r w:rsidRPr="00943C41">
        <w:rPr>
          <w:rFonts w:ascii="Arial" w:hAnsi="Arial" w:cs="Arial"/>
        </w:rPr>
        <w:t xml:space="preserve">V. Las impugnaciones de actos y resoluciones que violen los derechos político-electorales de la ciudadanía de votar, ser votado y de afiliación libre y pacífica para tomar parte en los asuntos políticos del país, en los términos que señalen esta Constitución y las leyes. Para que un ciudadano pueda acudir a la jurisdicción del Tribunal por violaciones a sus derechos por el partido político al que se encuentre afiliado, </w:t>
      </w:r>
      <w:r w:rsidRPr="00943C41">
        <w:rPr>
          <w:rFonts w:ascii="Arial" w:hAnsi="Arial" w:cs="Arial"/>
          <w:bCs/>
        </w:rPr>
        <w:t>deberá haber agotado previamente las instancias de solución de conflictos previstas en sus normas internas,</w:t>
      </w:r>
      <w:r w:rsidRPr="00943C41">
        <w:rPr>
          <w:rFonts w:ascii="Arial" w:hAnsi="Arial" w:cs="Arial"/>
        </w:rPr>
        <w:t xml:space="preserve"> la ley establecerá las reglas y plazos aplicables.</w:t>
      </w:r>
    </w:p>
  </w:footnote>
  <w:footnote w:id="4">
    <w:p w14:paraId="73F000DA" w14:textId="717BD874" w:rsidR="002549CE" w:rsidRPr="007518E0" w:rsidRDefault="002549CE" w:rsidP="001E2AB8">
      <w:pPr>
        <w:pStyle w:val="Textonotapie"/>
        <w:jc w:val="both"/>
        <w:rPr>
          <w:rFonts w:ascii="Arial" w:hAnsi="Arial" w:cs="Arial"/>
        </w:rPr>
      </w:pPr>
      <w:r w:rsidRPr="007518E0">
        <w:rPr>
          <w:rStyle w:val="Refdenotaalpie"/>
          <w:rFonts w:ascii="Arial" w:hAnsi="Arial" w:cs="Arial"/>
        </w:rPr>
        <w:footnoteRef/>
      </w:r>
      <w:r w:rsidRPr="007518E0">
        <w:rPr>
          <w:rFonts w:ascii="Arial" w:hAnsi="Arial" w:cs="Arial"/>
        </w:rPr>
        <w:t xml:space="preserve"> </w:t>
      </w:r>
      <w:r w:rsidR="003B2E78" w:rsidRPr="007518E0">
        <w:rPr>
          <w:rFonts w:ascii="Arial" w:hAnsi="Arial" w:cs="Arial"/>
        </w:rPr>
        <w:t>Artículo</w:t>
      </w:r>
      <w:r w:rsidRPr="007518E0">
        <w:rPr>
          <w:rFonts w:ascii="Arial" w:hAnsi="Arial" w:cs="Arial"/>
        </w:rPr>
        <w:t xml:space="preserve"> 304.- Los recursos que regula este Código, se considerarán improcedentes en los siguientes casos:</w:t>
      </w:r>
    </w:p>
    <w:p w14:paraId="28D0FDF9" w14:textId="15B41517" w:rsidR="002549CE" w:rsidRPr="007518E0" w:rsidRDefault="002549CE" w:rsidP="001E2AB8">
      <w:pPr>
        <w:pStyle w:val="Textonotapie"/>
        <w:jc w:val="both"/>
        <w:rPr>
          <w:rFonts w:ascii="Arial" w:hAnsi="Arial" w:cs="Arial"/>
        </w:rPr>
      </w:pPr>
      <w:r w:rsidRPr="007518E0">
        <w:rPr>
          <w:rFonts w:ascii="Arial" w:hAnsi="Arial" w:cs="Arial"/>
        </w:rPr>
        <w:t>II. Cuando se pretenda impugnar actos o resoluciones:</w:t>
      </w:r>
    </w:p>
    <w:p w14:paraId="3899D2D2" w14:textId="60E3EACD" w:rsidR="002549CE" w:rsidRPr="007518E0" w:rsidRDefault="002549CE" w:rsidP="001E2AB8">
      <w:pPr>
        <w:pStyle w:val="Textonotapie"/>
        <w:jc w:val="both"/>
        <w:rPr>
          <w:rFonts w:ascii="Arial" w:hAnsi="Arial" w:cs="Arial"/>
        </w:rPr>
      </w:pPr>
      <w:r w:rsidRPr="007518E0">
        <w:rPr>
          <w:rFonts w:ascii="Arial" w:hAnsi="Arial" w:cs="Arial"/>
        </w:rPr>
        <w:t>e) En los que no se hayan agotado las instancias previas establecidas por las leyes para combatir los actos o resoluciones electorales y en virtud de las cuales se pudieran haber modificado, revocado o anulado, y</w:t>
      </w:r>
    </w:p>
  </w:footnote>
  <w:footnote w:id="5">
    <w:p w14:paraId="3C513C51" w14:textId="254DB735" w:rsidR="0014471C" w:rsidRPr="007518E0" w:rsidRDefault="0014471C" w:rsidP="001E2AB8">
      <w:pPr>
        <w:pStyle w:val="Textonotapie"/>
        <w:jc w:val="both"/>
        <w:rPr>
          <w:rFonts w:ascii="Arial" w:hAnsi="Arial" w:cs="Arial"/>
        </w:rPr>
      </w:pPr>
      <w:r w:rsidRPr="007518E0">
        <w:rPr>
          <w:rStyle w:val="Refdenotaalpie"/>
          <w:rFonts w:ascii="Arial" w:hAnsi="Arial" w:cs="Arial"/>
        </w:rPr>
        <w:footnoteRef/>
      </w:r>
      <w:r w:rsidRPr="007518E0">
        <w:rPr>
          <w:rFonts w:ascii="Arial" w:hAnsi="Arial" w:cs="Arial"/>
        </w:rPr>
        <w:t xml:space="preserve"> </w:t>
      </w:r>
      <w:r w:rsidR="003B2E78" w:rsidRPr="007518E0">
        <w:rPr>
          <w:rFonts w:ascii="Arial" w:hAnsi="Arial" w:cs="Arial"/>
        </w:rPr>
        <w:t>Artículo</w:t>
      </w:r>
      <w:r w:rsidRPr="007518E0">
        <w:rPr>
          <w:rFonts w:ascii="Arial" w:hAnsi="Arial" w:cs="Arial"/>
        </w:rPr>
        <w:t xml:space="preserve"> 330.- Es competente para conocer del recurso de inconformidad el Consejo. El recurso de inconformidad procede contra actos o resoluciones de los consejos distritales y municipales.</w:t>
      </w:r>
    </w:p>
  </w:footnote>
  <w:footnote w:id="6">
    <w:p w14:paraId="61C00B08" w14:textId="382B178F" w:rsidR="002549CE" w:rsidRDefault="002549CE" w:rsidP="001E2AB8">
      <w:pPr>
        <w:pStyle w:val="Textonotapie"/>
        <w:jc w:val="both"/>
      </w:pPr>
      <w:r w:rsidRPr="007518E0">
        <w:rPr>
          <w:rStyle w:val="Refdenotaalpie"/>
          <w:rFonts w:ascii="Arial" w:hAnsi="Arial" w:cs="Arial"/>
        </w:rPr>
        <w:footnoteRef/>
      </w:r>
      <w:r w:rsidRPr="007518E0">
        <w:rPr>
          <w:rFonts w:ascii="Arial" w:hAnsi="Arial" w:cs="Arial"/>
        </w:rPr>
        <w:t xml:space="preserve"> </w:t>
      </w:r>
      <w:r w:rsidR="003B2E78" w:rsidRPr="007518E0">
        <w:rPr>
          <w:rFonts w:ascii="Arial" w:hAnsi="Arial" w:cs="Arial"/>
        </w:rPr>
        <w:t>Artículo</w:t>
      </w:r>
      <w:r w:rsidRPr="007518E0">
        <w:rPr>
          <w:rFonts w:ascii="Arial" w:hAnsi="Arial" w:cs="Arial"/>
        </w:rPr>
        <w:t xml:space="preserve"> 331.- El recurso de inconformidad deberá presentarse ante el Consejo Distrital o Municipal que emita el acto o resolución impugnado. Este recurso procederá exclusivamente durante la etapa de preparación de la elección.</w:t>
      </w:r>
    </w:p>
  </w:footnote>
  <w:footnote w:id="7">
    <w:p w14:paraId="4CCEB8A5" w14:textId="77777777" w:rsidR="00EE24FF" w:rsidRPr="00EE24FF" w:rsidRDefault="00EE24FF" w:rsidP="00EE24FF">
      <w:pPr>
        <w:pStyle w:val="Textonotapie"/>
        <w:jc w:val="both"/>
        <w:rPr>
          <w:rFonts w:ascii="Arial" w:hAnsi="Arial" w:cs="Arial"/>
        </w:rPr>
      </w:pPr>
      <w:r w:rsidRPr="00EE24FF">
        <w:rPr>
          <w:rStyle w:val="Refdenotaalpie"/>
          <w:rFonts w:ascii="Arial" w:hAnsi="Arial" w:cs="Arial"/>
        </w:rPr>
        <w:footnoteRef/>
      </w:r>
      <w:r w:rsidRPr="00EE24FF">
        <w:rPr>
          <w:rFonts w:ascii="Arial" w:hAnsi="Arial" w:cs="Arial"/>
        </w:rPr>
        <w:t xml:space="preserve"> Artículo 17. Ninguna persona podrá hacerse justicia por sí misma, ni ejercer violencia para reclamar su derecho. </w:t>
      </w:r>
    </w:p>
    <w:p w14:paraId="4147F821" w14:textId="068A394F" w:rsidR="00EE24FF" w:rsidRPr="00EE24FF" w:rsidRDefault="00EE24FF" w:rsidP="00EE24FF">
      <w:pPr>
        <w:pStyle w:val="Textonotapie"/>
        <w:jc w:val="both"/>
        <w:rPr>
          <w:rFonts w:ascii="Arial" w:hAnsi="Arial" w:cs="Arial"/>
        </w:rPr>
      </w:pPr>
      <w:r w:rsidRPr="00EE24FF">
        <w:rPr>
          <w:rFonts w:ascii="Arial" w:hAnsi="Arial" w:cs="Arial"/>
        </w:rPr>
        <w:t>(…)</w:t>
      </w:r>
    </w:p>
    <w:p w14:paraId="7B81CC6E" w14:textId="318E75BF" w:rsidR="00EE24FF" w:rsidRPr="00EE24FF" w:rsidRDefault="00EE24FF" w:rsidP="00EE24FF">
      <w:pPr>
        <w:pStyle w:val="Textonotapie"/>
        <w:jc w:val="both"/>
        <w:rPr>
          <w:rFonts w:ascii="Arial" w:hAnsi="Arial" w:cs="Arial"/>
        </w:rPr>
      </w:pPr>
      <w:r w:rsidRPr="00EE24FF">
        <w:rPr>
          <w:rFonts w:ascii="Arial" w:hAnsi="Arial" w:cs="Arial"/>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footnote>
  <w:footnote w:id="8">
    <w:p w14:paraId="59DDF2C3" w14:textId="788DD113" w:rsidR="00146A49" w:rsidRDefault="00146A49" w:rsidP="00146A49">
      <w:pPr>
        <w:pStyle w:val="Textonotapie"/>
        <w:jc w:val="both"/>
      </w:pPr>
      <w:r w:rsidRPr="00EE24FF">
        <w:rPr>
          <w:rStyle w:val="Refdenotaalpie"/>
          <w:rFonts w:ascii="Arial" w:hAnsi="Arial" w:cs="Arial"/>
        </w:rPr>
        <w:footnoteRef/>
      </w:r>
      <w:r w:rsidRPr="00EE24FF">
        <w:rPr>
          <w:rFonts w:ascii="Arial" w:hAnsi="Arial" w:cs="Arial"/>
        </w:rPr>
        <w:t xml:space="preserve">Jurisprudencia 9/2012, de rubro: REENCAUZAMIENTO. EL ANÁLISIS DE LA PROCEDENCIA DEL MEDIO DE IMPUGNACIÓN CORRESPONDE A LA AUTORIDAD U ÓRGANO COMPETENTE. </w:t>
      </w:r>
      <w:bookmarkStart w:id="34" w:name="_Hlk50054060"/>
      <w:bookmarkStart w:id="35" w:name="_Hlk50054061"/>
      <w:bookmarkStart w:id="36" w:name="_Hlk50054062"/>
      <w:bookmarkStart w:id="37" w:name="_Hlk50054063"/>
      <w:r w:rsidRPr="00EE24FF">
        <w:rPr>
          <w:rFonts w:ascii="Arial" w:hAnsi="Arial" w:cs="Arial"/>
        </w:rPr>
        <w:t xml:space="preserve">Consultable en: </w:t>
      </w:r>
      <w:hyperlink r:id="rId1" w:history="1">
        <w:r w:rsidR="00EE24FF" w:rsidRPr="004205B8">
          <w:rPr>
            <w:rStyle w:val="Hipervnculo"/>
            <w:rFonts w:ascii="Arial" w:hAnsi="Arial" w:cs="Arial"/>
          </w:rPr>
          <w:t>https://www.te.gob.mx/IUSEapp/tesisjur.aspx?idtesis=19/2012&amp;tpoBusqueda=S&amp;sWord=9/2012</w:t>
        </w:r>
      </w:hyperlink>
      <w:bookmarkEnd w:id="34"/>
      <w:bookmarkEnd w:id="35"/>
      <w:bookmarkEnd w:id="36"/>
      <w:bookmarkEnd w:id="37"/>
      <w:r w:rsidR="00EE24FF">
        <w:rPr>
          <w:rFonts w:ascii="Arial" w:hAnsi="Arial" w:cs="Arial"/>
        </w:rPr>
        <w:t xml:space="preserve"> </w:t>
      </w:r>
    </w:p>
  </w:footnote>
  <w:footnote w:id="9">
    <w:p w14:paraId="131A3986" w14:textId="17F1D8FA" w:rsidR="002549CE" w:rsidRPr="002549CE" w:rsidRDefault="002549CE" w:rsidP="002549CE">
      <w:pPr>
        <w:pStyle w:val="Textonotapie"/>
        <w:jc w:val="both"/>
        <w:rPr>
          <w:rFonts w:ascii="Arial" w:hAnsi="Arial" w:cs="Arial"/>
        </w:rPr>
      </w:pPr>
      <w:r w:rsidRPr="002549CE">
        <w:rPr>
          <w:rStyle w:val="Refdenotaalpie"/>
          <w:rFonts w:ascii="Arial" w:hAnsi="Arial" w:cs="Arial"/>
        </w:rPr>
        <w:footnoteRef/>
      </w:r>
      <w:r w:rsidRPr="002549CE">
        <w:rPr>
          <w:rFonts w:ascii="Arial" w:hAnsi="Arial" w:cs="Arial"/>
        </w:rPr>
        <w:t xml:space="preserve"> </w:t>
      </w:r>
      <w:r>
        <w:rPr>
          <w:rFonts w:ascii="Arial" w:hAnsi="Arial" w:cs="Arial"/>
        </w:rPr>
        <w:t>Artículo</w:t>
      </w:r>
      <w:r w:rsidRPr="002549CE">
        <w:rPr>
          <w:rFonts w:ascii="Arial" w:hAnsi="Arial" w:cs="Arial"/>
        </w:rPr>
        <w:t xml:space="preserve"> 332.- El recurso de inconformidad deberá ser resuelto dentro de los seis días siguientes a la fecha en que hayan sido recibidos por el Consejo o perdido el derecho para ello, los documentos establecidos en el artículo 312 del presente Código.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91943" w14:textId="002D6C4C" w:rsidR="00A42F43" w:rsidRDefault="00A42F43">
    <w:pPr>
      <w:pStyle w:val="Encabezado"/>
    </w:pPr>
    <w:r>
      <w:rPr>
        <w:noProof/>
      </w:rPr>
      <w:pict w14:anchorId="29BE2F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051501" o:spid="_x0000_s2050" type="#_x0000_t136" style="position:absolute;margin-left:0;margin-top:0;width:591.9pt;height:91.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B272F" w14:textId="0BB5C0DC" w:rsidR="006623E4" w:rsidRDefault="00A42F43">
    <w:pPr>
      <w:spacing w:line="200" w:lineRule="exact"/>
    </w:pPr>
    <w:r>
      <w:rPr>
        <w:noProof/>
      </w:rPr>
      <w:pict w14:anchorId="47DD3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051502" o:spid="_x0000_s2051" type="#_x0000_t136" style="position:absolute;margin-left:0;margin-top:0;width:591.9pt;height:91.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v:shape>
      </w:pict>
    </w:r>
    <w:sdt>
      <w:sdtPr>
        <w:id w:val="6255722"/>
        <w:docPartObj>
          <w:docPartGallery w:val="Page Numbers (Margins)"/>
          <w:docPartUnique/>
        </w:docPartObj>
      </w:sdtPr>
      <w:sdtEndPr/>
      <w:sdtContent>
        <w:r w:rsidR="006623E4">
          <w:rPr>
            <w:noProof/>
            <w:lang w:eastAsia="es-MX"/>
          </w:rPr>
          <mc:AlternateContent>
            <mc:Choice Requires="wps">
              <w:drawing>
                <wp:anchor distT="0" distB="0" distL="114300" distR="114300" simplePos="0" relativeHeight="251660288" behindDoc="0" locked="0" layoutInCell="0" allowOverlap="1" wp14:anchorId="35CCE596" wp14:editId="10908AE1">
                  <wp:simplePos x="0" y="0"/>
                  <wp:positionH relativeFrom="rightMargin">
                    <wp:align>right</wp:align>
                  </wp:positionH>
                  <wp:positionV relativeFrom="margin">
                    <wp:align>center</wp:align>
                  </wp:positionV>
                  <wp:extent cx="727710" cy="329565"/>
                  <wp:effectExtent l="0" t="0" r="0" b="381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8AA94" w14:textId="77777777" w:rsidR="006623E4" w:rsidRDefault="006623E4">
                              <w:pPr>
                                <w:pBdr>
                                  <w:bottom w:val="single" w:sz="4" w:space="1" w:color="auto"/>
                                </w:pBdr>
                              </w:pPr>
                              <w:r>
                                <w:fldChar w:fldCharType="begin"/>
                              </w:r>
                              <w:r>
                                <w:instrText>PAGE   \* MERGEFORMAT</w:instrText>
                              </w:r>
                              <w:r>
                                <w:fldChar w:fldCharType="separate"/>
                              </w:r>
                              <w:r w:rsidR="0019664B" w:rsidRPr="0019664B">
                                <w:rPr>
                                  <w:noProof/>
                                  <w:lang w:val="es-ES"/>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w16sdtdh="http://schemas.microsoft.com/office/word/2020/wordml/sdtdatahash">
              <w:pict>
                <v:rect w14:anchorId="35CCE596" id="Rectángulo 4"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CxGeSAIAgAA5wMAAA4A&#10;AAAAAAAAAAAAAAAALgIAAGRycy9lMm9Eb2MueG1sUEsBAi0AFAAGAAgAAAAhAHGmhoPcAAAABAEA&#10;AA8AAAAAAAAAAAAAAAAAYgQAAGRycy9kb3ducmV2LnhtbFBLBQYAAAAABAAEAPMAAABrBQAAAAA=&#10;" o:allowincell="f" stroked="f">
                  <v:textbox>
                    <w:txbxContent>
                      <w:p w14:paraId="2F98AA94" w14:textId="77777777" w:rsidR="006623E4" w:rsidRDefault="006623E4">
                        <w:pPr>
                          <w:pBdr>
                            <w:bottom w:val="single" w:sz="4" w:space="1" w:color="auto"/>
                          </w:pBdr>
                        </w:pPr>
                        <w:r>
                          <w:fldChar w:fldCharType="begin"/>
                        </w:r>
                        <w:r>
                          <w:instrText>PAGE   \* MERGEFORMAT</w:instrText>
                        </w:r>
                        <w:r>
                          <w:fldChar w:fldCharType="separate"/>
                        </w:r>
                        <w:r w:rsidR="0019664B" w:rsidRPr="0019664B">
                          <w:rPr>
                            <w:noProof/>
                            <w:lang w:val="es-ES"/>
                          </w:rPr>
                          <w:t>4</w:t>
                        </w:r>
                        <w:r>
                          <w:fldChar w:fldCharType="end"/>
                        </w:r>
                      </w:p>
                    </w:txbxContent>
                  </v:textbox>
                  <w10:wrap anchorx="margin" anchory="margin"/>
                </v:rect>
              </w:pict>
            </mc:Fallback>
          </mc:AlternateContent>
        </w:r>
      </w:sdtContent>
    </w:sdt>
  </w:p>
  <w:p w14:paraId="333B5074" w14:textId="77777777" w:rsidR="006623E4" w:rsidRDefault="006623E4">
    <w:pPr>
      <w:spacing w:line="200" w:lineRule="exact"/>
    </w:pPr>
  </w:p>
  <w:p w14:paraId="211C8133" w14:textId="77777777" w:rsidR="006623E4" w:rsidRDefault="006623E4">
    <w:pPr>
      <w:spacing w:line="200" w:lineRule="exact"/>
    </w:pPr>
  </w:p>
  <w:p w14:paraId="43C56F01" w14:textId="77777777" w:rsidR="006623E4" w:rsidRDefault="006623E4">
    <w:pPr>
      <w:spacing w:line="200" w:lineRule="exact"/>
    </w:pPr>
  </w:p>
  <w:p w14:paraId="2734DE85" w14:textId="77777777" w:rsidR="006623E4" w:rsidRDefault="006623E4">
    <w:pPr>
      <w:spacing w:line="200" w:lineRule="exact"/>
    </w:pPr>
  </w:p>
  <w:p w14:paraId="44EBB386" w14:textId="77777777" w:rsidR="006623E4" w:rsidRDefault="006623E4">
    <w:pPr>
      <w:spacing w:line="200" w:lineRule="exact"/>
    </w:pPr>
  </w:p>
  <w:p w14:paraId="06EF5D80" w14:textId="77777777" w:rsidR="006623E4" w:rsidRDefault="006623E4">
    <w:pPr>
      <w:spacing w:line="200" w:lineRule="exact"/>
    </w:pPr>
  </w:p>
  <w:p w14:paraId="3E4764AC" w14:textId="77777777" w:rsidR="006623E4" w:rsidRDefault="006623E4">
    <w:pPr>
      <w:spacing w:line="200" w:lineRule="exact"/>
    </w:pPr>
  </w:p>
  <w:p w14:paraId="6BA5FB9B" w14:textId="77777777" w:rsidR="006623E4" w:rsidRDefault="006623E4">
    <w:pPr>
      <w:spacing w:line="200" w:lineRule="exact"/>
    </w:pPr>
  </w:p>
  <w:p w14:paraId="1205108D" w14:textId="53EDFA3E" w:rsidR="006623E4" w:rsidRDefault="006623E4">
    <w:pPr>
      <w:spacing w:line="200" w:lineRule="exact"/>
    </w:pPr>
    <w:r>
      <w:rPr>
        <w:noProof/>
        <w:lang w:eastAsia="es-MX"/>
      </w:rPr>
      <w:drawing>
        <wp:anchor distT="0" distB="0" distL="114300" distR="114300" simplePos="0" relativeHeight="251659264" behindDoc="1" locked="0" layoutInCell="1" allowOverlap="1" wp14:anchorId="142C95FC" wp14:editId="0D829986">
          <wp:simplePos x="0" y="0"/>
          <wp:positionH relativeFrom="page">
            <wp:posOffset>708660</wp:posOffset>
          </wp:positionH>
          <wp:positionV relativeFrom="page">
            <wp:posOffset>174625</wp:posOffset>
          </wp:positionV>
          <wp:extent cx="1179830" cy="1404620"/>
          <wp:effectExtent l="0" t="0" r="1270" b="508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9D66C" w14:textId="31F7B29A" w:rsidR="00A42F43" w:rsidRDefault="00A42F43">
    <w:pPr>
      <w:pStyle w:val="Encabezado"/>
    </w:pPr>
    <w:r>
      <w:rPr>
        <w:noProof/>
      </w:rPr>
      <w:pict w14:anchorId="23348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0051500" o:spid="_x0000_s2049" type="#_x0000_t136" style="position:absolute;margin-left:0;margin-top:0;width:591.9pt;height:91.05pt;rotation:315;z-index:-251654144;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4FA"/>
    <w:multiLevelType w:val="hybridMultilevel"/>
    <w:tmpl w:val="9B50C68C"/>
    <w:lvl w:ilvl="0" w:tplc="5B680D94">
      <w:start w:val="1"/>
      <w:numFmt w:val="lowerRoman"/>
      <w:lvlText w:val="%1."/>
      <w:lvlJc w:val="right"/>
      <w:pPr>
        <w:ind w:left="1080" w:hanging="720"/>
      </w:pPr>
      <w:rPr>
        <w:rFonts w:hint="default"/>
        <w:b w:val="0"/>
        <w:bCs w:val="0"/>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A37A67"/>
    <w:multiLevelType w:val="hybridMultilevel"/>
    <w:tmpl w:val="A1F846B6"/>
    <w:lvl w:ilvl="0" w:tplc="B8AE915A">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F5403"/>
    <w:multiLevelType w:val="hybridMultilevel"/>
    <w:tmpl w:val="2996E88A"/>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A85153"/>
    <w:multiLevelType w:val="hybridMultilevel"/>
    <w:tmpl w:val="2E9EDE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490A97"/>
    <w:multiLevelType w:val="hybridMultilevel"/>
    <w:tmpl w:val="135E7854"/>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E059A6"/>
    <w:multiLevelType w:val="hybridMultilevel"/>
    <w:tmpl w:val="5392703A"/>
    <w:lvl w:ilvl="0" w:tplc="F8B000CE">
      <w:start w:val="1"/>
      <w:numFmt w:val="decimal"/>
      <w:lvlText w:val="%1."/>
      <w:lvlJc w:val="left"/>
      <w:pPr>
        <w:ind w:left="360" w:hanging="360"/>
      </w:pPr>
      <w:rPr>
        <w:rFonts w:ascii="Arial" w:hAnsi="Arial" w:cs="Arial"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287BA2"/>
    <w:multiLevelType w:val="hybridMultilevel"/>
    <w:tmpl w:val="F3EE7546"/>
    <w:lvl w:ilvl="0" w:tplc="811A485E">
      <w:start w:val="1"/>
      <w:numFmt w:val="upperRoman"/>
      <w:lvlText w:val="%1."/>
      <w:lvlJc w:val="left"/>
      <w:pPr>
        <w:ind w:left="720" w:hanging="720"/>
      </w:pPr>
      <w:rPr>
        <w:rFonts w:hint="default"/>
        <w:b/>
        <w:u w:val="non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9101F29"/>
    <w:multiLevelType w:val="multilevel"/>
    <w:tmpl w:val="76E485A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9726A9"/>
    <w:multiLevelType w:val="hybridMultilevel"/>
    <w:tmpl w:val="CA444C0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7E3298"/>
    <w:multiLevelType w:val="hybridMultilevel"/>
    <w:tmpl w:val="0EB6DDB4"/>
    <w:lvl w:ilvl="0" w:tplc="DFDA66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1A0922"/>
    <w:multiLevelType w:val="hybridMultilevel"/>
    <w:tmpl w:val="18B2A956"/>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6771D7"/>
    <w:multiLevelType w:val="hybridMultilevel"/>
    <w:tmpl w:val="54E06984"/>
    <w:lvl w:ilvl="0" w:tplc="636A6CA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6D1FA9"/>
    <w:multiLevelType w:val="hybridMultilevel"/>
    <w:tmpl w:val="DDA244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AF108B"/>
    <w:multiLevelType w:val="hybridMultilevel"/>
    <w:tmpl w:val="EF0643F8"/>
    <w:lvl w:ilvl="0" w:tplc="DF846422">
      <w:start w:val="1"/>
      <w:numFmt w:val="lowerRoman"/>
      <w:lvlText w:val="%1."/>
      <w:lvlJc w:val="righ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7967AE"/>
    <w:multiLevelType w:val="hybridMultilevel"/>
    <w:tmpl w:val="CC044826"/>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2EC01AA"/>
    <w:multiLevelType w:val="multilevel"/>
    <w:tmpl w:val="0EF66EE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FE7BB0"/>
    <w:multiLevelType w:val="hybridMultilevel"/>
    <w:tmpl w:val="ADFE5518"/>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62A5C8B"/>
    <w:multiLevelType w:val="hybridMultilevel"/>
    <w:tmpl w:val="1E0AC632"/>
    <w:lvl w:ilvl="0" w:tplc="F44E0F5E">
      <w:start w:val="1"/>
      <w:numFmt w:val="lowerRoman"/>
      <w:lvlText w:val="%1."/>
      <w:lvlJc w:val="righ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C85E89"/>
    <w:multiLevelType w:val="multilevel"/>
    <w:tmpl w:val="D6760EB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24E1946"/>
    <w:multiLevelType w:val="hybridMultilevel"/>
    <w:tmpl w:val="A386F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EF4260"/>
    <w:multiLevelType w:val="hybridMultilevel"/>
    <w:tmpl w:val="2B2A6C4C"/>
    <w:lvl w:ilvl="0" w:tplc="F04EA80E">
      <w:start w:val="1"/>
      <w:numFmt w:val="upperRoman"/>
      <w:lvlText w:val="%1."/>
      <w:lvlJc w:val="left"/>
      <w:pPr>
        <w:ind w:left="1080" w:hanging="720"/>
      </w:pPr>
      <w:rPr>
        <w:rFonts w:hint="default"/>
      </w:rPr>
    </w:lvl>
    <w:lvl w:ilvl="1" w:tplc="08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7713A7"/>
    <w:multiLevelType w:val="hybridMultilevel"/>
    <w:tmpl w:val="F802EF2A"/>
    <w:lvl w:ilvl="0" w:tplc="080A000F">
      <w:start w:val="1"/>
      <w:numFmt w:val="decimal"/>
      <w:lvlText w:val="%1."/>
      <w:lvlJc w:val="left"/>
      <w:pPr>
        <w:ind w:left="720" w:hanging="720"/>
      </w:pPr>
      <w:rPr>
        <w:rFonts w:hint="default"/>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3AA921DC"/>
    <w:multiLevelType w:val="hybridMultilevel"/>
    <w:tmpl w:val="6A9C51D6"/>
    <w:lvl w:ilvl="0" w:tplc="DB6C68F2">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F05A69"/>
    <w:multiLevelType w:val="hybridMultilevel"/>
    <w:tmpl w:val="C144FDA4"/>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E7712A9"/>
    <w:multiLevelType w:val="hybridMultilevel"/>
    <w:tmpl w:val="D15AE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18A1980"/>
    <w:multiLevelType w:val="hybridMultilevel"/>
    <w:tmpl w:val="0944F87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3C51ED3"/>
    <w:multiLevelType w:val="hybridMultilevel"/>
    <w:tmpl w:val="6A5CC150"/>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5CF5B16"/>
    <w:multiLevelType w:val="hybridMultilevel"/>
    <w:tmpl w:val="77243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541E66"/>
    <w:multiLevelType w:val="hybridMultilevel"/>
    <w:tmpl w:val="9782FC94"/>
    <w:lvl w:ilvl="0" w:tplc="50B8F284">
      <w:start w:val="1"/>
      <w:numFmt w:val="lowerRoman"/>
      <w:lvlText w:val="%1."/>
      <w:lvlJc w:val="right"/>
      <w:pPr>
        <w:ind w:left="789" w:hanging="360"/>
      </w:pPr>
      <w:rPr>
        <w:i/>
        <w:iCs/>
      </w:r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30" w15:restartNumberingAfterBreak="0">
    <w:nsid w:val="62E415CD"/>
    <w:multiLevelType w:val="hybridMultilevel"/>
    <w:tmpl w:val="0C6618C6"/>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192F7A"/>
    <w:multiLevelType w:val="hybridMultilevel"/>
    <w:tmpl w:val="3118EB9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5344687"/>
    <w:multiLevelType w:val="hybridMultilevel"/>
    <w:tmpl w:val="DF78C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3A5EC1"/>
    <w:multiLevelType w:val="hybridMultilevel"/>
    <w:tmpl w:val="C3203BD6"/>
    <w:lvl w:ilvl="0" w:tplc="736095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1C978DB"/>
    <w:multiLevelType w:val="hybridMultilevel"/>
    <w:tmpl w:val="B3DC8BFA"/>
    <w:lvl w:ilvl="0" w:tplc="8F98537E">
      <w:start w:val="1"/>
      <w:numFmt w:val="decimal"/>
      <w:lvlText w:val="%1."/>
      <w:lvlJc w:val="left"/>
      <w:pPr>
        <w:ind w:left="720" w:hanging="360"/>
      </w:pPr>
      <w:rPr>
        <w:rFonts w:hint="default"/>
        <w:b/>
        <w:bCs/>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23"/>
  </w:num>
  <w:num w:numId="3">
    <w:abstractNumId w:val="3"/>
  </w:num>
  <w:num w:numId="4">
    <w:abstractNumId w:val="11"/>
  </w:num>
  <w:num w:numId="5">
    <w:abstractNumId w:val="7"/>
  </w:num>
  <w:num w:numId="6">
    <w:abstractNumId w:val="5"/>
  </w:num>
  <w:num w:numId="7">
    <w:abstractNumId w:val="1"/>
  </w:num>
  <w:num w:numId="8">
    <w:abstractNumId w:val="18"/>
  </w:num>
  <w:num w:numId="9">
    <w:abstractNumId w:val="0"/>
  </w:num>
  <w:num w:numId="10">
    <w:abstractNumId w:val="13"/>
  </w:num>
  <w:num w:numId="11">
    <w:abstractNumId w:val="29"/>
  </w:num>
  <w:num w:numId="12">
    <w:abstractNumId w:val="19"/>
  </w:num>
  <w:num w:numId="13">
    <w:abstractNumId w:val="32"/>
  </w:num>
  <w:num w:numId="14">
    <w:abstractNumId w:val="22"/>
  </w:num>
  <w:num w:numId="15">
    <w:abstractNumId w:val="6"/>
  </w:num>
  <w:num w:numId="16">
    <w:abstractNumId w:val="21"/>
  </w:num>
  <w:num w:numId="17">
    <w:abstractNumId w:val="12"/>
  </w:num>
  <w:num w:numId="18">
    <w:abstractNumId w:val="20"/>
  </w:num>
  <w:num w:numId="19">
    <w:abstractNumId w:val="31"/>
  </w:num>
  <w:num w:numId="20">
    <w:abstractNumId w:val="26"/>
  </w:num>
  <w:num w:numId="21">
    <w:abstractNumId w:val="4"/>
  </w:num>
  <w:num w:numId="22">
    <w:abstractNumId w:val="2"/>
  </w:num>
  <w:num w:numId="23">
    <w:abstractNumId w:val="24"/>
  </w:num>
  <w:num w:numId="24">
    <w:abstractNumId w:val="8"/>
  </w:num>
  <w:num w:numId="25">
    <w:abstractNumId w:val="14"/>
  </w:num>
  <w:num w:numId="26">
    <w:abstractNumId w:val="30"/>
  </w:num>
  <w:num w:numId="27">
    <w:abstractNumId w:val="16"/>
  </w:num>
  <w:num w:numId="28">
    <w:abstractNumId w:val="25"/>
  </w:num>
  <w:num w:numId="29">
    <w:abstractNumId w:val="10"/>
  </w:num>
  <w:num w:numId="30">
    <w:abstractNumId w:val="27"/>
  </w:num>
  <w:num w:numId="31">
    <w:abstractNumId w:val="33"/>
  </w:num>
  <w:num w:numId="32">
    <w:abstractNumId w:val="15"/>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9"/>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9D"/>
    <w:rsid w:val="00011407"/>
    <w:rsid w:val="00012B98"/>
    <w:rsid w:val="000143DC"/>
    <w:rsid w:val="000164C8"/>
    <w:rsid w:val="00021FE1"/>
    <w:rsid w:val="00027FA6"/>
    <w:rsid w:val="00034F5D"/>
    <w:rsid w:val="00036802"/>
    <w:rsid w:val="000376B5"/>
    <w:rsid w:val="00040229"/>
    <w:rsid w:val="00040ABE"/>
    <w:rsid w:val="00044BE5"/>
    <w:rsid w:val="00047CD9"/>
    <w:rsid w:val="00054D63"/>
    <w:rsid w:val="0006134E"/>
    <w:rsid w:val="00066609"/>
    <w:rsid w:val="000800F8"/>
    <w:rsid w:val="0008286C"/>
    <w:rsid w:val="00094547"/>
    <w:rsid w:val="0009586D"/>
    <w:rsid w:val="00095EAC"/>
    <w:rsid w:val="00096F89"/>
    <w:rsid w:val="000B5097"/>
    <w:rsid w:val="000C071E"/>
    <w:rsid w:val="000C39D2"/>
    <w:rsid w:val="000D2229"/>
    <w:rsid w:val="000E3377"/>
    <w:rsid w:val="001011B1"/>
    <w:rsid w:val="001016E1"/>
    <w:rsid w:val="00102E7B"/>
    <w:rsid w:val="00104FA1"/>
    <w:rsid w:val="00117BA4"/>
    <w:rsid w:val="00117E73"/>
    <w:rsid w:val="00125B30"/>
    <w:rsid w:val="001351CB"/>
    <w:rsid w:val="001421D2"/>
    <w:rsid w:val="00143BD6"/>
    <w:rsid w:val="0014471C"/>
    <w:rsid w:val="00146A49"/>
    <w:rsid w:val="0014772D"/>
    <w:rsid w:val="00161499"/>
    <w:rsid w:val="00165872"/>
    <w:rsid w:val="00165C60"/>
    <w:rsid w:val="0017171F"/>
    <w:rsid w:val="00172EDE"/>
    <w:rsid w:val="00174B50"/>
    <w:rsid w:val="0017618A"/>
    <w:rsid w:val="00177E4E"/>
    <w:rsid w:val="00180AE7"/>
    <w:rsid w:val="0018649D"/>
    <w:rsid w:val="0019255C"/>
    <w:rsid w:val="0019664B"/>
    <w:rsid w:val="001977FE"/>
    <w:rsid w:val="001A177E"/>
    <w:rsid w:val="001A2852"/>
    <w:rsid w:val="001A6983"/>
    <w:rsid w:val="001B2E96"/>
    <w:rsid w:val="001B7897"/>
    <w:rsid w:val="001C0447"/>
    <w:rsid w:val="001C33DE"/>
    <w:rsid w:val="001C593C"/>
    <w:rsid w:val="001C6162"/>
    <w:rsid w:val="001D2335"/>
    <w:rsid w:val="001E2AB8"/>
    <w:rsid w:val="001E4152"/>
    <w:rsid w:val="001E4179"/>
    <w:rsid w:val="001E6781"/>
    <w:rsid w:val="001F17C5"/>
    <w:rsid w:val="001F4AA3"/>
    <w:rsid w:val="001F4FE4"/>
    <w:rsid w:val="001F5124"/>
    <w:rsid w:val="00201675"/>
    <w:rsid w:val="00204D12"/>
    <w:rsid w:val="00207920"/>
    <w:rsid w:val="00207A93"/>
    <w:rsid w:val="00214F7A"/>
    <w:rsid w:val="00216B40"/>
    <w:rsid w:val="002261B1"/>
    <w:rsid w:val="00230705"/>
    <w:rsid w:val="00233534"/>
    <w:rsid w:val="00242853"/>
    <w:rsid w:val="00247CC4"/>
    <w:rsid w:val="00250608"/>
    <w:rsid w:val="002549CE"/>
    <w:rsid w:val="0025539C"/>
    <w:rsid w:val="00257B1C"/>
    <w:rsid w:val="00260F53"/>
    <w:rsid w:val="002616F0"/>
    <w:rsid w:val="00264672"/>
    <w:rsid w:val="00271087"/>
    <w:rsid w:val="00272771"/>
    <w:rsid w:val="00272E8D"/>
    <w:rsid w:val="0027373E"/>
    <w:rsid w:val="00275BDE"/>
    <w:rsid w:val="00276089"/>
    <w:rsid w:val="00291D95"/>
    <w:rsid w:val="002926FB"/>
    <w:rsid w:val="002A286E"/>
    <w:rsid w:val="002A2EEF"/>
    <w:rsid w:val="002A4B48"/>
    <w:rsid w:val="002B0B1C"/>
    <w:rsid w:val="002C3354"/>
    <w:rsid w:val="002D0050"/>
    <w:rsid w:val="002E2443"/>
    <w:rsid w:val="002E3055"/>
    <w:rsid w:val="002E3624"/>
    <w:rsid w:val="002F03D4"/>
    <w:rsid w:val="002F2EED"/>
    <w:rsid w:val="002F3C23"/>
    <w:rsid w:val="002F6176"/>
    <w:rsid w:val="00313BB6"/>
    <w:rsid w:val="00313C84"/>
    <w:rsid w:val="0031749E"/>
    <w:rsid w:val="00324C53"/>
    <w:rsid w:val="00327FD1"/>
    <w:rsid w:val="00335409"/>
    <w:rsid w:val="0033783A"/>
    <w:rsid w:val="00341B00"/>
    <w:rsid w:val="00341BA3"/>
    <w:rsid w:val="00342E23"/>
    <w:rsid w:val="00346CE6"/>
    <w:rsid w:val="0035086A"/>
    <w:rsid w:val="00352856"/>
    <w:rsid w:val="0035391D"/>
    <w:rsid w:val="003563E1"/>
    <w:rsid w:val="00356451"/>
    <w:rsid w:val="00363658"/>
    <w:rsid w:val="00371850"/>
    <w:rsid w:val="00375148"/>
    <w:rsid w:val="00382C57"/>
    <w:rsid w:val="00383605"/>
    <w:rsid w:val="00390AEB"/>
    <w:rsid w:val="003962AE"/>
    <w:rsid w:val="003A456B"/>
    <w:rsid w:val="003B10B2"/>
    <w:rsid w:val="003B25D8"/>
    <w:rsid w:val="003B2E78"/>
    <w:rsid w:val="003B3901"/>
    <w:rsid w:val="003B3C97"/>
    <w:rsid w:val="003B6D68"/>
    <w:rsid w:val="003C34FB"/>
    <w:rsid w:val="003D0428"/>
    <w:rsid w:val="003D0C66"/>
    <w:rsid w:val="003D61AA"/>
    <w:rsid w:val="003D69A3"/>
    <w:rsid w:val="003D77D3"/>
    <w:rsid w:val="003F0D90"/>
    <w:rsid w:val="003F6752"/>
    <w:rsid w:val="0040048E"/>
    <w:rsid w:val="004010F8"/>
    <w:rsid w:val="004059CC"/>
    <w:rsid w:val="004149DC"/>
    <w:rsid w:val="00422562"/>
    <w:rsid w:val="00422E63"/>
    <w:rsid w:val="004258C2"/>
    <w:rsid w:val="00426623"/>
    <w:rsid w:val="00427EEC"/>
    <w:rsid w:val="0043096D"/>
    <w:rsid w:val="00432872"/>
    <w:rsid w:val="004342B5"/>
    <w:rsid w:val="00434F58"/>
    <w:rsid w:val="00437758"/>
    <w:rsid w:val="004406FF"/>
    <w:rsid w:val="004523D6"/>
    <w:rsid w:val="00463DE7"/>
    <w:rsid w:val="00471770"/>
    <w:rsid w:val="00473460"/>
    <w:rsid w:val="00475A4C"/>
    <w:rsid w:val="004850BD"/>
    <w:rsid w:val="00486FA6"/>
    <w:rsid w:val="00486FE0"/>
    <w:rsid w:val="00491CD6"/>
    <w:rsid w:val="00493E6A"/>
    <w:rsid w:val="00494F3B"/>
    <w:rsid w:val="0049601A"/>
    <w:rsid w:val="004A169A"/>
    <w:rsid w:val="004A7E7B"/>
    <w:rsid w:val="004B0362"/>
    <w:rsid w:val="004B1202"/>
    <w:rsid w:val="004B356E"/>
    <w:rsid w:val="004B35F5"/>
    <w:rsid w:val="004B36DC"/>
    <w:rsid w:val="004B485B"/>
    <w:rsid w:val="004B5376"/>
    <w:rsid w:val="004C4D76"/>
    <w:rsid w:val="004C58BA"/>
    <w:rsid w:val="004D10E1"/>
    <w:rsid w:val="004D418A"/>
    <w:rsid w:val="004E574B"/>
    <w:rsid w:val="004F11DA"/>
    <w:rsid w:val="004F4289"/>
    <w:rsid w:val="00500D98"/>
    <w:rsid w:val="00502484"/>
    <w:rsid w:val="00503A11"/>
    <w:rsid w:val="00512FE1"/>
    <w:rsid w:val="0051452F"/>
    <w:rsid w:val="00516EA0"/>
    <w:rsid w:val="00521031"/>
    <w:rsid w:val="00524B7A"/>
    <w:rsid w:val="005260B0"/>
    <w:rsid w:val="00527B8C"/>
    <w:rsid w:val="00533AF8"/>
    <w:rsid w:val="005352D3"/>
    <w:rsid w:val="00541333"/>
    <w:rsid w:val="00542C96"/>
    <w:rsid w:val="00543C8E"/>
    <w:rsid w:val="00546DE2"/>
    <w:rsid w:val="00547246"/>
    <w:rsid w:val="0054776E"/>
    <w:rsid w:val="00547D09"/>
    <w:rsid w:val="00555EDC"/>
    <w:rsid w:val="00556208"/>
    <w:rsid w:val="00557518"/>
    <w:rsid w:val="0056032E"/>
    <w:rsid w:val="005644DE"/>
    <w:rsid w:val="005661B7"/>
    <w:rsid w:val="0057120C"/>
    <w:rsid w:val="00590D8F"/>
    <w:rsid w:val="00591255"/>
    <w:rsid w:val="00591911"/>
    <w:rsid w:val="005A40E3"/>
    <w:rsid w:val="005A4A5E"/>
    <w:rsid w:val="005A4C9E"/>
    <w:rsid w:val="005A65CD"/>
    <w:rsid w:val="005C418A"/>
    <w:rsid w:val="005C7ACD"/>
    <w:rsid w:val="005D0895"/>
    <w:rsid w:val="005D1F8A"/>
    <w:rsid w:val="005D1FDB"/>
    <w:rsid w:val="005D3C31"/>
    <w:rsid w:val="005D4B1E"/>
    <w:rsid w:val="005D6F14"/>
    <w:rsid w:val="005E0FF6"/>
    <w:rsid w:val="005E2FF9"/>
    <w:rsid w:val="005E49ED"/>
    <w:rsid w:val="005F574E"/>
    <w:rsid w:val="005F5FD3"/>
    <w:rsid w:val="006114BC"/>
    <w:rsid w:val="006150D4"/>
    <w:rsid w:val="006334AE"/>
    <w:rsid w:val="00650BDA"/>
    <w:rsid w:val="00652AE7"/>
    <w:rsid w:val="006531E5"/>
    <w:rsid w:val="00653BBD"/>
    <w:rsid w:val="006569DC"/>
    <w:rsid w:val="00657B93"/>
    <w:rsid w:val="006623E4"/>
    <w:rsid w:val="00667675"/>
    <w:rsid w:val="00670579"/>
    <w:rsid w:val="00675FAF"/>
    <w:rsid w:val="00683480"/>
    <w:rsid w:val="006839F5"/>
    <w:rsid w:val="0068423D"/>
    <w:rsid w:val="00686C1F"/>
    <w:rsid w:val="00694169"/>
    <w:rsid w:val="006944F2"/>
    <w:rsid w:val="006A41DE"/>
    <w:rsid w:val="006A4497"/>
    <w:rsid w:val="006A5D39"/>
    <w:rsid w:val="006A61F6"/>
    <w:rsid w:val="006A7B08"/>
    <w:rsid w:val="006B17F1"/>
    <w:rsid w:val="006B280E"/>
    <w:rsid w:val="006B304C"/>
    <w:rsid w:val="006B5142"/>
    <w:rsid w:val="006D7A6C"/>
    <w:rsid w:val="006E07FD"/>
    <w:rsid w:val="006F732B"/>
    <w:rsid w:val="0070149C"/>
    <w:rsid w:val="00701D2A"/>
    <w:rsid w:val="007047A8"/>
    <w:rsid w:val="007120C8"/>
    <w:rsid w:val="00712233"/>
    <w:rsid w:val="00715B4B"/>
    <w:rsid w:val="00723000"/>
    <w:rsid w:val="0072341A"/>
    <w:rsid w:val="00730C43"/>
    <w:rsid w:val="00731D11"/>
    <w:rsid w:val="00732DEF"/>
    <w:rsid w:val="0073306B"/>
    <w:rsid w:val="007442AA"/>
    <w:rsid w:val="007478FF"/>
    <w:rsid w:val="007518E0"/>
    <w:rsid w:val="007530FC"/>
    <w:rsid w:val="007532DC"/>
    <w:rsid w:val="00753FCD"/>
    <w:rsid w:val="00757010"/>
    <w:rsid w:val="00757D82"/>
    <w:rsid w:val="00762390"/>
    <w:rsid w:val="00767E64"/>
    <w:rsid w:val="00795B97"/>
    <w:rsid w:val="007A0A3C"/>
    <w:rsid w:val="007A6DB2"/>
    <w:rsid w:val="007B6AAD"/>
    <w:rsid w:val="007C1ACC"/>
    <w:rsid w:val="007C2AC3"/>
    <w:rsid w:val="007D5CCB"/>
    <w:rsid w:val="007E6CEF"/>
    <w:rsid w:val="007F0777"/>
    <w:rsid w:val="007F6E01"/>
    <w:rsid w:val="0080198E"/>
    <w:rsid w:val="0081649C"/>
    <w:rsid w:val="00820D26"/>
    <w:rsid w:val="00827311"/>
    <w:rsid w:val="0083437A"/>
    <w:rsid w:val="008375B2"/>
    <w:rsid w:val="00841118"/>
    <w:rsid w:val="00844F63"/>
    <w:rsid w:val="00846F2E"/>
    <w:rsid w:val="008522F9"/>
    <w:rsid w:val="00857FD1"/>
    <w:rsid w:val="008630A4"/>
    <w:rsid w:val="008631F3"/>
    <w:rsid w:val="008741BD"/>
    <w:rsid w:val="00875705"/>
    <w:rsid w:val="00883DF7"/>
    <w:rsid w:val="008866D3"/>
    <w:rsid w:val="00890D6D"/>
    <w:rsid w:val="00895B69"/>
    <w:rsid w:val="008A0506"/>
    <w:rsid w:val="008A083D"/>
    <w:rsid w:val="008A7477"/>
    <w:rsid w:val="008B2FDB"/>
    <w:rsid w:val="008B4B37"/>
    <w:rsid w:val="008B625C"/>
    <w:rsid w:val="008C76EC"/>
    <w:rsid w:val="008E297A"/>
    <w:rsid w:val="008E5760"/>
    <w:rsid w:val="008E5BD0"/>
    <w:rsid w:val="008E6591"/>
    <w:rsid w:val="008E6BFF"/>
    <w:rsid w:val="00914439"/>
    <w:rsid w:val="00921DD3"/>
    <w:rsid w:val="0092347B"/>
    <w:rsid w:val="00925C14"/>
    <w:rsid w:val="00937D12"/>
    <w:rsid w:val="009451DB"/>
    <w:rsid w:val="009457F1"/>
    <w:rsid w:val="009534D1"/>
    <w:rsid w:val="009568D0"/>
    <w:rsid w:val="00957D5B"/>
    <w:rsid w:val="009723DD"/>
    <w:rsid w:val="00981FDC"/>
    <w:rsid w:val="009828DE"/>
    <w:rsid w:val="00985048"/>
    <w:rsid w:val="009864C2"/>
    <w:rsid w:val="00990AF1"/>
    <w:rsid w:val="009A646A"/>
    <w:rsid w:val="009A7915"/>
    <w:rsid w:val="009B0289"/>
    <w:rsid w:val="009B6C90"/>
    <w:rsid w:val="009C0634"/>
    <w:rsid w:val="009C6B77"/>
    <w:rsid w:val="009C781E"/>
    <w:rsid w:val="009D0FAE"/>
    <w:rsid w:val="009D3F11"/>
    <w:rsid w:val="009D7F8C"/>
    <w:rsid w:val="009E3F40"/>
    <w:rsid w:val="009F0005"/>
    <w:rsid w:val="009F3A50"/>
    <w:rsid w:val="009F3C13"/>
    <w:rsid w:val="00A02E25"/>
    <w:rsid w:val="00A03809"/>
    <w:rsid w:val="00A06C6F"/>
    <w:rsid w:val="00A11992"/>
    <w:rsid w:val="00A13225"/>
    <w:rsid w:val="00A136F9"/>
    <w:rsid w:val="00A2339D"/>
    <w:rsid w:val="00A2740C"/>
    <w:rsid w:val="00A3224F"/>
    <w:rsid w:val="00A324FF"/>
    <w:rsid w:val="00A4114C"/>
    <w:rsid w:val="00A42C62"/>
    <w:rsid w:val="00A42F43"/>
    <w:rsid w:val="00A5195F"/>
    <w:rsid w:val="00A57DA1"/>
    <w:rsid w:val="00A60D73"/>
    <w:rsid w:val="00A612E0"/>
    <w:rsid w:val="00A768B1"/>
    <w:rsid w:val="00A76DFE"/>
    <w:rsid w:val="00A80825"/>
    <w:rsid w:val="00A80D71"/>
    <w:rsid w:val="00A84AC8"/>
    <w:rsid w:val="00A87CFE"/>
    <w:rsid w:val="00A901F2"/>
    <w:rsid w:val="00A94DBC"/>
    <w:rsid w:val="00AB05EC"/>
    <w:rsid w:val="00AB3D50"/>
    <w:rsid w:val="00AC3197"/>
    <w:rsid w:val="00AC4BE2"/>
    <w:rsid w:val="00AD0700"/>
    <w:rsid w:val="00AD1CAD"/>
    <w:rsid w:val="00AD369B"/>
    <w:rsid w:val="00AE11FE"/>
    <w:rsid w:val="00AF4725"/>
    <w:rsid w:val="00AF4891"/>
    <w:rsid w:val="00AF741F"/>
    <w:rsid w:val="00B01528"/>
    <w:rsid w:val="00B05A18"/>
    <w:rsid w:val="00B1014D"/>
    <w:rsid w:val="00B11AFF"/>
    <w:rsid w:val="00B11B6A"/>
    <w:rsid w:val="00B13315"/>
    <w:rsid w:val="00B23FF7"/>
    <w:rsid w:val="00B30DA7"/>
    <w:rsid w:val="00B3287C"/>
    <w:rsid w:val="00B365E6"/>
    <w:rsid w:val="00B40E4A"/>
    <w:rsid w:val="00B4455F"/>
    <w:rsid w:val="00B46226"/>
    <w:rsid w:val="00B5182B"/>
    <w:rsid w:val="00B56E03"/>
    <w:rsid w:val="00B60354"/>
    <w:rsid w:val="00B622C0"/>
    <w:rsid w:val="00B64042"/>
    <w:rsid w:val="00B73BBC"/>
    <w:rsid w:val="00B76830"/>
    <w:rsid w:val="00B83B99"/>
    <w:rsid w:val="00B87352"/>
    <w:rsid w:val="00B907C5"/>
    <w:rsid w:val="00B949D8"/>
    <w:rsid w:val="00BA056C"/>
    <w:rsid w:val="00BA4D00"/>
    <w:rsid w:val="00BA5508"/>
    <w:rsid w:val="00BB5E44"/>
    <w:rsid w:val="00BC68BE"/>
    <w:rsid w:val="00BD2959"/>
    <w:rsid w:val="00BD5367"/>
    <w:rsid w:val="00BE29AA"/>
    <w:rsid w:val="00BE2DB7"/>
    <w:rsid w:val="00BE6927"/>
    <w:rsid w:val="00BF0053"/>
    <w:rsid w:val="00BF0D87"/>
    <w:rsid w:val="00BF6E16"/>
    <w:rsid w:val="00BF765E"/>
    <w:rsid w:val="00BF7BFF"/>
    <w:rsid w:val="00C0401D"/>
    <w:rsid w:val="00C05129"/>
    <w:rsid w:val="00C052D1"/>
    <w:rsid w:val="00C0655D"/>
    <w:rsid w:val="00C122F1"/>
    <w:rsid w:val="00C211B6"/>
    <w:rsid w:val="00C24A65"/>
    <w:rsid w:val="00C276FF"/>
    <w:rsid w:val="00C314F0"/>
    <w:rsid w:val="00C34695"/>
    <w:rsid w:val="00C37DEF"/>
    <w:rsid w:val="00C43272"/>
    <w:rsid w:val="00C451F6"/>
    <w:rsid w:val="00C47258"/>
    <w:rsid w:val="00C47799"/>
    <w:rsid w:val="00C5547F"/>
    <w:rsid w:val="00C62883"/>
    <w:rsid w:val="00C66408"/>
    <w:rsid w:val="00C71069"/>
    <w:rsid w:val="00C7272C"/>
    <w:rsid w:val="00C74D3A"/>
    <w:rsid w:val="00C76BD7"/>
    <w:rsid w:val="00C80CB5"/>
    <w:rsid w:val="00C8284E"/>
    <w:rsid w:val="00C8434A"/>
    <w:rsid w:val="00C86238"/>
    <w:rsid w:val="00C914C7"/>
    <w:rsid w:val="00CA2668"/>
    <w:rsid w:val="00CA3110"/>
    <w:rsid w:val="00CA6FDB"/>
    <w:rsid w:val="00CB6250"/>
    <w:rsid w:val="00CC4728"/>
    <w:rsid w:val="00CC65E7"/>
    <w:rsid w:val="00CD2CCC"/>
    <w:rsid w:val="00CF0F58"/>
    <w:rsid w:val="00CF16BD"/>
    <w:rsid w:val="00CF4DC1"/>
    <w:rsid w:val="00D00D1D"/>
    <w:rsid w:val="00D017BB"/>
    <w:rsid w:val="00D03EBC"/>
    <w:rsid w:val="00D040E4"/>
    <w:rsid w:val="00D050CC"/>
    <w:rsid w:val="00D06A9F"/>
    <w:rsid w:val="00D07566"/>
    <w:rsid w:val="00D12B26"/>
    <w:rsid w:val="00D21369"/>
    <w:rsid w:val="00D35FEA"/>
    <w:rsid w:val="00D416F7"/>
    <w:rsid w:val="00D51A72"/>
    <w:rsid w:val="00D61816"/>
    <w:rsid w:val="00D73E6C"/>
    <w:rsid w:val="00D8174C"/>
    <w:rsid w:val="00D83BB4"/>
    <w:rsid w:val="00D85BD6"/>
    <w:rsid w:val="00D907C4"/>
    <w:rsid w:val="00D92233"/>
    <w:rsid w:val="00D9251F"/>
    <w:rsid w:val="00D943B6"/>
    <w:rsid w:val="00D96649"/>
    <w:rsid w:val="00DA79F6"/>
    <w:rsid w:val="00DB59B9"/>
    <w:rsid w:val="00DB7C80"/>
    <w:rsid w:val="00DC30F6"/>
    <w:rsid w:val="00DC3444"/>
    <w:rsid w:val="00DC6F19"/>
    <w:rsid w:val="00DE211A"/>
    <w:rsid w:val="00DE4E13"/>
    <w:rsid w:val="00DF4857"/>
    <w:rsid w:val="00DF5936"/>
    <w:rsid w:val="00E0741B"/>
    <w:rsid w:val="00E14B24"/>
    <w:rsid w:val="00E33AD1"/>
    <w:rsid w:val="00E47C1F"/>
    <w:rsid w:val="00E51EA6"/>
    <w:rsid w:val="00E52D13"/>
    <w:rsid w:val="00E54745"/>
    <w:rsid w:val="00E65384"/>
    <w:rsid w:val="00E70C4C"/>
    <w:rsid w:val="00E750D0"/>
    <w:rsid w:val="00E8018E"/>
    <w:rsid w:val="00E8333D"/>
    <w:rsid w:val="00E83713"/>
    <w:rsid w:val="00E9141C"/>
    <w:rsid w:val="00E91C64"/>
    <w:rsid w:val="00E96C61"/>
    <w:rsid w:val="00E96F5E"/>
    <w:rsid w:val="00E97908"/>
    <w:rsid w:val="00EA0590"/>
    <w:rsid w:val="00EA40F3"/>
    <w:rsid w:val="00EB513C"/>
    <w:rsid w:val="00EC152A"/>
    <w:rsid w:val="00EC1E18"/>
    <w:rsid w:val="00EC3040"/>
    <w:rsid w:val="00EC53AC"/>
    <w:rsid w:val="00ED41AE"/>
    <w:rsid w:val="00ED64DC"/>
    <w:rsid w:val="00EE24FF"/>
    <w:rsid w:val="00EE329E"/>
    <w:rsid w:val="00EE5FA5"/>
    <w:rsid w:val="00EF43CA"/>
    <w:rsid w:val="00F0018F"/>
    <w:rsid w:val="00F053BB"/>
    <w:rsid w:val="00F12E0F"/>
    <w:rsid w:val="00F138FD"/>
    <w:rsid w:val="00F202A4"/>
    <w:rsid w:val="00F21D29"/>
    <w:rsid w:val="00F239B0"/>
    <w:rsid w:val="00F27D56"/>
    <w:rsid w:val="00F33774"/>
    <w:rsid w:val="00F3601F"/>
    <w:rsid w:val="00F369DA"/>
    <w:rsid w:val="00F434D2"/>
    <w:rsid w:val="00F45DAD"/>
    <w:rsid w:val="00F648D0"/>
    <w:rsid w:val="00F65037"/>
    <w:rsid w:val="00F706DF"/>
    <w:rsid w:val="00F730E2"/>
    <w:rsid w:val="00F8012F"/>
    <w:rsid w:val="00F82E72"/>
    <w:rsid w:val="00F87B13"/>
    <w:rsid w:val="00FA120C"/>
    <w:rsid w:val="00FA5E61"/>
    <w:rsid w:val="00FA6F66"/>
    <w:rsid w:val="00FB79C9"/>
    <w:rsid w:val="00FB7B7D"/>
    <w:rsid w:val="00FC2E2D"/>
    <w:rsid w:val="00FC3CCC"/>
    <w:rsid w:val="00FD4942"/>
    <w:rsid w:val="00FE63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7E81C1"/>
  <w15:chartTrackingRefBased/>
  <w15:docId w15:val="{049E237C-F41D-4FC3-B05E-969AA2A0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9D"/>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qFormat/>
    <w:rsid w:val="00054D63"/>
    <w:pPr>
      <w:keepNext/>
      <w:spacing w:before="100" w:beforeAutospacing="1" w:after="100" w:afterAutospacing="1" w:line="360" w:lineRule="auto"/>
      <w:jc w:val="both"/>
      <w:outlineLvl w:val="0"/>
    </w:pPr>
    <w:rPr>
      <w:rFonts w:ascii="Arial" w:eastAsiaTheme="majorEastAsia" w:hAnsi="Arial" w:cstheme="majorBidi"/>
      <w:b/>
      <w:bCs/>
      <w:caps/>
      <w:kern w:val="32"/>
      <w:sz w:val="24"/>
      <w:szCs w:val="32"/>
    </w:rPr>
  </w:style>
  <w:style w:type="paragraph" w:styleId="Ttulo2">
    <w:name w:val="heading 2"/>
    <w:basedOn w:val="Normal"/>
    <w:next w:val="Normal"/>
    <w:link w:val="Ttulo2Car"/>
    <w:unhideWhenUsed/>
    <w:qFormat/>
    <w:rsid w:val="00054D63"/>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6334A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EE5FA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649D"/>
    <w:pPr>
      <w:tabs>
        <w:tab w:val="center" w:pos="4419"/>
        <w:tab w:val="right" w:pos="8838"/>
      </w:tabs>
    </w:pPr>
  </w:style>
  <w:style w:type="character" w:customStyle="1" w:styleId="EncabezadoCar">
    <w:name w:val="Encabezado Car"/>
    <w:basedOn w:val="Fuentedeprrafopredeter"/>
    <w:link w:val="Encabezado"/>
    <w:uiPriority w:val="99"/>
    <w:rsid w:val="0018649D"/>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18649D"/>
    <w:pPr>
      <w:tabs>
        <w:tab w:val="center" w:pos="4419"/>
        <w:tab w:val="right" w:pos="8838"/>
      </w:tabs>
    </w:pPr>
  </w:style>
  <w:style w:type="character" w:customStyle="1" w:styleId="PiedepginaCar">
    <w:name w:val="Pie de página Car"/>
    <w:basedOn w:val="Fuentedeprrafopredeter"/>
    <w:link w:val="Piedepgina"/>
    <w:uiPriority w:val="99"/>
    <w:rsid w:val="0018649D"/>
    <w:rPr>
      <w:rFonts w:ascii="Times New Roman" w:eastAsia="Times New Roman" w:hAnsi="Times New Roman" w:cs="Times New Roman"/>
      <w:sz w:val="20"/>
      <w:szCs w:val="20"/>
    </w:r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18649D"/>
    <w:pPr>
      <w:ind w:left="720"/>
      <w:contextualSpacing/>
    </w:pPr>
  </w:style>
  <w:style w:type="character" w:styleId="Hipervnculo">
    <w:name w:val="Hyperlink"/>
    <w:basedOn w:val="Fuentedeprrafopredeter"/>
    <w:uiPriority w:val="99"/>
    <w:unhideWhenUsed/>
    <w:rsid w:val="0018649D"/>
    <w:rPr>
      <w:color w:val="0563C1" w:themeColor="hyperlink"/>
      <w:u w:val="single"/>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18649D"/>
    <w:rPr>
      <w:rFonts w:asciiTheme="minorHAnsi" w:eastAsiaTheme="minorEastAsia" w:hAnsiTheme="minorHAnsi" w:cstheme="minorBidi"/>
      <w:lang w:eastAsia="es-MX"/>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18649D"/>
    <w:rPr>
      <w:rFonts w:eastAsiaTheme="minorEastAsia"/>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18649D"/>
    <w:rPr>
      <w:vertAlign w:val="superscript"/>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18649D"/>
    <w:pPr>
      <w:spacing w:before="100" w:beforeAutospacing="1" w:after="100" w:afterAutospacing="1"/>
    </w:pPr>
    <w:rPr>
      <w:sz w:val="24"/>
      <w:szCs w:val="24"/>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8649D"/>
    <w:pPr>
      <w:jc w:val="both"/>
    </w:pPr>
    <w:rPr>
      <w:rFonts w:asciiTheme="minorHAnsi" w:eastAsiaTheme="minorHAnsi" w:hAnsiTheme="minorHAnsi" w:cstheme="minorBidi"/>
      <w:sz w:val="22"/>
      <w:szCs w:val="22"/>
      <w:vertAlign w:val="superscript"/>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18649D"/>
    <w:rPr>
      <w:rFonts w:ascii="Times New Roman" w:eastAsia="Times New Roman" w:hAnsi="Times New Roman" w:cs="Times New Roman"/>
      <w:sz w:val="24"/>
      <w:szCs w:val="24"/>
      <w:lang w:eastAsia="es-MX"/>
    </w:rPr>
  </w:style>
  <w:style w:type="table" w:styleId="Tablaconcuadrcula">
    <w:name w:val="Table Grid"/>
    <w:basedOn w:val="Tablanormal"/>
    <w:rsid w:val="0018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18649D"/>
    <w:rPr>
      <w:rFonts w:ascii="Times New Roman" w:eastAsia="Times New Roman" w:hAnsi="Times New Roman" w:cs="Times New Roman"/>
      <w:sz w:val="20"/>
      <w:szCs w:val="20"/>
    </w:rPr>
  </w:style>
  <w:style w:type="paragraph" w:customStyle="1" w:styleId="temp">
    <w:name w:val="temp"/>
    <w:basedOn w:val="Normal"/>
    <w:rsid w:val="000800F8"/>
    <w:pPr>
      <w:spacing w:before="100" w:beforeAutospacing="1" w:after="100" w:afterAutospacing="1"/>
    </w:pPr>
    <w:rPr>
      <w:sz w:val="24"/>
      <w:szCs w:val="24"/>
      <w:lang w:eastAsia="es-MX"/>
    </w:rPr>
  </w:style>
  <w:style w:type="character" w:customStyle="1" w:styleId="bold">
    <w:name w:val="bold"/>
    <w:basedOn w:val="Fuentedeprrafopredeter"/>
    <w:rsid w:val="000800F8"/>
  </w:style>
  <w:style w:type="paragraph" w:customStyle="1" w:styleId="Estilo">
    <w:name w:val="Estilo"/>
    <w:basedOn w:val="Sinespaciado"/>
    <w:link w:val="EstiloCar"/>
    <w:qFormat/>
    <w:rsid w:val="00C43272"/>
    <w:pPr>
      <w:jc w:val="both"/>
    </w:pPr>
    <w:rPr>
      <w:rFonts w:ascii="Arial" w:eastAsiaTheme="minorEastAsia" w:hAnsi="Arial" w:cstheme="minorBidi"/>
      <w:sz w:val="24"/>
      <w:szCs w:val="22"/>
      <w:lang w:eastAsia="es-MX"/>
    </w:rPr>
  </w:style>
  <w:style w:type="character" w:customStyle="1" w:styleId="EstiloCar">
    <w:name w:val="Estilo Car"/>
    <w:basedOn w:val="Fuentedeprrafopredeter"/>
    <w:link w:val="Estilo"/>
    <w:rsid w:val="00C43272"/>
    <w:rPr>
      <w:rFonts w:ascii="Arial" w:eastAsiaTheme="minorEastAsia" w:hAnsi="Arial"/>
      <w:sz w:val="24"/>
      <w:lang w:eastAsia="es-MX"/>
    </w:rPr>
  </w:style>
  <w:style w:type="paragraph" w:styleId="Sinespaciado">
    <w:name w:val="No Spacing"/>
    <w:link w:val="SinespaciadoCar"/>
    <w:uiPriority w:val="1"/>
    <w:qFormat/>
    <w:rsid w:val="00C43272"/>
    <w:pPr>
      <w:spacing w:after="0" w:line="240" w:lineRule="auto"/>
    </w:pPr>
    <w:rPr>
      <w:rFonts w:ascii="Times New Roman" w:eastAsia="Times New Roman" w:hAnsi="Times New Roman" w:cs="Times New Roman"/>
      <w:sz w:val="20"/>
      <w:szCs w:val="20"/>
    </w:rPr>
  </w:style>
  <w:style w:type="character" w:customStyle="1" w:styleId="Ttulo1Car">
    <w:name w:val="Título 1 Car"/>
    <w:basedOn w:val="Fuentedeprrafopredeter"/>
    <w:link w:val="Ttulo1"/>
    <w:rsid w:val="00054D63"/>
    <w:rPr>
      <w:rFonts w:ascii="Arial" w:eastAsiaTheme="majorEastAsia" w:hAnsi="Arial" w:cstheme="majorBidi"/>
      <w:b/>
      <w:bCs/>
      <w:caps/>
      <w:kern w:val="32"/>
      <w:sz w:val="24"/>
      <w:szCs w:val="32"/>
    </w:rPr>
  </w:style>
  <w:style w:type="character" w:customStyle="1" w:styleId="Ttulo2Car">
    <w:name w:val="Título 2 Car"/>
    <w:basedOn w:val="Fuentedeprrafopredeter"/>
    <w:link w:val="Ttulo2"/>
    <w:rsid w:val="00054D63"/>
    <w:rPr>
      <w:rFonts w:asciiTheme="majorHAnsi" w:eastAsiaTheme="majorEastAsia" w:hAnsiTheme="majorHAnsi" w:cstheme="majorBidi"/>
      <w:b/>
      <w:bCs/>
      <w:color w:val="4472C4" w:themeColor="accent1"/>
      <w:sz w:val="26"/>
      <w:szCs w:val="26"/>
    </w:rPr>
  </w:style>
  <w:style w:type="paragraph" w:styleId="TtuloTDC">
    <w:name w:val="TOC Heading"/>
    <w:basedOn w:val="Ttulo1"/>
    <w:next w:val="Normal"/>
    <w:uiPriority w:val="39"/>
    <w:unhideWhenUsed/>
    <w:qFormat/>
    <w:rsid w:val="00054D63"/>
    <w:pPr>
      <w:keepLines/>
      <w:spacing w:before="240" w:beforeAutospacing="0" w:after="0" w:afterAutospacing="0" w:line="259" w:lineRule="auto"/>
      <w:jc w:val="left"/>
      <w:outlineLvl w:val="9"/>
    </w:pPr>
    <w:rPr>
      <w:rFonts w:asciiTheme="majorHAnsi" w:hAnsiTheme="majorHAnsi"/>
      <w:b w:val="0"/>
      <w:bCs w:val="0"/>
      <w:caps w:val="0"/>
      <w:color w:val="2F5496" w:themeColor="accent1" w:themeShade="BF"/>
      <w:kern w:val="0"/>
      <w:sz w:val="32"/>
      <w:lang w:eastAsia="es-MX"/>
    </w:rPr>
  </w:style>
  <w:style w:type="paragraph" w:styleId="TDC1">
    <w:name w:val="toc 1"/>
    <w:basedOn w:val="Normal"/>
    <w:next w:val="Normal"/>
    <w:autoRedefine/>
    <w:uiPriority w:val="39"/>
    <w:unhideWhenUsed/>
    <w:rsid w:val="00054D63"/>
    <w:pPr>
      <w:tabs>
        <w:tab w:val="left" w:pos="440"/>
        <w:tab w:val="right" w:leader="dot" w:pos="8546"/>
      </w:tabs>
      <w:spacing w:line="276" w:lineRule="auto"/>
    </w:pPr>
    <w:rPr>
      <w:rFonts w:ascii="Arial" w:hAnsi="Arial" w:cs="Arial"/>
      <w:b/>
      <w:bCs/>
      <w:noProof/>
      <w:sz w:val="18"/>
      <w:szCs w:val="18"/>
      <w:lang w:eastAsia="es-ES"/>
    </w:rPr>
  </w:style>
  <w:style w:type="paragraph" w:styleId="TDC2">
    <w:name w:val="toc 2"/>
    <w:basedOn w:val="Normal"/>
    <w:next w:val="Normal"/>
    <w:autoRedefine/>
    <w:uiPriority w:val="39"/>
    <w:unhideWhenUsed/>
    <w:rsid w:val="005A40E3"/>
    <w:pPr>
      <w:tabs>
        <w:tab w:val="right" w:leader="dot" w:pos="8546"/>
      </w:tabs>
      <w:ind w:left="851" w:right="899"/>
      <w:contextualSpacing/>
      <w:jc w:val="both"/>
    </w:pPr>
    <w:rPr>
      <w:rFonts w:ascii="Arial" w:eastAsia="Calibri" w:hAnsi="Arial" w:cs="Arial"/>
      <w:b/>
      <w:bCs/>
      <w:noProof/>
      <w:sz w:val="18"/>
      <w:szCs w:val="18"/>
      <w:lang w:val="es-ES_tradnl"/>
    </w:rPr>
  </w:style>
  <w:style w:type="character" w:styleId="Hipervnculovisitado">
    <w:name w:val="FollowedHyperlink"/>
    <w:basedOn w:val="Fuentedeprrafopredeter"/>
    <w:uiPriority w:val="99"/>
    <w:semiHidden/>
    <w:unhideWhenUsed/>
    <w:rsid w:val="006334AE"/>
    <w:rPr>
      <w:color w:val="954F72" w:themeColor="followedHyperlink"/>
      <w:u w:val="single"/>
    </w:rPr>
  </w:style>
  <w:style w:type="character" w:customStyle="1" w:styleId="Ttulo3Car">
    <w:name w:val="Título 3 Car"/>
    <w:basedOn w:val="Fuentedeprrafopredeter"/>
    <w:link w:val="Ttulo3"/>
    <w:uiPriority w:val="9"/>
    <w:rsid w:val="006334AE"/>
    <w:rPr>
      <w:rFonts w:asciiTheme="majorHAnsi" w:eastAsiaTheme="majorEastAsia" w:hAnsiTheme="majorHAnsi" w:cstheme="majorBidi"/>
      <w:color w:val="1F3763" w:themeColor="accent1" w:themeShade="7F"/>
      <w:sz w:val="24"/>
      <w:szCs w:val="24"/>
    </w:rPr>
  </w:style>
  <w:style w:type="character" w:customStyle="1" w:styleId="Mencinsinresolver1">
    <w:name w:val="Mención sin resolver1"/>
    <w:basedOn w:val="Fuentedeprrafopredeter"/>
    <w:uiPriority w:val="99"/>
    <w:semiHidden/>
    <w:unhideWhenUsed/>
    <w:rsid w:val="00427EEC"/>
    <w:rPr>
      <w:color w:val="605E5C"/>
      <w:shd w:val="clear" w:color="auto" w:fill="E1DFDD"/>
    </w:rPr>
  </w:style>
  <w:style w:type="character" w:styleId="nfasissutil">
    <w:name w:val="Subtle Emphasis"/>
    <w:basedOn w:val="Fuentedeprrafopredeter"/>
    <w:uiPriority w:val="19"/>
    <w:qFormat/>
    <w:rsid w:val="006B280E"/>
    <w:rPr>
      <w:i/>
      <w:iCs/>
      <w:color w:val="404040" w:themeColor="text1" w:themeTint="BF"/>
    </w:rPr>
  </w:style>
  <w:style w:type="character" w:customStyle="1" w:styleId="Mencinsinresolver2">
    <w:name w:val="Mención sin resolver2"/>
    <w:basedOn w:val="Fuentedeprrafopredeter"/>
    <w:uiPriority w:val="99"/>
    <w:semiHidden/>
    <w:unhideWhenUsed/>
    <w:rsid w:val="002A2EEF"/>
    <w:rPr>
      <w:color w:val="605E5C"/>
      <w:shd w:val="clear" w:color="auto" w:fill="E1DFDD"/>
    </w:rPr>
  </w:style>
  <w:style w:type="character" w:customStyle="1" w:styleId="Ttulo4Car">
    <w:name w:val="Título 4 Car"/>
    <w:basedOn w:val="Fuentedeprrafopredeter"/>
    <w:link w:val="Ttulo4"/>
    <w:uiPriority w:val="9"/>
    <w:rsid w:val="00EE5FA5"/>
    <w:rPr>
      <w:rFonts w:asciiTheme="majorHAnsi" w:eastAsiaTheme="majorEastAsia" w:hAnsiTheme="majorHAnsi" w:cstheme="majorBidi"/>
      <w:i/>
      <w:iCs/>
      <w:color w:val="2F5496" w:themeColor="accent1" w:themeShade="BF"/>
      <w:sz w:val="20"/>
      <w:szCs w:val="20"/>
    </w:rPr>
  </w:style>
  <w:style w:type="paragraph" w:customStyle="1" w:styleId="Default">
    <w:name w:val="Default"/>
    <w:rsid w:val="00117BA4"/>
    <w:pPr>
      <w:autoSpaceDE w:val="0"/>
      <w:autoSpaceDN w:val="0"/>
      <w:adjustRightInd w:val="0"/>
      <w:spacing w:after="0" w:line="240" w:lineRule="auto"/>
    </w:pPr>
    <w:rPr>
      <w:rFonts w:ascii="Arial" w:hAnsi="Arial" w:cs="Arial"/>
      <w:color w:val="000000"/>
      <w:sz w:val="24"/>
      <w:szCs w:val="24"/>
    </w:rPr>
  </w:style>
  <w:style w:type="character" w:customStyle="1" w:styleId="Mencinsinresolver3">
    <w:name w:val="Mención sin resolver3"/>
    <w:basedOn w:val="Fuentedeprrafopredeter"/>
    <w:uiPriority w:val="99"/>
    <w:semiHidden/>
    <w:unhideWhenUsed/>
    <w:rsid w:val="008A7477"/>
    <w:rPr>
      <w:color w:val="605E5C"/>
      <w:shd w:val="clear" w:color="auto" w:fill="E1DFDD"/>
    </w:rPr>
  </w:style>
  <w:style w:type="paragraph" w:customStyle="1" w:styleId="Proemio">
    <w:name w:val="Proemio"/>
    <w:basedOn w:val="Normal"/>
    <w:qFormat/>
    <w:rsid w:val="00B30DA7"/>
    <w:pPr>
      <w:spacing w:before="100" w:beforeAutospacing="1" w:after="100" w:afterAutospacing="1"/>
      <w:ind w:left="3119"/>
    </w:pPr>
    <w:rPr>
      <w:rFonts w:ascii="Arial" w:eastAsiaTheme="minorHAnsi" w:hAnsi="Arial" w:cs="Arial"/>
      <w:b/>
      <w:sz w:val="24"/>
      <w:szCs w:val="24"/>
    </w:rPr>
  </w:style>
  <w:style w:type="paragraph" w:customStyle="1" w:styleId="Estudio">
    <w:name w:val="Estudio"/>
    <w:autoRedefine/>
    <w:qFormat/>
    <w:rsid w:val="006E07FD"/>
    <w:pPr>
      <w:spacing w:after="0" w:line="360" w:lineRule="auto"/>
      <w:jc w:val="right"/>
    </w:pPr>
    <w:rPr>
      <w:rFonts w:ascii="Arial" w:hAnsi="Arial" w:cs="Arial"/>
      <w:sz w:val="24"/>
      <w:lang w:eastAsia="es-MX"/>
    </w:rPr>
  </w:style>
  <w:style w:type="paragraph" w:customStyle="1" w:styleId="Style5">
    <w:name w:val="Style5"/>
    <w:basedOn w:val="Normal"/>
    <w:uiPriority w:val="99"/>
    <w:rsid w:val="00B30DA7"/>
    <w:pPr>
      <w:widowControl w:val="0"/>
      <w:autoSpaceDE w:val="0"/>
      <w:autoSpaceDN w:val="0"/>
      <w:adjustRightInd w:val="0"/>
      <w:spacing w:line="440" w:lineRule="exact"/>
      <w:jc w:val="both"/>
    </w:pPr>
    <w:rPr>
      <w:rFonts w:ascii="Arial" w:hAnsi="Arial" w:cs="Arial"/>
      <w:sz w:val="24"/>
      <w:szCs w:val="24"/>
      <w:lang w:eastAsia="es-MX"/>
    </w:rPr>
  </w:style>
  <w:style w:type="character" w:customStyle="1" w:styleId="SinespaciadoCar">
    <w:name w:val="Sin espaciado Car"/>
    <w:link w:val="Sinespaciado"/>
    <w:uiPriority w:val="1"/>
    <w:rsid w:val="00B30DA7"/>
    <w:rPr>
      <w:rFonts w:ascii="Times New Roman" w:eastAsia="Times New Roman" w:hAnsi="Times New Roman" w:cs="Times New Roman"/>
      <w:sz w:val="20"/>
      <w:szCs w:val="20"/>
    </w:rPr>
  </w:style>
  <w:style w:type="paragraph" w:styleId="TDC3">
    <w:name w:val="toc 3"/>
    <w:basedOn w:val="Normal"/>
    <w:next w:val="Normal"/>
    <w:autoRedefine/>
    <w:uiPriority w:val="39"/>
    <w:unhideWhenUsed/>
    <w:rsid w:val="00CC4728"/>
    <w:pPr>
      <w:tabs>
        <w:tab w:val="right" w:leader="dot" w:pos="9678"/>
      </w:tabs>
      <w:spacing w:after="100" w:line="259" w:lineRule="auto"/>
      <w:ind w:left="709" w:right="190"/>
    </w:pPr>
    <w:rPr>
      <w:rFonts w:ascii="Arial" w:eastAsia="Calibri" w:hAnsi="Arial" w:cs="Arial"/>
      <w:b/>
      <w:bCs/>
      <w:noProof/>
      <w:sz w:val="18"/>
      <w:szCs w:val="18"/>
    </w:rPr>
  </w:style>
  <w:style w:type="paragraph" w:customStyle="1" w:styleId="TEXTOLIBRE">
    <w:name w:val="TEXTO LIBRE"/>
    <w:basedOn w:val="Normal"/>
    <w:rsid w:val="00B30DA7"/>
    <w:pPr>
      <w:spacing w:before="120" w:after="120" w:line="360" w:lineRule="auto"/>
      <w:ind w:firstLine="709"/>
      <w:jc w:val="both"/>
    </w:pPr>
    <w:rPr>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81861">
      <w:bodyDiv w:val="1"/>
      <w:marLeft w:val="0"/>
      <w:marRight w:val="0"/>
      <w:marTop w:val="0"/>
      <w:marBottom w:val="0"/>
      <w:divBdr>
        <w:top w:val="none" w:sz="0" w:space="0" w:color="auto"/>
        <w:left w:val="none" w:sz="0" w:space="0" w:color="auto"/>
        <w:bottom w:val="none" w:sz="0" w:space="0" w:color="auto"/>
        <w:right w:val="none" w:sz="0" w:space="0" w:color="auto"/>
      </w:divBdr>
    </w:div>
    <w:div w:id="339239410">
      <w:bodyDiv w:val="1"/>
      <w:marLeft w:val="0"/>
      <w:marRight w:val="0"/>
      <w:marTop w:val="0"/>
      <w:marBottom w:val="0"/>
      <w:divBdr>
        <w:top w:val="none" w:sz="0" w:space="0" w:color="auto"/>
        <w:left w:val="none" w:sz="0" w:space="0" w:color="auto"/>
        <w:bottom w:val="none" w:sz="0" w:space="0" w:color="auto"/>
        <w:right w:val="none" w:sz="0" w:space="0" w:color="auto"/>
      </w:divBdr>
    </w:div>
    <w:div w:id="440997934">
      <w:bodyDiv w:val="1"/>
      <w:marLeft w:val="0"/>
      <w:marRight w:val="0"/>
      <w:marTop w:val="0"/>
      <w:marBottom w:val="0"/>
      <w:divBdr>
        <w:top w:val="none" w:sz="0" w:space="0" w:color="auto"/>
        <w:left w:val="none" w:sz="0" w:space="0" w:color="auto"/>
        <w:bottom w:val="none" w:sz="0" w:space="0" w:color="auto"/>
        <w:right w:val="none" w:sz="0" w:space="0" w:color="auto"/>
      </w:divBdr>
    </w:div>
    <w:div w:id="771247455">
      <w:bodyDiv w:val="1"/>
      <w:marLeft w:val="0"/>
      <w:marRight w:val="0"/>
      <w:marTop w:val="0"/>
      <w:marBottom w:val="0"/>
      <w:divBdr>
        <w:top w:val="none" w:sz="0" w:space="0" w:color="auto"/>
        <w:left w:val="none" w:sz="0" w:space="0" w:color="auto"/>
        <w:bottom w:val="none" w:sz="0" w:space="0" w:color="auto"/>
        <w:right w:val="none" w:sz="0" w:space="0" w:color="auto"/>
      </w:divBdr>
    </w:div>
    <w:div w:id="1397245095">
      <w:bodyDiv w:val="1"/>
      <w:marLeft w:val="0"/>
      <w:marRight w:val="0"/>
      <w:marTop w:val="0"/>
      <w:marBottom w:val="0"/>
      <w:divBdr>
        <w:top w:val="none" w:sz="0" w:space="0" w:color="auto"/>
        <w:left w:val="none" w:sz="0" w:space="0" w:color="auto"/>
        <w:bottom w:val="none" w:sz="0" w:space="0" w:color="auto"/>
        <w:right w:val="none" w:sz="0" w:space="0" w:color="auto"/>
      </w:divBdr>
    </w:div>
    <w:div w:id="1511873937">
      <w:bodyDiv w:val="1"/>
      <w:marLeft w:val="0"/>
      <w:marRight w:val="0"/>
      <w:marTop w:val="0"/>
      <w:marBottom w:val="0"/>
      <w:divBdr>
        <w:top w:val="none" w:sz="0" w:space="0" w:color="auto"/>
        <w:left w:val="none" w:sz="0" w:space="0" w:color="auto"/>
        <w:bottom w:val="none" w:sz="0" w:space="0" w:color="auto"/>
        <w:right w:val="none" w:sz="0" w:space="0" w:color="auto"/>
      </w:divBdr>
    </w:div>
    <w:div w:id="18527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mplimientos@teeags.m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te.gob.mx/IUSEapp/tesisjur.aspx?idtesis=19/2012&amp;tpoBusqueda=S&amp;sWord=9/20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9A207-0112-4D9B-BA15-C1BBF3D6A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8083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3</dc:creator>
  <cp:keywords/>
  <dc:description/>
  <cp:lastModifiedBy>Auxiliar Juridico</cp:lastModifiedBy>
  <cp:revision>2</cp:revision>
  <cp:lastPrinted>2021-04-12T23:52:00Z</cp:lastPrinted>
  <dcterms:created xsi:type="dcterms:W3CDTF">2021-04-13T04:00:00Z</dcterms:created>
  <dcterms:modified xsi:type="dcterms:W3CDTF">2021-04-13T04:00:00Z</dcterms:modified>
</cp:coreProperties>
</file>