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677D9B4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56585" cy="1869440"/>
                <wp:effectExtent l="0" t="0" r="571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869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6F0A2F2B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291C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DE66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518FEDC" w14:textId="6DFE8014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E666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Lic.</w:t>
                            </w:r>
                            <w:r w:rsidR="003176E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666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Brandon Amauri Cardona Mejía</w:t>
                            </w:r>
                            <w:r w:rsidR="003176E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E666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representante propietario del PRI ante el CG del IEE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63F9F" w14:textId="3B598B20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IEE.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7.35pt;margin-top:0;width:248.55pt;height:147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6F0A2F2B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291C45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DE6666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7518FEDC" w14:textId="6DFE8014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DE6666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Lic.</w:t>
                      </w:r>
                      <w:r w:rsidR="003176E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E6666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Brandon Amauri Cardona Mejía</w:t>
                      </w:r>
                      <w:r w:rsidR="003176E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DE6666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representante propietario del PRI ante el CG del IEE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AF63F9F" w14:textId="3B598B20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IEE.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5036AD6C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-</w:t>
      </w:r>
      <w:r w:rsidR="00FB50A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DE6666">
        <w:rPr>
          <w:rFonts w:ascii="Arial" w:eastAsia="Times New Roman" w:hAnsi="Arial" w:cs="Arial"/>
          <w:bCs/>
          <w:sz w:val="24"/>
          <w:szCs w:val="24"/>
          <w:lang w:eastAsia="es-MX"/>
        </w:rPr>
        <w:t>201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DE6666">
        <w:rPr>
          <w:rFonts w:ascii="Arial" w:eastAsia="Times New Roman" w:hAnsi="Arial" w:cs="Arial"/>
          <w:bCs/>
          <w:sz w:val="24"/>
          <w:szCs w:val="24"/>
          <w:lang w:eastAsia="es-MX"/>
        </w:rPr>
        <w:t>catorce</w:t>
      </w:r>
      <w:r w:rsidR="00FB50A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octubre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2AB5C884" w:rsidR="007D1034" w:rsidRPr="008E6C27" w:rsidRDefault="00DE6666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IEE/SE/3566/2021, por el que el SE del IEE remite el expediente IEE/RAP/028/2021.</w:t>
            </w:r>
          </w:p>
        </w:tc>
        <w:tc>
          <w:tcPr>
            <w:tcW w:w="4438" w:type="dxa"/>
          </w:tcPr>
          <w:p w14:paraId="3BA4778F" w14:textId="4B0DC694" w:rsidR="00547DDF" w:rsidRPr="008E6C27" w:rsidRDefault="005D07F8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</w:t>
            </w:r>
            <w:r w:rsidR="00FB50A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66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/2021, mediante el cual se aprobó la </w:t>
            </w:r>
            <w:r w:rsidR="00FB50A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Agenda Electoral del Proceso Electoral Local 2020-2021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.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050DD9A6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FB50A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catorce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AD3C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octubre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Pr="008E6C27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3F9EECD6" w:rsidR="00DB032B" w:rsidRPr="008E6C2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 w:rsidRPr="008E6C27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DE666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1F88054C" w14:textId="5E0BB241" w:rsidR="005D07F8" w:rsidRPr="00DE6666" w:rsidRDefault="005D07F8" w:rsidP="005D07F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Turno</w:t>
      </w:r>
      <w:r w:rsidR="00DE666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y acumulación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B50A7"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="00FB50A7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Interior del Tribunal Electoral del Estado de Aguascalientes,</w:t>
      </w:r>
      <w:r w:rsidR="00DE666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así como </w:t>
      </w:r>
      <w:r w:rsidR="00DE6666"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análisis del escrito de demanda se advierte que guarda conexidad con el medio de impugnación identificado como </w:t>
      </w:r>
      <w:r w:rsidR="00DE6666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TEEA-</w:t>
      </w:r>
      <w:r w:rsidR="00DE6666">
        <w:rPr>
          <w:rFonts w:ascii="Arial" w:eastAsia="Times New Roman" w:hAnsi="Arial" w:cs="Arial"/>
          <w:b/>
          <w:sz w:val="24"/>
          <w:szCs w:val="24"/>
          <w:lang w:eastAsia="es-MX"/>
        </w:rPr>
        <w:t>RAP</w:t>
      </w:r>
      <w:r w:rsidR="00DE6666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-</w:t>
      </w:r>
      <w:r w:rsidR="00DE6666">
        <w:rPr>
          <w:rFonts w:ascii="Arial" w:eastAsia="Times New Roman" w:hAnsi="Arial" w:cs="Arial"/>
          <w:b/>
          <w:sz w:val="24"/>
          <w:szCs w:val="24"/>
          <w:lang w:eastAsia="es-MX"/>
        </w:rPr>
        <w:t>037</w:t>
      </w:r>
      <w:r w:rsidR="00DE6666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/2021</w:t>
      </w:r>
      <w:r w:rsidR="00DE6666"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>, y a efecto de evitar sentencias contradictorias</w:t>
      </w:r>
      <w:r w:rsidR="00FB50A7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túrnense los autos a la Ponencia</w:t>
      </w:r>
      <w:r w:rsidR="00FB50A7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FB50A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suscrita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proofErr w:type="gramStart"/>
      <w:r w:rsidR="00FB50A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Presidenta</w:t>
      </w:r>
      <w:proofErr w:type="gramEnd"/>
      <w:r w:rsidR="00FB50A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Claudia Díaz de León González.</w:t>
      </w:r>
    </w:p>
    <w:p w14:paraId="492B3424" w14:textId="7A4FBF65" w:rsidR="001F424B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606E734F" w14:textId="77777777" w:rsidR="005D07F8" w:rsidRPr="008E6C27" w:rsidRDefault="005D07F8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97C1D3A" w14:textId="084A9404" w:rsidR="001F424B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NOTIFÍQUESE. </w:t>
      </w:r>
    </w:p>
    <w:p w14:paraId="301D09AA" w14:textId="77777777" w:rsidR="005D07F8" w:rsidRPr="008E6C27" w:rsidRDefault="005D07F8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979ECDF" w14:textId="02D7E456" w:rsidR="00DB3CF1" w:rsidRPr="008E6C2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1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8E6C2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Pr="008E6C2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Pr="008E6C27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8E6C2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8E6C2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1"/>
    <w:p w14:paraId="6D38C7AE" w14:textId="77777777" w:rsidR="00676D1A" w:rsidRPr="008E6C2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DE6666">
    <w:pPr>
      <w:pStyle w:val="Piedepgina"/>
      <w:jc w:val="right"/>
    </w:pPr>
  </w:p>
  <w:p w14:paraId="1496D0B3" w14:textId="77777777" w:rsidR="00F71849" w:rsidRDefault="00DE66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1C45"/>
    <w:rsid w:val="002946B2"/>
    <w:rsid w:val="002C1E08"/>
    <w:rsid w:val="002D0984"/>
    <w:rsid w:val="002D7870"/>
    <w:rsid w:val="002E3A04"/>
    <w:rsid w:val="002E7919"/>
    <w:rsid w:val="002F2652"/>
    <w:rsid w:val="002F2C19"/>
    <w:rsid w:val="002F340F"/>
    <w:rsid w:val="002F5044"/>
    <w:rsid w:val="00301C90"/>
    <w:rsid w:val="003046DC"/>
    <w:rsid w:val="00314D6D"/>
    <w:rsid w:val="003176E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D07F8"/>
    <w:rsid w:val="005E03E7"/>
    <w:rsid w:val="005E183C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961BE"/>
    <w:rsid w:val="00AA7971"/>
    <w:rsid w:val="00AD3C82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6666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B50A7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14</cp:revision>
  <cp:lastPrinted>2021-10-14T16:26:00Z</cp:lastPrinted>
  <dcterms:created xsi:type="dcterms:W3CDTF">2021-04-24T21:53:00Z</dcterms:created>
  <dcterms:modified xsi:type="dcterms:W3CDTF">2021-10-14T16:26:00Z</dcterms:modified>
</cp:coreProperties>
</file>