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2926" w14:textId="16F463DA" w:rsidR="00B5147C" w:rsidRPr="008E6C2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bookmarkStart w:id="0" w:name="_Hlk92282340"/>
      <w:r w:rsidRPr="008E6C2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4FF462F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035300" cy="224790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4A399F82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443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422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6A61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42235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925D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518FEDC" w14:textId="04EA52A3" w:rsidR="008E6C2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8A5AC8" w:rsidRPr="008A5AC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Ing. Martín Darío Cázares</w:t>
                            </w:r>
                            <w:r w:rsidR="008A5AC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en</w:t>
                            </w:r>
                            <w:r w:rsidR="008A5AC8" w:rsidRPr="008A5AC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su calidad de</w:t>
                            </w:r>
                            <w:r w:rsidR="008A5AC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representante propietario del</w:t>
                            </w:r>
                            <w:r w:rsidR="008A5AC8" w:rsidRPr="008A5AC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094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Partido político MORENA</w:t>
                            </w:r>
                            <w:r w:rsidR="008A5AC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, ante CG del IEE.</w:t>
                            </w:r>
                          </w:p>
                          <w:p w14:paraId="5AF63F9F" w14:textId="178C24C0" w:rsidR="008E6C27" w:rsidRPr="00EE6E3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1C4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Consejo General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del I</w:t>
                            </w:r>
                            <w:r w:rsidR="0042235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nstituto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42235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statal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E</w:t>
                            </w:r>
                            <w:r w:rsidR="0042235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lectoral</w:t>
                            </w:r>
                            <w:r w:rsidR="008A5AC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8pt;margin-top:0;width:239pt;height:17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4A399F82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4438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422355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6A61D0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422355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925D3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7518FEDC" w14:textId="04EA52A3" w:rsidR="008E6C2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8A5AC8" w:rsidRPr="008A5AC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Ing. Martín Darío Cázares</w:t>
                      </w:r>
                      <w:r w:rsidR="008A5AC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en</w:t>
                      </w:r>
                      <w:r w:rsidR="008A5AC8" w:rsidRPr="008A5AC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su calidad de</w:t>
                      </w:r>
                      <w:r w:rsidR="008A5AC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representante propietario del</w:t>
                      </w:r>
                      <w:r w:rsidR="008A5AC8" w:rsidRPr="008A5AC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4094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Partido político MORENA</w:t>
                      </w:r>
                      <w:r w:rsidR="008A5AC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, ante CG del IEE.</w:t>
                      </w:r>
                    </w:p>
                    <w:p w14:paraId="5AF63F9F" w14:textId="178C24C0" w:rsidR="008E6C27" w:rsidRPr="00EE6E3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91C4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Consejo General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del I</w:t>
                      </w:r>
                      <w:r w:rsidR="0042235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nstituto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</w:t>
                      </w:r>
                      <w:r w:rsidR="0042235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statal 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E</w:t>
                      </w:r>
                      <w:r w:rsidR="0042235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lectoral</w:t>
                      </w:r>
                      <w:r w:rsidR="008A5AC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A6AF881" w14:textId="77777777" w:rsidR="00244388" w:rsidRPr="008E6C27" w:rsidRDefault="00244388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572083F" w14:textId="77777777" w:rsidR="008A5AC8" w:rsidRDefault="008A5AC8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9517482" w14:textId="77777777" w:rsidR="008A5AC8" w:rsidRDefault="008A5AC8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02B30848" w:rsidR="009A1EF4" w:rsidRPr="008E6C27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Secretario G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eneral</w:t>
      </w:r>
      <w:proofErr w:type="gramEnd"/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da cuenta a la Magistrada Presidenta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TEEA-OP</w:t>
      </w:r>
      <w:r w:rsidR="005D07F8">
        <w:rPr>
          <w:rFonts w:ascii="Arial" w:eastAsia="Times New Roman" w:hAnsi="Arial" w:cs="Arial"/>
          <w:bCs/>
          <w:sz w:val="24"/>
          <w:szCs w:val="24"/>
          <w:lang w:eastAsia="es-MX"/>
        </w:rPr>
        <w:t>-</w:t>
      </w:r>
      <w:r w:rsidR="00486FBA">
        <w:rPr>
          <w:rFonts w:ascii="Arial" w:eastAsia="Times New Roman" w:hAnsi="Arial" w:cs="Arial"/>
          <w:bCs/>
          <w:sz w:val="24"/>
          <w:szCs w:val="24"/>
          <w:lang w:eastAsia="es-MX"/>
        </w:rPr>
        <w:t>0</w:t>
      </w:r>
      <w:r w:rsidR="006A61D0">
        <w:rPr>
          <w:rFonts w:ascii="Arial" w:eastAsia="Times New Roman" w:hAnsi="Arial" w:cs="Arial"/>
          <w:bCs/>
          <w:sz w:val="24"/>
          <w:szCs w:val="24"/>
          <w:lang w:eastAsia="es-MX"/>
        </w:rPr>
        <w:t>523</w:t>
      </w:r>
      <w:r w:rsidR="0026586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960C1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6A61D0">
        <w:rPr>
          <w:rFonts w:ascii="Arial" w:eastAsia="Times New Roman" w:hAnsi="Arial" w:cs="Arial"/>
          <w:bCs/>
          <w:sz w:val="24"/>
          <w:szCs w:val="24"/>
          <w:lang w:eastAsia="es-MX"/>
        </w:rPr>
        <w:t>nueve de julio</w:t>
      </w:r>
      <w:r w:rsidR="0098607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</w:t>
      </w:r>
      <w:r w:rsidR="007149F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dos mil veinti</w:t>
      </w:r>
      <w:r w:rsidR="0098607A">
        <w:rPr>
          <w:rFonts w:ascii="Arial" w:eastAsia="Times New Roman" w:hAnsi="Arial" w:cs="Arial"/>
          <w:bCs/>
          <w:sz w:val="24"/>
          <w:szCs w:val="24"/>
          <w:lang w:eastAsia="es-MX"/>
        </w:rPr>
        <w:t>dós</w:t>
      </w:r>
      <w:r w:rsidR="007149F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547DDF" w:rsidRPr="008E6C27" w14:paraId="1CD8381F" w14:textId="77777777" w:rsidTr="008E6C27">
        <w:tc>
          <w:tcPr>
            <w:tcW w:w="4390" w:type="dxa"/>
          </w:tcPr>
          <w:p w14:paraId="351D66D4" w14:textId="711D2F01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38" w:type="dxa"/>
          </w:tcPr>
          <w:p w14:paraId="43FEB0FA" w14:textId="0CDD9F00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47DDF" w:rsidRPr="008E6C27" w14:paraId="2F8B887C" w14:textId="77777777" w:rsidTr="008E6C27">
        <w:tc>
          <w:tcPr>
            <w:tcW w:w="4390" w:type="dxa"/>
          </w:tcPr>
          <w:p w14:paraId="4448E5CB" w14:textId="37E6E724" w:rsidR="007D1034" w:rsidRPr="008E6C27" w:rsidRDefault="00DE6666" w:rsidP="002E79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Oficio IEE/</w:t>
            </w:r>
            <w:r w:rsidR="006A61D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</w:t>
            </w:r>
            <w:r w:rsidR="006A61D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2214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</w:t>
            </w:r>
            <w:r w:rsidR="00112F02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, por el que el </w:t>
            </w:r>
            <w:proofErr w:type="gramStart"/>
            <w:r w:rsidR="006A61D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Consejero </w:t>
            </w:r>
            <w:r w:rsidR="008C01C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Presidente</w:t>
            </w:r>
            <w:proofErr w:type="gramEnd"/>
            <w:r w:rsidR="008C01C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del</w:t>
            </w:r>
            <w:r w:rsidR="006A61D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CG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del IEE remite el expediente IEE/RAP/0</w:t>
            </w:r>
            <w:r w:rsidR="0042235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</w:t>
            </w:r>
            <w:r w:rsidR="006A61D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</w:t>
            </w:r>
            <w:r w:rsidR="00422355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  <w:r w:rsidR="006A61D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y sus acumulados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4438" w:type="dxa"/>
          </w:tcPr>
          <w:p w14:paraId="3BA4778F" w14:textId="08845EFF" w:rsidR="00547DDF" w:rsidRPr="008E6C27" w:rsidRDefault="006A61D0" w:rsidP="002E7919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Aprobación de las actas de las sesiones extraordinarias solemnes de clausura de los </w:t>
            </w:r>
            <w:r w:rsidR="008C01CF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dieciocho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Consejos Distritales Electorales</w:t>
            </w:r>
            <w:r w:rsidR="008C01CF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 xml:space="preserve"> del IEE, de fecha 30 de junio de 2022 y su respectiva declaratoria de clausura.</w:t>
            </w:r>
          </w:p>
        </w:tc>
      </w:tr>
    </w:tbl>
    <w:p w14:paraId="0D875ADC" w14:textId="77777777" w:rsidR="007149F2" w:rsidRPr="008E6C27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7AB9F54F" w:rsidR="00DB3CF1" w:rsidRPr="008E6C2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8C01C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nueve de julio</w:t>
      </w:r>
      <w:r w:rsidR="00781D5D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</w:t>
      </w:r>
      <w:r w:rsidR="00112F0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dós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2F04512E" w14:textId="3D8FCE71" w:rsidR="00112F02" w:rsidRPr="008E6C27" w:rsidRDefault="00112F02" w:rsidP="00112F02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55567064"/>
      <w:bookmarkEnd w:id="0"/>
      <w:r w:rsidRPr="008E6C27">
        <w:rPr>
          <w:rFonts w:ascii="Arial" w:hAnsi="Arial" w:cs="Arial"/>
          <w:sz w:val="24"/>
          <w:szCs w:val="24"/>
        </w:rPr>
        <w:t>Vista la cuenta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</w:t>
      </w:r>
      <w:r w:rsidR="004557E2">
        <w:rPr>
          <w:rStyle w:val="Refdenotaalpie"/>
          <w:rFonts w:ascii="Arial" w:eastAsia="Times New Roman" w:hAnsi="Arial" w:cs="Arial"/>
          <w:bCs/>
          <w:sz w:val="24"/>
          <w:szCs w:val="24"/>
          <w:lang w:eastAsia="es-MX"/>
        </w:rPr>
        <w:footnoteReference w:id="1"/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; 18, fracción XIII y 102, fracción I, del Reglamento Interior del Tribunal Electoral del Estado de Aguascalientes,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1"/>
    <w:p w14:paraId="79303F14" w14:textId="05F5437D" w:rsidR="005935BA" w:rsidRDefault="00112F02" w:rsidP="00112F02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PRIMERO. </w:t>
      </w:r>
      <w:r w:rsidR="00D7043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Improcedencia de</w:t>
      </w:r>
      <w:r w:rsidR="0021586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la acumulación </w:t>
      </w:r>
      <w:r w:rsidR="00D7043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en sede administrativa</w:t>
      </w:r>
      <w:r w:rsidR="0021586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  <w:r w:rsidR="00D7043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5935BA">
        <w:rPr>
          <w:rFonts w:ascii="Arial" w:eastAsia="Times New Roman" w:hAnsi="Arial" w:cs="Arial"/>
          <w:sz w:val="24"/>
          <w:szCs w:val="24"/>
          <w:lang w:eastAsia="es-MX"/>
        </w:rPr>
        <w:t xml:space="preserve">Con fecha cuatro y cinco de julio del presente año, se recibió el aviso de presentación de diecinueve </w:t>
      </w:r>
      <w:r w:rsidR="004557E2">
        <w:rPr>
          <w:rFonts w:ascii="Arial" w:eastAsia="Times New Roman" w:hAnsi="Arial" w:cs="Arial"/>
          <w:sz w:val="24"/>
          <w:szCs w:val="24"/>
          <w:lang w:eastAsia="es-MX"/>
        </w:rPr>
        <w:t>recursos de apelación</w:t>
      </w:r>
      <w:r w:rsidR="005935BA">
        <w:rPr>
          <w:rFonts w:ascii="Arial" w:eastAsia="Times New Roman" w:hAnsi="Arial" w:cs="Arial"/>
          <w:sz w:val="24"/>
          <w:szCs w:val="24"/>
          <w:lang w:eastAsia="es-MX"/>
        </w:rPr>
        <w:t xml:space="preserve"> en contra de </w:t>
      </w:r>
      <w:r w:rsidR="005935B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la aprobación de las actas de las sesiones extraordinarias solemnes de clausura de los dieciocho Consejos Distritales Electorales del IEE, de fecha </w:t>
      </w:r>
      <w:r w:rsidR="004557E2">
        <w:rPr>
          <w:rFonts w:ascii="Arial" w:eastAsia="Times New Roman" w:hAnsi="Arial" w:cs="Arial"/>
          <w:bCs/>
          <w:sz w:val="24"/>
          <w:szCs w:val="24"/>
          <w:lang w:eastAsia="es-MX"/>
        </w:rPr>
        <w:t>treinta</w:t>
      </w:r>
      <w:r w:rsidR="005935B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junio de </w:t>
      </w:r>
      <w:r w:rsidR="004557E2">
        <w:rPr>
          <w:rFonts w:ascii="Arial" w:eastAsia="Times New Roman" w:hAnsi="Arial" w:cs="Arial"/>
          <w:bCs/>
          <w:sz w:val="24"/>
          <w:szCs w:val="24"/>
          <w:lang w:eastAsia="es-MX"/>
        </w:rPr>
        <w:t>dos mil veintidós</w:t>
      </w:r>
      <w:r w:rsidR="005935B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su respectiva declaratoria de clausura</w:t>
      </w:r>
      <w:r w:rsidR="00294575">
        <w:rPr>
          <w:rFonts w:ascii="Arial" w:eastAsia="Times New Roman" w:hAnsi="Arial" w:cs="Arial"/>
          <w:bCs/>
          <w:sz w:val="24"/>
          <w:szCs w:val="24"/>
          <w:lang w:eastAsia="es-MX"/>
        </w:rPr>
        <w:t>, registr</w:t>
      </w:r>
      <w:r w:rsidR="002417A9">
        <w:rPr>
          <w:rFonts w:ascii="Arial" w:eastAsia="Times New Roman" w:hAnsi="Arial" w:cs="Arial"/>
          <w:bCs/>
          <w:sz w:val="24"/>
          <w:szCs w:val="24"/>
          <w:lang w:eastAsia="es-MX"/>
        </w:rPr>
        <w:t>ados por el Instituto Estatal Electoral</w:t>
      </w:r>
      <w:r w:rsidR="0029457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bajo los números: IEE/RAP/004/2022, IEE/RAP/005/2022, IEE/RAP/006/2022, IEE/RAP/007/2022, IEE/RAP/008/2022, IEE/RAP/009/2022, IEE/RAP/010/2022, IEE/RAP/011/2022, IEE/RAP/012/2022, IEE/RAP/013/2022, IEE/RAP/014/2022, IEE/RAP/015/2022, IEE/RAP/016/2022, IEE/RAP/017/2022, </w:t>
      </w:r>
      <w:r w:rsidR="00294575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IEE/RAP/018/2022, IEE/RAP/019/2022, IEE/RAP/020/2022, IEE/RAP/021/2022, IEE/RAP/022/2022.</w:t>
      </w:r>
    </w:p>
    <w:p w14:paraId="0DEED3DF" w14:textId="0EAD4C1C" w:rsidR="005935BA" w:rsidRDefault="004557E2" w:rsidP="00112F02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U</w:t>
      </w:r>
      <w:r w:rsidR="005935BA">
        <w:rPr>
          <w:rFonts w:ascii="Arial" w:eastAsia="Times New Roman" w:hAnsi="Arial" w:cs="Arial"/>
          <w:sz w:val="24"/>
          <w:szCs w:val="24"/>
          <w:lang w:eastAsia="es-MX"/>
        </w:rPr>
        <w:t>na vez transcurrido el plazo de setenta y dos horas, para su publicación mediante cédula, en los estrados respectivos, previsto en el artículo 311, fracción II, del Código, con fecha nueve de julio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d</w:t>
      </w:r>
      <w:r w:rsidR="00FC080D">
        <w:rPr>
          <w:rFonts w:ascii="Arial" w:eastAsia="Times New Roman" w:hAnsi="Arial" w:cs="Arial"/>
          <w:sz w:val="24"/>
          <w:szCs w:val="24"/>
          <w:lang w:eastAsia="es-MX"/>
        </w:rPr>
        <w:t>el año que transcurre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, se recibió en </w:t>
      </w:r>
      <w:r w:rsidR="00034643">
        <w:rPr>
          <w:rFonts w:ascii="Arial" w:eastAsia="Times New Roman" w:hAnsi="Arial" w:cs="Arial"/>
          <w:sz w:val="24"/>
          <w:szCs w:val="24"/>
          <w:lang w:eastAsia="es-MX"/>
        </w:rPr>
        <w:t>O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ficialía de </w:t>
      </w:r>
      <w:r w:rsidR="00034643">
        <w:rPr>
          <w:rFonts w:ascii="Arial" w:eastAsia="Times New Roman" w:hAnsi="Arial" w:cs="Arial"/>
          <w:sz w:val="24"/>
          <w:szCs w:val="24"/>
          <w:lang w:eastAsia="es-MX"/>
        </w:rPr>
        <w:t>P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artes de este Tribunal el Oficio IEE/P/2214/2022, por el que el </w:t>
      </w:r>
      <w:proofErr w:type="gramStart"/>
      <w:r>
        <w:rPr>
          <w:rFonts w:ascii="Arial" w:eastAsia="Times New Roman" w:hAnsi="Arial" w:cs="Arial"/>
          <w:sz w:val="24"/>
          <w:szCs w:val="24"/>
          <w:lang w:eastAsia="es-MX"/>
        </w:rPr>
        <w:t>Consejero Presidente</w:t>
      </w:r>
      <w:proofErr w:type="gramEnd"/>
      <w:r>
        <w:rPr>
          <w:rFonts w:ascii="Arial" w:eastAsia="Times New Roman" w:hAnsi="Arial" w:cs="Arial"/>
          <w:sz w:val="24"/>
          <w:szCs w:val="24"/>
          <w:lang w:eastAsia="es-MX"/>
        </w:rPr>
        <w:t xml:space="preserve"> del C</w:t>
      </w:r>
      <w:r w:rsidR="00ED3790">
        <w:rPr>
          <w:rFonts w:ascii="Arial" w:eastAsia="Times New Roman" w:hAnsi="Arial" w:cs="Arial"/>
          <w:sz w:val="24"/>
          <w:szCs w:val="24"/>
          <w:lang w:eastAsia="es-MX"/>
        </w:rPr>
        <w:t xml:space="preserve">onsejo </w:t>
      </w:r>
      <w:r>
        <w:rPr>
          <w:rFonts w:ascii="Arial" w:eastAsia="Times New Roman" w:hAnsi="Arial" w:cs="Arial"/>
          <w:sz w:val="24"/>
          <w:szCs w:val="24"/>
          <w:lang w:eastAsia="es-MX"/>
        </w:rPr>
        <w:t>G</w:t>
      </w:r>
      <w:r w:rsidR="00ED3790">
        <w:rPr>
          <w:rFonts w:ascii="Arial" w:eastAsia="Times New Roman" w:hAnsi="Arial" w:cs="Arial"/>
          <w:sz w:val="24"/>
          <w:szCs w:val="24"/>
          <w:lang w:eastAsia="es-MX"/>
        </w:rPr>
        <w:t>eneral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del I</w:t>
      </w:r>
      <w:r w:rsidR="00ED3790">
        <w:rPr>
          <w:rFonts w:ascii="Arial" w:eastAsia="Times New Roman" w:hAnsi="Arial" w:cs="Arial"/>
          <w:sz w:val="24"/>
          <w:szCs w:val="24"/>
          <w:lang w:eastAsia="es-MX"/>
        </w:rPr>
        <w:t xml:space="preserve">nstituto </w:t>
      </w:r>
      <w:r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="00ED3790">
        <w:rPr>
          <w:rFonts w:ascii="Arial" w:eastAsia="Times New Roman" w:hAnsi="Arial" w:cs="Arial"/>
          <w:sz w:val="24"/>
          <w:szCs w:val="24"/>
          <w:lang w:eastAsia="es-MX"/>
        </w:rPr>
        <w:t xml:space="preserve">statal </w:t>
      </w:r>
      <w:r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="00ED3790">
        <w:rPr>
          <w:rFonts w:ascii="Arial" w:eastAsia="Times New Roman" w:hAnsi="Arial" w:cs="Arial"/>
          <w:sz w:val="24"/>
          <w:szCs w:val="24"/>
          <w:lang w:eastAsia="es-MX"/>
        </w:rPr>
        <w:t>lectoral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remite el expediente IEE/RAP/004/2022 y sus acumulados</w:t>
      </w:r>
      <w:r w:rsidR="00057A2A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22F71DA9" w14:textId="03926E41" w:rsidR="00057A2A" w:rsidRPr="005935BA" w:rsidRDefault="00057A2A" w:rsidP="00112F02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De la documentación recibida, se tiene que, con fecha cinco de julio de dos mil veintidós, el </w:t>
      </w:r>
      <w:r w:rsidR="00ED3790">
        <w:rPr>
          <w:rFonts w:ascii="Arial" w:eastAsia="Times New Roman" w:hAnsi="Arial" w:cs="Arial"/>
          <w:sz w:val="24"/>
          <w:szCs w:val="24"/>
          <w:lang w:eastAsia="es-MX"/>
        </w:rPr>
        <w:t xml:space="preserve">señalado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Consejero Presidente, dictó el “ACUERDO DE RECEPCIÓN DE RECURSO DE APELACIÓN”, </w:t>
      </w:r>
      <w:r w:rsidR="00294575">
        <w:rPr>
          <w:rFonts w:ascii="Arial" w:eastAsia="Times New Roman" w:hAnsi="Arial" w:cs="Arial"/>
          <w:sz w:val="24"/>
          <w:szCs w:val="24"/>
          <w:lang w:eastAsia="es-MX"/>
        </w:rPr>
        <w:t>por el que acumul</w:t>
      </w:r>
      <w:r w:rsidR="00ED3790">
        <w:rPr>
          <w:rFonts w:ascii="Arial" w:eastAsia="Times New Roman" w:hAnsi="Arial" w:cs="Arial"/>
          <w:sz w:val="24"/>
          <w:szCs w:val="24"/>
          <w:lang w:eastAsia="es-MX"/>
        </w:rPr>
        <w:t>ó</w:t>
      </w:r>
      <w:r w:rsidR="00294575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294575" w:rsidRPr="00034643">
        <w:rPr>
          <w:rFonts w:ascii="Arial" w:eastAsia="Times New Roman" w:hAnsi="Arial" w:cs="Arial"/>
          <w:sz w:val="24"/>
          <w:szCs w:val="24"/>
          <w:lang w:eastAsia="es-MX"/>
        </w:rPr>
        <w:t xml:space="preserve">los </w:t>
      </w:r>
      <w:r w:rsidR="00294575">
        <w:rPr>
          <w:rFonts w:ascii="Arial" w:eastAsia="Times New Roman" w:hAnsi="Arial" w:cs="Arial"/>
          <w:sz w:val="24"/>
          <w:szCs w:val="24"/>
          <w:lang w:eastAsia="es-MX"/>
        </w:rPr>
        <w:t xml:space="preserve">recursos de apelación </w:t>
      </w:r>
      <w:r w:rsidR="0029457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IEE/RAP/005/2022, IEE/RAP/006/2022, IEE/RAP/007/2022, IEE/RAP/008/2022, IEE/RAP/009/2022, IEE/RAP/010/2022, IEE/RAP/011/2022, IEE/RAP/012/2022, IEE/RAP/013/2022, IEE/RAP/014/2022, IEE/RAP/015/2022, IEE/RAP/016/2022, IEE/RAP/017/2022, IEE/RAP/018/2022, IEE/RAP/019/2022, IEE/RAP/020/2022, IEE/RAP/021/2022, IEE/RAP/022/2022 al IEE/RAP/004/2022. </w:t>
      </w:r>
    </w:p>
    <w:p w14:paraId="3C4ECE88" w14:textId="52BA404E" w:rsidR="00ED7273" w:rsidRDefault="001B041F" w:rsidP="004557E2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De acuerdo a lo establecido en el artículo 297</w:t>
      </w:r>
      <w:r w:rsidR="001E1607">
        <w:rPr>
          <w:rFonts w:ascii="Arial" w:eastAsia="Times New Roman" w:hAnsi="Arial" w:cs="Arial"/>
          <w:sz w:val="24"/>
          <w:szCs w:val="24"/>
          <w:lang w:eastAsia="es-MX"/>
        </w:rPr>
        <w:t xml:space="preserve"> del Código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, el sistema de medios de impugnación se conforma por los recursos de inconformidad, apelación, nulidad y revisión del procedimiento especial sancionador, correspondiendo </w:t>
      </w:r>
      <w:r w:rsidR="001E1607">
        <w:rPr>
          <w:rFonts w:ascii="Arial" w:eastAsia="Times New Roman" w:hAnsi="Arial" w:cs="Arial"/>
          <w:sz w:val="24"/>
          <w:szCs w:val="24"/>
          <w:lang w:eastAsia="es-MX"/>
        </w:rPr>
        <w:t xml:space="preserve">la substanciación y resolución del primero al Instituto Estatal Electoral y el resto a este órgano jurisdiccional. </w:t>
      </w:r>
    </w:p>
    <w:p w14:paraId="02032FEF" w14:textId="1FBA740C" w:rsidR="001E1607" w:rsidRDefault="001E1607" w:rsidP="00112F02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En este sentido, el artículo 327, del citado ordenamiento, establece que, para la </w:t>
      </w:r>
      <w:r w:rsidRPr="001E1607">
        <w:rPr>
          <w:rFonts w:ascii="Arial" w:eastAsia="Times New Roman" w:hAnsi="Arial" w:cs="Arial"/>
          <w:sz w:val="24"/>
          <w:szCs w:val="24"/>
          <w:lang w:eastAsia="es-MX"/>
        </w:rPr>
        <w:t xml:space="preserve">resolución pronta y expedita de los medios de impugnación previstos en </w:t>
      </w:r>
      <w:r>
        <w:rPr>
          <w:rFonts w:ascii="Arial" w:eastAsia="Times New Roman" w:hAnsi="Arial" w:cs="Arial"/>
          <w:sz w:val="24"/>
          <w:szCs w:val="24"/>
          <w:lang w:eastAsia="es-MX"/>
        </w:rPr>
        <w:t>el</w:t>
      </w:r>
      <w:r w:rsidRPr="001E1607">
        <w:rPr>
          <w:rFonts w:ascii="Arial" w:eastAsia="Times New Roman" w:hAnsi="Arial" w:cs="Arial"/>
          <w:sz w:val="24"/>
          <w:szCs w:val="24"/>
          <w:lang w:eastAsia="es-MX"/>
        </w:rPr>
        <w:t xml:space="preserve"> Código, los órganos competentes del Instituto o el Tribunal, podrán determinar su acumulación</w:t>
      </w:r>
      <w:r w:rsidR="00ED3790">
        <w:rPr>
          <w:rFonts w:ascii="Arial" w:eastAsia="Times New Roman" w:hAnsi="Arial" w:cs="Arial"/>
          <w:sz w:val="24"/>
          <w:szCs w:val="24"/>
          <w:lang w:eastAsia="es-MX"/>
        </w:rPr>
        <w:t>, la cual</w:t>
      </w:r>
      <w:r w:rsidRPr="001E1607">
        <w:rPr>
          <w:rFonts w:ascii="Arial" w:eastAsia="Times New Roman" w:hAnsi="Arial" w:cs="Arial"/>
          <w:sz w:val="24"/>
          <w:szCs w:val="24"/>
          <w:lang w:eastAsia="es-MX"/>
        </w:rPr>
        <w:t xml:space="preserve"> podrá decretarse al inicio o durante la substanciación, o para la resolución de los medios de impugnación.</w:t>
      </w:r>
    </w:p>
    <w:p w14:paraId="371FF29E" w14:textId="51D2A791" w:rsidR="00FC080D" w:rsidRDefault="001E1607" w:rsidP="00034643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De lo anterior, y en lo que nos ocupa, es evidente </w:t>
      </w:r>
      <w:r w:rsidR="00ED7273">
        <w:rPr>
          <w:rFonts w:ascii="Arial" w:eastAsia="Times New Roman" w:hAnsi="Arial" w:cs="Arial"/>
          <w:sz w:val="24"/>
          <w:szCs w:val="24"/>
          <w:lang w:eastAsia="es-MX"/>
        </w:rPr>
        <w:t>que,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 si la sustanciación y resolución de los recursos de apelación </w:t>
      </w:r>
      <w:r w:rsidR="00ED7273">
        <w:rPr>
          <w:rFonts w:ascii="Arial" w:eastAsia="Times New Roman" w:hAnsi="Arial" w:cs="Arial"/>
          <w:sz w:val="24"/>
          <w:szCs w:val="24"/>
          <w:lang w:eastAsia="es-MX"/>
        </w:rPr>
        <w:t>s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on competencia de este Tribunal Electoral, </w:t>
      </w:r>
      <w:r w:rsidR="00ED7273">
        <w:rPr>
          <w:rFonts w:ascii="Arial" w:eastAsia="Times New Roman" w:hAnsi="Arial" w:cs="Arial"/>
          <w:sz w:val="24"/>
          <w:szCs w:val="24"/>
          <w:lang w:eastAsia="es-MX"/>
        </w:rPr>
        <w:t>también lo es la determinación de su acumulación</w:t>
      </w:r>
      <w:r w:rsidR="00FC080D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29C5448E" w14:textId="69826730" w:rsidR="004C031B" w:rsidRDefault="00ED3790" w:rsidP="004C031B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Esto</w:t>
      </w:r>
      <w:r w:rsidR="00FC080D">
        <w:rPr>
          <w:rFonts w:ascii="Arial" w:eastAsia="Times New Roman" w:hAnsi="Arial" w:cs="Arial"/>
          <w:sz w:val="24"/>
          <w:szCs w:val="24"/>
          <w:lang w:eastAsia="es-MX"/>
        </w:rPr>
        <w:t xml:space="preserve"> es así, porque la acumulación forma parte de la substanciación y resolución de los medios de impugnación, siendo que </w:t>
      </w:r>
      <w:r w:rsidR="004C031B">
        <w:rPr>
          <w:rFonts w:ascii="Arial" w:eastAsia="Times New Roman" w:hAnsi="Arial" w:cs="Arial"/>
          <w:sz w:val="24"/>
          <w:szCs w:val="24"/>
          <w:lang w:eastAsia="es-MX"/>
        </w:rPr>
        <w:t xml:space="preserve">el </w:t>
      </w:r>
      <w:r w:rsidR="00FC080D">
        <w:rPr>
          <w:rFonts w:ascii="Arial" w:eastAsia="Times New Roman" w:hAnsi="Arial" w:cs="Arial"/>
          <w:sz w:val="24"/>
          <w:szCs w:val="24"/>
          <w:lang w:eastAsia="es-MX"/>
        </w:rPr>
        <w:t>Consejo General y los dieciocho Consejos Distritales</w:t>
      </w:r>
      <w:r w:rsidR="004C031B">
        <w:rPr>
          <w:rFonts w:ascii="Arial" w:eastAsia="Times New Roman" w:hAnsi="Arial" w:cs="Arial"/>
          <w:sz w:val="24"/>
          <w:szCs w:val="24"/>
          <w:lang w:eastAsia="es-MX"/>
        </w:rPr>
        <w:t xml:space="preserve"> del Instituto Estatal Electoral</w:t>
      </w:r>
      <w:r w:rsidR="00FC080D">
        <w:rPr>
          <w:rFonts w:ascii="Arial" w:eastAsia="Times New Roman" w:hAnsi="Arial" w:cs="Arial"/>
          <w:sz w:val="24"/>
          <w:szCs w:val="24"/>
          <w:lang w:eastAsia="es-MX"/>
        </w:rPr>
        <w:t xml:space="preserve">, son las autoridades señaladas como responsables, </w:t>
      </w:r>
      <w:r>
        <w:rPr>
          <w:rFonts w:ascii="Arial" w:eastAsia="Times New Roman" w:hAnsi="Arial" w:cs="Arial"/>
          <w:sz w:val="24"/>
          <w:szCs w:val="24"/>
          <w:lang w:eastAsia="es-MX"/>
        </w:rPr>
        <w:t>y el</w:t>
      </w:r>
      <w:r w:rsidR="00FC080D">
        <w:rPr>
          <w:rFonts w:ascii="Arial" w:eastAsia="Times New Roman" w:hAnsi="Arial" w:cs="Arial"/>
          <w:sz w:val="24"/>
          <w:szCs w:val="24"/>
          <w:lang w:eastAsia="es-MX"/>
        </w:rPr>
        <w:t xml:space="preserve"> Tribunal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Electoral </w:t>
      </w:r>
      <w:r w:rsidR="00FC080D">
        <w:rPr>
          <w:rFonts w:ascii="Arial" w:eastAsia="Times New Roman" w:hAnsi="Arial" w:cs="Arial"/>
          <w:sz w:val="24"/>
          <w:szCs w:val="24"/>
          <w:lang w:eastAsia="es-MX"/>
        </w:rPr>
        <w:t xml:space="preserve">el competente para </w:t>
      </w:r>
      <w:r w:rsidR="004C031B">
        <w:rPr>
          <w:rFonts w:ascii="Arial" w:eastAsia="Times New Roman" w:hAnsi="Arial" w:cs="Arial"/>
          <w:sz w:val="24"/>
          <w:szCs w:val="24"/>
          <w:lang w:eastAsia="es-MX"/>
        </w:rPr>
        <w:t>determinar la procedencia o no de la acumulación</w:t>
      </w:r>
      <w:r w:rsidR="00FC080D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06A074E4" w14:textId="566C4040" w:rsidR="00ED7273" w:rsidRDefault="004C031B" w:rsidP="004C031B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lastRenderedPageBreak/>
        <w:t xml:space="preserve">De ahí que, </w:t>
      </w:r>
      <w:r w:rsidR="00ED7273">
        <w:rPr>
          <w:rFonts w:ascii="Arial" w:eastAsia="Times New Roman" w:hAnsi="Arial" w:cs="Arial"/>
          <w:sz w:val="24"/>
          <w:szCs w:val="24"/>
          <w:lang w:eastAsia="es-MX"/>
        </w:rPr>
        <w:t xml:space="preserve">no ha lugar la acumulación realizada por el </w:t>
      </w:r>
      <w:proofErr w:type="gramStart"/>
      <w:r w:rsidR="00ED7273">
        <w:rPr>
          <w:rFonts w:ascii="Arial" w:eastAsia="Times New Roman" w:hAnsi="Arial" w:cs="Arial"/>
          <w:sz w:val="24"/>
          <w:szCs w:val="24"/>
          <w:lang w:eastAsia="es-MX"/>
        </w:rPr>
        <w:t>Consejero Presidente</w:t>
      </w:r>
      <w:proofErr w:type="gramEnd"/>
      <w:r w:rsidR="00ED7273">
        <w:rPr>
          <w:rFonts w:ascii="Arial" w:eastAsia="Times New Roman" w:hAnsi="Arial" w:cs="Arial"/>
          <w:sz w:val="24"/>
          <w:szCs w:val="24"/>
          <w:lang w:eastAsia="es-MX"/>
        </w:rPr>
        <w:t xml:space="preserve"> del Consejo General del Instituto Estatal Electoral de Aguascalientes, por lo que </w:t>
      </w:r>
      <w:r w:rsidR="00ED7273" w:rsidRPr="00034643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le conmina</w:t>
      </w:r>
      <w:r w:rsidR="00ED7273">
        <w:rPr>
          <w:rFonts w:ascii="Arial" w:eastAsia="Times New Roman" w:hAnsi="Arial" w:cs="Arial"/>
          <w:sz w:val="24"/>
          <w:szCs w:val="24"/>
          <w:lang w:eastAsia="es-MX"/>
        </w:rPr>
        <w:t xml:space="preserve"> a que, en lo subsecuente, se abstenga de invadir competencias de este órgano jurisdiccional electoral.</w:t>
      </w:r>
    </w:p>
    <w:p w14:paraId="4912CA81" w14:textId="6785153F" w:rsidR="00ED7273" w:rsidRPr="00215868" w:rsidRDefault="004C031B" w:rsidP="00112F02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En este sentido,</w:t>
      </w:r>
      <w:r w:rsidR="00ED7273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se </w:t>
      </w:r>
      <w:r w:rsidR="00ED7273">
        <w:rPr>
          <w:rFonts w:ascii="Arial" w:eastAsia="Times New Roman" w:hAnsi="Arial" w:cs="Arial"/>
          <w:sz w:val="24"/>
          <w:szCs w:val="24"/>
          <w:lang w:eastAsia="es-MX"/>
        </w:rPr>
        <w:t xml:space="preserve">ordena a la Secretaría General de Acuerdos, realice el turnado en lo individual de los diecinueve recursos de apelación, de los cuales se tuvo aviso el día </w:t>
      </w:r>
      <w:r w:rsidR="004557E2">
        <w:rPr>
          <w:rFonts w:ascii="Arial" w:eastAsia="Times New Roman" w:hAnsi="Arial" w:cs="Arial"/>
          <w:sz w:val="24"/>
          <w:szCs w:val="24"/>
          <w:lang w:eastAsia="es-MX"/>
        </w:rPr>
        <w:t xml:space="preserve">cuatro y cinco de julio del presente año, previa certificación de la documentación señalada en el numeral 312, del Código. </w:t>
      </w:r>
    </w:p>
    <w:p w14:paraId="53AB130C" w14:textId="3C2EE58B" w:rsidR="00112F02" w:rsidRPr="008E6C27" w:rsidRDefault="00215868" w:rsidP="00112F02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112F0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Integración de expediente. </w:t>
      </w:r>
      <w:r w:rsidR="00112F02" w:rsidRPr="008E6C27">
        <w:rPr>
          <w:rFonts w:ascii="Arial" w:eastAsia="Times New Roman" w:hAnsi="Arial" w:cs="Arial"/>
          <w:sz w:val="24"/>
          <w:szCs w:val="24"/>
          <w:lang w:eastAsia="es-MX"/>
        </w:rPr>
        <w:t xml:space="preserve">Con el escrito de cuenta y sus anexos, intégrese el expediente respectivo y regístrese en el Libro de Gobierno con la clave </w:t>
      </w:r>
      <w:r w:rsidR="00112F0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TEEA-RAP-0</w:t>
      </w:r>
      <w:r w:rsidR="00925D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0</w:t>
      </w:r>
      <w:r w:rsidR="008C01C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4</w:t>
      </w:r>
      <w:r w:rsidR="00112F0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925D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112F0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65069C2F" w14:textId="7D7DCA75" w:rsidR="00112F02" w:rsidRPr="00215868" w:rsidRDefault="00215868" w:rsidP="0021586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TERCERO. </w:t>
      </w:r>
      <w:r w:rsidR="00112F0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Turno. </w:t>
      </w:r>
      <w:r w:rsidR="00112F02" w:rsidRPr="00796B37">
        <w:rPr>
          <w:rFonts w:ascii="Arial" w:eastAsia="Times New Roman" w:hAnsi="Arial" w:cs="Arial"/>
          <w:sz w:val="24"/>
          <w:szCs w:val="24"/>
          <w:lang w:eastAsia="es-MX"/>
        </w:rPr>
        <w:t>En virtud de lo anterior</w:t>
      </w:r>
      <w:r w:rsidR="00112F02" w:rsidRPr="00796B3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 para los efectos previstos en los artículos 357, fracción VIII, inciso e), del Código Electoral y 102 del Reglamento Interior del Tribunal Electoral del Estado de Aguascalientes, túrnense los autos a la Ponencia</w:t>
      </w:r>
      <w:r w:rsidR="00112F02" w:rsidRPr="00796B37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112F02"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8C01CF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112F0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112F02"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8C01C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925D3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8C01C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Héctor Salvador</w:t>
      </w:r>
      <w:r w:rsidR="002D02C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Hernández</w:t>
      </w:r>
      <w:r w:rsidR="008C01C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Gallegos.</w:t>
      </w:r>
    </w:p>
    <w:p w14:paraId="7D47CB0C" w14:textId="34E3D1E0" w:rsidR="00112F02" w:rsidRPr="008E6C27" w:rsidRDefault="00112F02" w:rsidP="0003464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73055C22" w14:textId="156DEB2D" w:rsidR="00112F02" w:rsidRPr="00034643" w:rsidRDefault="00112F02" w:rsidP="00034643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03E56145" w14:textId="3F84ADC5" w:rsidR="00112F02" w:rsidRPr="008E6C27" w:rsidRDefault="008A5AC8" w:rsidP="008A5AC8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2" w:name="_Hlk55568506"/>
      <w:r>
        <w:rPr>
          <w:noProof/>
        </w:rPr>
        <w:drawing>
          <wp:anchor distT="0" distB="0" distL="114300" distR="114300" simplePos="0" relativeHeight="251661312" behindDoc="0" locked="0" layoutInCell="1" allowOverlap="1" wp14:anchorId="52AC2980" wp14:editId="04374F9F">
            <wp:simplePos x="0" y="0"/>
            <wp:positionH relativeFrom="margin">
              <wp:posOffset>1666875</wp:posOffset>
            </wp:positionH>
            <wp:positionV relativeFrom="paragraph">
              <wp:posOffset>422275</wp:posOffset>
            </wp:positionV>
            <wp:extent cx="2247900" cy="1281303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281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F0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="00112F0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="00112F0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Claudia Eloisa Díaz de León González, ante el Secretario General de Acuerdos, que autoriza y da fe.</w:t>
      </w:r>
    </w:p>
    <w:p w14:paraId="11D157F4" w14:textId="61B3299D" w:rsidR="00112F02" w:rsidRPr="008E6C27" w:rsidRDefault="00112F02" w:rsidP="00112F02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2E8EE11" w14:textId="1F955904" w:rsidR="00112F02" w:rsidRPr="00034643" w:rsidRDefault="00112F02" w:rsidP="00034643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7D01D5B8" w14:textId="66FD81E7" w:rsidR="00112F02" w:rsidRPr="008E6C27" w:rsidRDefault="008A5AC8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676A1C7" wp14:editId="266D77D3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1592544" cy="16002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44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F0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2D611664" w14:textId="3202723F" w:rsidR="00112F02" w:rsidRPr="008E6C27" w:rsidRDefault="00112F02" w:rsidP="00034643">
      <w:pPr>
        <w:spacing w:after="0" w:line="360" w:lineRule="auto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00A4B2C1" w14:textId="72D4C103" w:rsidR="00112F02" w:rsidRPr="008E6C27" w:rsidRDefault="00112F02" w:rsidP="00112F02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3A44978" w14:textId="33DC04FA" w:rsidR="00112F02" w:rsidRPr="008E6C27" w:rsidRDefault="00112F02" w:rsidP="00034643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10A36873" w14:textId="77777777" w:rsidR="00112F02" w:rsidRPr="008E6C27" w:rsidRDefault="00112F02" w:rsidP="00112F02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Jesús Ociel Baena Saucedo</w:t>
      </w:r>
    </w:p>
    <w:bookmarkEnd w:id="2"/>
    <w:p w14:paraId="67EAADCF" w14:textId="77777777" w:rsidR="00112F02" w:rsidRPr="008E6C27" w:rsidRDefault="00112F02" w:rsidP="00112F02">
      <w:pPr>
        <w:ind w:firstLine="284"/>
        <w:jc w:val="both"/>
        <w:rPr>
          <w:sz w:val="24"/>
          <w:szCs w:val="24"/>
        </w:rPr>
      </w:pPr>
    </w:p>
    <w:p w14:paraId="6D38C7AE" w14:textId="77777777" w:rsidR="00676D1A" w:rsidRPr="008E6C27" w:rsidRDefault="00676D1A" w:rsidP="00034643">
      <w:pPr>
        <w:spacing w:line="360" w:lineRule="auto"/>
        <w:jc w:val="both"/>
        <w:rPr>
          <w:sz w:val="24"/>
          <w:szCs w:val="24"/>
        </w:rPr>
      </w:pPr>
    </w:p>
    <w:sectPr w:rsidR="00676D1A" w:rsidRPr="008E6C27" w:rsidSect="00C252C8">
      <w:headerReference w:type="default" r:id="rId10"/>
      <w:footerReference w:type="default" r:id="rId11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3E7B" w14:textId="77777777" w:rsidR="00F71849" w:rsidRDefault="00414E76">
    <w:pPr>
      <w:pStyle w:val="Piedepgina"/>
      <w:jc w:val="right"/>
    </w:pPr>
  </w:p>
  <w:p w14:paraId="1496D0B3" w14:textId="77777777" w:rsidR="00F71849" w:rsidRDefault="00414E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  <w:footnote w:id="1">
    <w:p w14:paraId="50EF8DCE" w14:textId="23C1A79D" w:rsidR="004557E2" w:rsidRDefault="004557E2">
      <w:pPr>
        <w:pStyle w:val="Textonotapie"/>
      </w:pPr>
      <w:r>
        <w:rPr>
          <w:rStyle w:val="Refdenotaalpie"/>
        </w:rPr>
        <w:footnoteRef/>
      </w:r>
      <w:r>
        <w:t xml:space="preserve"> En lo subsecuente “el Código”.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02252875">
    <w:abstractNumId w:val="4"/>
  </w:num>
  <w:num w:numId="2" w16cid:durableId="928197538">
    <w:abstractNumId w:val="3"/>
  </w:num>
  <w:num w:numId="3" w16cid:durableId="1414857195">
    <w:abstractNumId w:val="5"/>
  </w:num>
  <w:num w:numId="4" w16cid:durableId="1024787864">
    <w:abstractNumId w:val="7"/>
  </w:num>
  <w:num w:numId="5" w16cid:durableId="524517100">
    <w:abstractNumId w:val="2"/>
  </w:num>
  <w:num w:numId="6" w16cid:durableId="771752170">
    <w:abstractNumId w:val="0"/>
  </w:num>
  <w:num w:numId="7" w16cid:durableId="1691949689">
    <w:abstractNumId w:val="1"/>
  </w:num>
  <w:num w:numId="8" w16cid:durableId="1779369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4643"/>
    <w:rsid w:val="0003592A"/>
    <w:rsid w:val="00050489"/>
    <w:rsid w:val="00056293"/>
    <w:rsid w:val="00057A2A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12F02"/>
    <w:rsid w:val="00134CD3"/>
    <w:rsid w:val="00143536"/>
    <w:rsid w:val="00146964"/>
    <w:rsid w:val="00155C10"/>
    <w:rsid w:val="001632AF"/>
    <w:rsid w:val="001B041F"/>
    <w:rsid w:val="001D7DAC"/>
    <w:rsid w:val="001E1607"/>
    <w:rsid w:val="001F424B"/>
    <w:rsid w:val="00215868"/>
    <w:rsid w:val="00231871"/>
    <w:rsid w:val="002417A9"/>
    <w:rsid w:val="00244388"/>
    <w:rsid w:val="00265861"/>
    <w:rsid w:val="0028679B"/>
    <w:rsid w:val="00287805"/>
    <w:rsid w:val="00291C45"/>
    <w:rsid w:val="00294575"/>
    <w:rsid w:val="002946B2"/>
    <w:rsid w:val="002C1E08"/>
    <w:rsid w:val="002D02C1"/>
    <w:rsid w:val="002D0984"/>
    <w:rsid w:val="002D7870"/>
    <w:rsid w:val="002E3A04"/>
    <w:rsid w:val="002E7919"/>
    <w:rsid w:val="002F2652"/>
    <w:rsid w:val="002F2C19"/>
    <w:rsid w:val="002F340F"/>
    <w:rsid w:val="002F5044"/>
    <w:rsid w:val="00301C90"/>
    <w:rsid w:val="003046DC"/>
    <w:rsid w:val="00313909"/>
    <w:rsid w:val="00313973"/>
    <w:rsid w:val="00314D6D"/>
    <w:rsid w:val="003176ED"/>
    <w:rsid w:val="00320512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4E76"/>
    <w:rsid w:val="00417F7D"/>
    <w:rsid w:val="0042213B"/>
    <w:rsid w:val="00422355"/>
    <w:rsid w:val="00426C3E"/>
    <w:rsid w:val="004557E2"/>
    <w:rsid w:val="00466D6A"/>
    <w:rsid w:val="00486FBA"/>
    <w:rsid w:val="00493171"/>
    <w:rsid w:val="00493231"/>
    <w:rsid w:val="00497720"/>
    <w:rsid w:val="00497D7B"/>
    <w:rsid w:val="004A291B"/>
    <w:rsid w:val="004A2BED"/>
    <w:rsid w:val="004A5758"/>
    <w:rsid w:val="004A70E3"/>
    <w:rsid w:val="004C031B"/>
    <w:rsid w:val="004D1BF0"/>
    <w:rsid w:val="004D2709"/>
    <w:rsid w:val="004E2E29"/>
    <w:rsid w:val="0054481A"/>
    <w:rsid w:val="00547DDF"/>
    <w:rsid w:val="0056074B"/>
    <w:rsid w:val="005749E4"/>
    <w:rsid w:val="005756D0"/>
    <w:rsid w:val="005775A6"/>
    <w:rsid w:val="005804B4"/>
    <w:rsid w:val="0058764C"/>
    <w:rsid w:val="005901EF"/>
    <w:rsid w:val="005935BA"/>
    <w:rsid w:val="00594AC9"/>
    <w:rsid w:val="005C5DC5"/>
    <w:rsid w:val="005D07F8"/>
    <w:rsid w:val="005E03E7"/>
    <w:rsid w:val="005E183C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A61D0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40948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A5AC8"/>
    <w:rsid w:val="008B0161"/>
    <w:rsid w:val="008C01CF"/>
    <w:rsid w:val="008C093A"/>
    <w:rsid w:val="008C4385"/>
    <w:rsid w:val="008C7554"/>
    <w:rsid w:val="008C7575"/>
    <w:rsid w:val="008D27A2"/>
    <w:rsid w:val="008E2598"/>
    <w:rsid w:val="008E6C27"/>
    <w:rsid w:val="008F38E6"/>
    <w:rsid w:val="0090116C"/>
    <w:rsid w:val="00911B33"/>
    <w:rsid w:val="00925D32"/>
    <w:rsid w:val="00960C12"/>
    <w:rsid w:val="0097354E"/>
    <w:rsid w:val="00974172"/>
    <w:rsid w:val="00975D15"/>
    <w:rsid w:val="009774CB"/>
    <w:rsid w:val="00981632"/>
    <w:rsid w:val="0098607A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53BD4"/>
    <w:rsid w:val="00A648FF"/>
    <w:rsid w:val="00A71A1E"/>
    <w:rsid w:val="00A75670"/>
    <w:rsid w:val="00A778A7"/>
    <w:rsid w:val="00A90401"/>
    <w:rsid w:val="00A94AA8"/>
    <w:rsid w:val="00A961BE"/>
    <w:rsid w:val="00AA7971"/>
    <w:rsid w:val="00AC44E9"/>
    <w:rsid w:val="00AD3C82"/>
    <w:rsid w:val="00AD6106"/>
    <w:rsid w:val="00AE6367"/>
    <w:rsid w:val="00AF39EA"/>
    <w:rsid w:val="00AF73B8"/>
    <w:rsid w:val="00B016E3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33F22"/>
    <w:rsid w:val="00D44114"/>
    <w:rsid w:val="00D56EFB"/>
    <w:rsid w:val="00D70434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6666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D3790"/>
    <w:rsid w:val="00ED7273"/>
    <w:rsid w:val="00EF59E8"/>
    <w:rsid w:val="00F33334"/>
    <w:rsid w:val="00F37E67"/>
    <w:rsid w:val="00F63C79"/>
    <w:rsid w:val="00F658EC"/>
    <w:rsid w:val="00F92EEF"/>
    <w:rsid w:val="00FA0149"/>
    <w:rsid w:val="00FA30F3"/>
    <w:rsid w:val="00FA5F85"/>
    <w:rsid w:val="00FB50A7"/>
    <w:rsid w:val="00FC080D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873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7</cp:revision>
  <cp:lastPrinted>2022-07-09T19:44:00Z</cp:lastPrinted>
  <dcterms:created xsi:type="dcterms:W3CDTF">2022-07-09T17:05:00Z</dcterms:created>
  <dcterms:modified xsi:type="dcterms:W3CDTF">2022-07-09T19:49:00Z</dcterms:modified>
</cp:coreProperties>
</file>