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316" w:rsidRPr="00CA5215" w:rsidRDefault="007C5316" w:rsidP="007C5316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lang w:eastAsia="es-ES"/>
        </w:rPr>
      </w:pPr>
      <w:r w:rsidRPr="00CA5215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727FF3" wp14:editId="25A35FDA">
                <wp:simplePos x="0" y="0"/>
                <wp:positionH relativeFrom="margin">
                  <wp:posOffset>2929890</wp:posOffset>
                </wp:positionH>
                <wp:positionV relativeFrom="paragraph">
                  <wp:posOffset>0</wp:posOffset>
                </wp:positionV>
                <wp:extent cx="2673985" cy="1838325"/>
                <wp:effectExtent l="0" t="0" r="0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316" w:rsidRPr="001C277E" w:rsidRDefault="007C5316" w:rsidP="007C531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77E">
                              <w:rPr>
                                <w:rFonts w:ascii="Arial" w:hAnsi="Arial" w:cs="Arial"/>
                                <w:b/>
                              </w:rPr>
                              <w:t>Juicio Electoral</w:t>
                            </w:r>
                          </w:p>
                          <w:p w:rsidR="007C5316" w:rsidRPr="001C277E" w:rsidRDefault="007C5316" w:rsidP="007C53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C277E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1C27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C277E">
                              <w:rPr>
                                <w:rFonts w:ascii="Arial" w:hAnsi="Arial" w:cs="Arial"/>
                              </w:rPr>
                              <w:tab/>
                              <w:t>TEEA-J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1C277E">
                              <w:rPr>
                                <w:rFonts w:ascii="Arial" w:hAnsi="Arial" w:cs="Arial"/>
                              </w:rPr>
                              <w:t>-0</w:t>
                            </w:r>
                            <w:r>
                              <w:rPr>
                                <w:rFonts w:ascii="Arial" w:hAnsi="Arial" w:cs="Arial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1C277E">
                              <w:rPr>
                                <w:rFonts w:ascii="Arial" w:hAnsi="Arial" w:cs="Arial"/>
                              </w:rPr>
                              <w:t>/2019</w:t>
                            </w:r>
                          </w:p>
                          <w:p w:rsidR="007C5316" w:rsidRPr="000D6918" w:rsidRDefault="007C5316" w:rsidP="007C53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D6918">
                              <w:rPr>
                                <w:rFonts w:ascii="Arial" w:hAnsi="Arial" w:cs="Arial"/>
                                <w:b/>
                              </w:rPr>
                              <w:t xml:space="preserve">Promovente: </w:t>
                            </w:r>
                            <w:r w:rsidRPr="000D6918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0D6918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>
                              <w:rPr>
                                <w:rFonts w:ascii="Arial" w:hAnsi="Arial" w:cs="Arial"/>
                              </w:rPr>
                              <w:t>Brandon Amauri Cardona Mejía</w:t>
                            </w:r>
                            <w:r w:rsidRPr="000D6918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7C5316" w:rsidRPr="001C277E" w:rsidRDefault="007C5316" w:rsidP="007C531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D6918">
                              <w:rPr>
                                <w:rFonts w:ascii="Arial" w:hAnsi="Arial" w:cs="Arial"/>
                                <w:b/>
                              </w:rPr>
                              <w:t>Responsable:</w:t>
                            </w:r>
                            <w:r w:rsidRPr="000D6918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0D6918">
                              <w:rPr>
                                <w:rFonts w:ascii="Arial" w:hAnsi="Arial" w:cs="Arial"/>
                              </w:rPr>
                              <w:t>Consejo General del Instituto Estatal Electoral del Estado de Aguascalientes.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27FF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0.7pt;margin-top:0;width:210.55pt;height:14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" stroked="f">
                <v:textbox>
                  <w:txbxContent>
                    <w:p w:rsidR="007C5316" w:rsidRPr="001C277E" w:rsidRDefault="007C5316" w:rsidP="007C5316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1C277E">
                        <w:rPr>
                          <w:rFonts w:ascii="Arial" w:hAnsi="Arial" w:cs="Arial"/>
                          <w:b/>
                        </w:rPr>
                        <w:t>Juicio Electoral</w:t>
                      </w:r>
                    </w:p>
                    <w:p w:rsidR="007C5316" w:rsidRPr="001C277E" w:rsidRDefault="007C5316" w:rsidP="007C53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1C277E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1C27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1C277E">
                        <w:rPr>
                          <w:rFonts w:ascii="Arial" w:hAnsi="Arial" w:cs="Arial"/>
                        </w:rPr>
                        <w:tab/>
                        <w:t>TEEA-J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  <w:r w:rsidRPr="001C277E">
                        <w:rPr>
                          <w:rFonts w:ascii="Arial" w:hAnsi="Arial" w:cs="Arial"/>
                        </w:rPr>
                        <w:t>-0</w:t>
                      </w:r>
                      <w:r>
                        <w:rPr>
                          <w:rFonts w:ascii="Arial" w:hAnsi="Arial" w:cs="Arial"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>4</w:t>
                      </w:r>
                      <w:r w:rsidRPr="001C277E">
                        <w:rPr>
                          <w:rFonts w:ascii="Arial" w:hAnsi="Arial" w:cs="Arial"/>
                        </w:rPr>
                        <w:t>/2019</w:t>
                      </w:r>
                    </w:p>
                    <w:p w:rsidR="007C5316" w:rsidRPr="000D6918" w:rsidRDefault="007C5316" w:rsidP="007C53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0D6918">
                        <w:rPr>
                          <w:rFonts w:ascii="Arial" w:hAnsi="Arial" w:cs="Arial"/>
                          <w:b/>
                        </w:rPr>
                        <w:t xml:space="preserve">Promovente: </w:t>
                      </w:r>
                      <w:r w:rsidRPr="000D6918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0D6918">
                        <w:rPr>
                          <w:rFonts w:ascii="Arial" w:hAnsi="Arial" w:cs="Arial"/>
                        </w:rPr>
                        <w:t xml:space="preserve">C. </w:t>
                      </w:r>
                      <w:r>
                        <w:rPr>
                          <w:rFonts w:ascii="Arial" w:hAnsi="Arial" w:cs="Arial"/>
                        </w:rPr>
                        <w:t>Brandon Amauri Cardona Mejía</w:t>
                      </w:r>
                      <w:r w:rsidRPr="000D6918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7C5316" w:rsidRPr="001C277E" w:rsidRDefault="007C5316" w:rsidP="007C5316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0D6918">
                        <w:rPr>
                          <w:rFonts w:ascii="Arial" w:hAnsi="Arial" w:cs="Arial"/>
                          <w:b/>
                        </w:rPr>
                        <w:t>Responsable:</w:t>
                      </w:r>
                      <w:r w:rsidRPr="000D6918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0D6918">
                        <w:rPr>
                          <w:rFonts w:ascii="Arial" w:hAnsi="Arial" w:cs="Arial"/>
                        </w:rPr>
                        <w:t>Consejo General del Instituto Estatal Electoral del Estado de Aguascalientes.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C5316" w:rsidRPr="00CA5215" w:rsidRDefault="007C5316" w:rsidP="007C5316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kern w:val="16"/>
          <w:lang w:eastAsia="es-ES"/>
        </w:rPr>
      </w:pPr>
    </w:p>
    <w:p w:rsidR="007C5316" w:rsidRPr="00CA5215" w:rsidRDefault="007C5316" w:rsidP="007C5316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kern w:val="16"/>
          <w:lang w:eastAsia="es-ES"/>
        </w:rPr>
      </w:pPr>
    </w:p>
    <w:p w:rsidR="007C5316" w:rsidRPr="00CA5215" w:rsidRDefault="007C5316" w:rsidP="007C5316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kern w:val="16"/>
          <w:lang w:eastAsia="es-ES"/>
        </w:rPr>
      </w:pPr>
    </w:p>
    <w:p w:rsidR="007C5316" w:rsidRPr="00CA5215" w:rsidRDefault="007C5316" w:rsidP="007C5316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kern w:val="16"/>
          <w:lang w:eastAsia="es-ES"/>
        </w:rPr>
      </w:pPr>
    </w:p>
    <w:p w:rsidR="007C5316" w:rsidRPr="00CA5215" w:rsidRDefault="007C5316" w:rsidP="007C5316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kern w:val="16"/>
          <w:lang w:eastAsia="es-ES"/>
        </w:rPr>
      </w:pPr>
    </w:p>
    <w:p w:rsidR="007C5316" w:rsidRDefault="007C5316" w:rsidP="007C5316">
      <w:pPr>
        <w:spacing w:line="360" w:lineRule="auto"/>
        <w:jc w:val="both"/>
        <w:rPr>
          <w:rFonts w:ascii="Arial" w:eastAsia="Times New Roman" w:hAnsi="Arial" w:cs="Arial"/>
          <w:bCs/>
          <w:kern w:val="16"/>
          <w:lang w:eastAsia="es-ES"/>
        </w:rPr>
      </w:pPr>
    </w:p>
    <w:p w:rsidR="007C5316" w:rsidRPr="00CA5215" w:rsidRDefault="007C5316" w:rsidP="007C5316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</w:p>
    <w:p w:rsidR="007C5316" w:rsidRPr="00CA5215" w:rsidRDefault="007C5316" w:rsidP="007C5316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CA5215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al Magistrado Héctor Salvador Hernández Gallegos, presidente de este órgano jurisdiccional electoral, con </w:t>
      </w:r>
      <w:bookmarkStart w:id="0" w:name="_Hlk503018402"/>
      <w:r w:rsidRPr="00CA5215">
        <w:rPr>
          <w:rFonts w:ascii="Arial" w:eastAsia="Times New Roman" w:hAnsi="Arial" w:cs="Arial"/>
          <w:bCs/>
          <w:lang w:eastAsia="es-MX"/>
        </w:rPr>
        <w:t>l</w:t>
      </w:r>
      <w:r>
        <w:rPr>
          <w:rFonts w:ascii="Arial" w:eastAsia="Times New Roman" w:hAnsi="Arial" w:cs="Arial"/>
          <w:bCs/>
          <w:lang w:eastAsia="es-MX"/>
        </w:rPr>
        <w:t>os</w:t>
      </w:r>
      <w:r w:rsidRPr="00CA5215">
        <w:rPr>
          <w:rFonts w:ascii="Arial" w:eastAsia="Times New Roman" w:hAnsi="Arial" w:cs="Arial"/>
          <w:bCs/>
          <w:lang w:eastAsia="es-MX"/>
        </w:rPr>
        <w:t xml:space="preserve"> oficio</w:t>
      </w:r>
      <w:r>
        <w:rPr>
          <w:rFonts w:ascii="Arial" w:eastAsia="Times New Roman" w:hAnsi="Arial" w:cs="Arial"/>
          <w:bCs/>
          <w:lang w:eastAsia="es-MX"/>
        </w:rPr>
        <w:t>s</w:t>
      </w:r>
      <w:r w:rsidRPr="00CA5215">
        <w:rPr>
          <w:rFonts w:ascii="Arial" w:eastAsia="Times New Roman" w:hAnsi="Arial" w:cs="Arial"/>
          <w:bCs/>
          <w:lang w:eastAsia="es-MX"/>
        </w:rPr>
        <w:t xml:space="preserve"> TEEA-OP-0</w:t>
      </w:r>
      <w:r>
        <w:rPr>
          <w:rFonts w:ascii="Arial" w:eastAsia="Times New Roman" w:hAnsi="Arial" w:cs="Arial"/>
          <w:bCs/>
          <w:lang w:eastAsia="es-MX"/>
        </w:rPr>
        <w:t>718</w:t>
      </w:r>
      <w:r w:rsidRPr="00CA5215">
        <w:rPr>
          <w:rFonts w:ascii="Arial" w:eastAsia="Times New Roman" w:hAnsi="Arial" w:cs="Arial"/>
          <w:bCs/>
          <w:lang w:eastAsia="es-MX"/>
        </w:rPr>
        <w:t>/2019</w:t>
      </w:r>
      <w:r>
        <w:rPr>
          <w:rFonts w:ascii="Arial" w:eastAsia="Times New Roman" w:hAnsi="Arial" w:cs="Arial"/>
          <w:bCs/>
          <w:lang w:eastAsia="es-MX"/>
        </w:rPr>
        <w:t xml:space="preserve"> y </w:t>
      </w:r>
      <w:r w:rsidRPr="00CA5215">
        <w:rPr>
          <w:rFonts w:ascii="Arial" w:eastAsia="Times New Roman" w:hAnsi="Arial" w:cs="Arial"/>
          <w:bCs/>
          <w:lang w:eastAsia="es-MX"/>
        </w:rPr>
        <w:t>TEEA-OP-0</w:t>
      </w:r>
      <w:r>
        <w:rPr>
          <w:rFonts w:ascii="Arial" w:eastAsia="Times New Roman" w:hAnsi="Arial" w:cs="Arial"/>
          <w:bCs/>
          <w:lang w:eastAsia="es-MX"/>
        </w:rPr>
        <w:t>7</w:t>
      </w:r>
      <w:r>
        <w:rPr>
          <w:rFonts w:ascii="Arial" w:eastAsia="Times New Roman" w:hAnsi="Arial" w:cs="Arial"/>
          <w:bCs/>
          <w:lang w:eastAsia="es-MX"/>
        </w:rPr>
        <w:t>23</w:t>
      </w:r>
      <w:r w:rsidRPr="00CA5215">
        <w:rPr>
          <w:rFonts w:ascii="Arial" w:eastAsia="Times New Roman" w:hAnsi="Arial" w:cs="Arial"/>
          <w:bCs/>
          <w:lang w:eastAsia="es-MX"/>
        </w:rPr>
        <w:t xml:space="preserve">/2019 de fecha </w:t>
      </w:r>
      <w:r>
        <w:rPr>
          <w:rFonts w:ascii="Arial" w:eastAsia="Times New Roman" w:hAnsi="Arial" w:cs="Arial"/>
          <w:bCs/>
          <w:lang w:eastAsia="es-MX"/>
        </w:rPr>
        <w:t>diez y quince de agosto</w:t>
      </w:r>
      <w:r w:rsidRPr="00CA5215">
        <w:rPr>
          <w:rFonts w:ascii="Arial" w:eastAsia="Times New Roman" w:hAnsi="Arial" w:cs="Arial"/>
          <w:bCs/>
          <w:lang w:eastAsia="es-MX"/>
        </w:rPr>
        <w:t xml:space="preserve"> de dos mil diecinueve</w:t>
      </w:r>
      <w:r>
        <w:rPr>
          <w:rFonts w:ascii="Arial" w:eastAsia="Times New Roman" w:hAnsi="Arial" w:cs="Arial"/>
          <w:bCs/>
          <w:lang w:eastAsia="es-MX"/>
        </w:rPr>
        <w:t>, respectivamente</w:t>
      </w:r>
      <w:r w:rsidRPr="00CA5215">
        <w:rPr>
          <w:rFonts w:ascii="Arial" w:eastAsia="Times New Roman" w:hAnsi="Arial" w:cs="Arial"/>
          <w:bCs/>
          <w:lang w:eastAsia="es-MX"/>
        </w:rPr>
        <w:t>, remitido</w:t>
      </w:r>
      <w:r>
        <w:rPr>
          <w:rFonts w:ascii="Arial" w:eastAsia="Times New Roman" w:hAnsi="Arial" w:cs="Arial"/>
          <w:bCs/>
          <w:lang w:eastAsia="es-MX"/>
        </w:rPr>
        <w:t>s</w:t>
      </w:r>
      <w:r w:rsidRPr="00CA5215">
        <w:rPr>
          <w:rFonts w:ascii="Arial" w:eastAsia="Times New Roman" w:hAnsi="Arial" w:cs="Arial"/>
          <w:bCs/>
          <w:lang w:eastAsia="es-MX"/>
        </w:rPr>
        <w:t xml:space="preserve"> por la Unidad de Oficialía de Partes de este Tribunal, por el que remite</w:t>
      </w:r>
      <w:r>
        <w:rPr>
          <w:rFonts w:ascii="Arial" w:eastAsia="Times New Roman" w:hAnsi="Arial" w:cs="Arial"/>
          <w:bCs/>
          <w:lang w:eastAsia="es-MX"/>
        </w:rPr>
        <w:t>n</w:t>
      </w:r>
      <w:r w:rsidRPr="00CA5215">
        <w:rPr>
          <w:rFonts w:ascii="Arial" w:eastAsia="Times New Roman" w:hAnsi="Arial" w:cs="Arial"/>
          <w:bCs/>
          <w:lang w:eastAsia="es-MX"/>
        </w:rPr>
        <w:t xml:space="preserve"> la documentación que ahí se describe</w:t>
      </w:r>
      <w:bookmarkEnd w:id="0"/>
      <w:r>
        <w:rPr>
          <w:rFonts w:ascii="Arial" w:eastAsia="Times New Roman" w:hAnsi="Arial" w:cs="Arial"/>
          <w:bCs/>
          <w:lang w:eastAsia="es-MX"/>
        </w:rPr>
        <w:t>.</w:t>
      </w:r>
    </w:p>
    <w:p w:rsidR="007C5316" w:rsidRPr="00CA5215" w:rsidRDefault="007C5316" w:rsidP="007C5316">
      <w:pPr>
        <w:spacing w:line="360" w:lineRule="auto"/>
        <w:ind w:firstLine="708"/>
        <w:jc w:val="both"/>
        <w:rPr>
          <w:rFonts w:ascii="Arial" w:hAnsi="Arial" w:cs="Arial"/>
        </w:rPr>
      </w:pPr>
      <w:r w:rsidRPr="00CA5215">
        <w:rPr>
          <w:rFonts w:ascii="Arial" w:hAnsi="Arial" w:cs="Arial"/>
        </w:rPr>
        <w:t xml:space="preserve">Aguascalientes, Aguascalientes, a </w:t>
      </w:r>
      <w:r>
        <w:rPr>
          <w:rFonts w:ascii="Arial" w:hAnsi="Arial" w:cs="Arial"/>
        </w:rPr>
        <w:t>dieciséis</w:t>
      </w:r>
      <w:r w:rsidRPr="00CA521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Pr="00CA5215">
        <w:rPr>
          <w:rFonts w:ascii="Arial" w:hAnsi="Arial" w:cs="Arial"/>
        </w:rPr>
        <w:t xml:space="preserve"> de dos mil diecinueve.</w:t>
      </w:r>
    </w:p>
    <w:p w:rsidR="007C5316" w:rsidRPr="00CA5215" w:rsidRDefault="007C5316" w:rsidP="007C5316">
      <w:pPr>
        <w:tabs>
          <w:tab w:val="left" w:pos="3606"/>
        </w:tabs>
        <w:spacing w:after="0" w:line="360" w:lineRule="auto"/>
        <w:ind w:right="-91"/>
        <w:jc w:val="both"/>
        <w:rPr>
          <w:rFonts w:ascii="Arial" w:hAnsi="Arial" w:cs="Arial"/>
        </w:rPr>
      </w:pPr>
    </w:p>
    <w:p w:rsidR="007C5316" w:rsidRPr="00CA5215" w:rsidRDefault="007C5316" w:rsidP="007C5316">
      <w:pPr>
        <w:tabs>
          <w:tab w:val="left" w:pos="3606"/>
        </w:tabs>
        <w:spacing w:after="0" w:line="360" w:lineRule="auto"/>
        <w:ind w:right="-91"/>
        <w:jc w:val="both"/>
        <w:rPr>
          <w:rFonts w:ascii="Arial" w:hAnsi="Arial" w:cs="Arial"/>
        </w:rPr>
      </w:pPr>
      <w:r w:rsidRPr="00CA5215">
        <w:rPr>
          <w:rFonts w:ascii="Arial" w:hAnsi="Arial" w:cs="Arial"/>
        </w:rPr>
        <w:t xml:space="preserve">Vista la cuenta, con fundamento en los artículos 298, 299, 300, 301, 354, 355 y 356 del Código Electoral del Estado de Aguascalientes; 28, fracción VIII, 102, fracción I, y 113, del Reglamento Interior del Tribunal Electoral del Estado de Aguascalientes y 9, 10 y 11 del ACUERDO GENERAL AG-PT-05-TEEA-08/11/2017 DEL PLENO DEL TRIBUNAL ELECTORAL DEL ESTADO DE AGUASCALIENTES POR EL QUE SE EXPIDEN LOS “LINEAMIENTOS PARA LA TRAMITACIÓN, SUSTANCIACIÓN Y RESOLUCIÓN DEL JUICIO PARA LA PROTECCIÓN DE LOS DERECHOS POLÍTICO-ELECTORALES DEL CIUDADANO, EL JUICIO ELECTORAL, Y ASUNTO GENERAL, COMPETENCIA DEL TRIBUNAL ELECTORAL DEL ESTADO DE AGUASCALIENTES” </w:t>
      </w:r>
      <w:r w:rsidRPr="00CA5215">
        <w:rPr>
          <w:rFonts w:ascii="Arial" w:hAnsi="Arial" w:cs="Arial"/>
          <w:b/>
        </w:rPr>
        <w:t>SE ACUERDA:</w:t>
      </w:r>
    </w:p>
    <w:p w:rsidR="007C5316" w:rsidRPr="00CA5215" w:rsidRDefault="007C5316" w:rsidP="007C5316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lang w:eastAsia="es-ES"/>
        </w:rPr>
      </w:pPr>
    </w:p>
    <w:p w:rsidR="007C5316" w:rsidRDefault="007C5316" w:rsidP="007C5316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lang w:eastAsia="es-MX"/>
        </w:rPr>
      </w:pPr>
      <w:r w:rsidRPr="00CA5215">
        <w:rPr>
          <w:rFonts w:ascii="Arial" w:eastAsia="Times New Roman" w:hAnsi="Arial" w:cs="Arial"/>
          <w:b/>
          <w:bCs/>
          <w:lang w:eastAsia="es-MX"/>
        </w:rPr>
        <w:t xml:space="preserve">PRIMERO. </w:t>
      </w:r>
      <w:r w:rsidRPr="00CA5215">
        <w:rPr>
          <w:rFonts w:ascii="Arial" w:eastAsia="Times New Roman" w:hAnsi="Arial" w:cs="Arial"/>
          <w:bCs/>
          <w:lang w:eastAsia="es-MX"/>
        </w:rPr>
        <w:t>Para los efectos previstos en los artículos; 357, fracción VIII, inciso e), del Código Electoral; 102, 103,</w:t>
      </w:r>
      <w:r>
        <w:rPr>
          <w:rFonts w:ascii="Arial" w:eastAsia="Times New Roman" w:hAnsi="Arial" w:cs="Arial"/>
          <w:bCs/>
          <w:lang w:eastAsia="es-MX"/>
        </w:rPr>
        <w:t xml:space="preserve"> </w:t>
      </w:r>
      <w:r w:rsidRPr="00CA5215">
        <w:rPr>
          <w:rFonts w:ascii="Arial" w:eastAsia="Times New Roman" w:hAnsi="Arial" w:cs="Arial"/>
          <w:bCs/>
          <w:lang w:eastAsia="es-MX"/>
        </w:rPr>
        <w:t xml:space="preserve">109, del Reglamento Interior del Tribunal Electoral del Estado de Aguascalientes, </w:t>
      </w:r>
      <w:r>
        <w:rPr>
          <w:rFonts w:ascii="Arial" w:eastAsia="Times New Roman" w:hAnsi="Arial" w:cs="Arial"/>
          <w:bCs/>
          <w:lang w:eastAsia="es-MX"/>
        </w:rPr>
        <w:t>c</w:t>
      </w:r>
      <w:r w:rsidRPr="00CA5215">
        <w:rPr>
          <w:rFonts w:ascii="Arial" w:eastAsia="Times New Roman" w:hAnsi="Arial" w:cs="Arial"/>
          <w:bCs/>
          <w:lang w:eastAsia="es-MX"/>
        </w:rPr>
        <w:t xml:space="preserve">on el escrito de cuenta y sus anexos, intégrese el expediente respectivo y regístrese en el Libro de Gobierno con la clave </w:t>
      </w:r>
      <w:r w:rsidRPr="00CA5215">
        <w:rPr>
          <w:rFonts w:ascii="Arial" w:eastAsia="Times New Roman" w:hAnsi="Arial" w:cs="Arial"/>
          <w:b/>
          <w:bCs/>
          <w:lang w:eastAsia="es-MX"/>
        </w:rPr>
        <w:t>TEEA-JE-00</w:t>
      </w:r>
      <w:r>
        <w:rPr>
          <w:rFonts w:ascii="Arial" w:eastAsia="Times New Roman" w:hAnsi="Arial" w:cs="Arial"/>
          <w:b/>
          <w:bCs/>
          <w:lang w:eastAsia="es-MX"/>
        </w:rPr>
        <w:t>4</w:t>
      </w:r>
      <w:r w:rsidRPr="00CA5215">
        <w:rPr>
          <w:rFonts w:ascii="Arial" w:eastAsia="Times New Roman" w:hAnsi="Arial" w:cs="Arial"/>
          <w:b/>
          <w:bCs/>
          <w:lang w:eastAsia="es-MX"/>
        </w:rPr>
        <w:t>/2019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:rsidR="007C5316" w:rsidRPr="007C5316" w:rsidRDefault="007C5316" w:rsidP="007C5316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lang w:eastAsia="es-MX"/>
        </w:rPr>
      </w:pPr>
    </w:p>
    <w:p w:rsidR="007C5316" w:rsidRDefault="007C5316" w:rsidP="007C5316">
      <w:pPr>
        <w:tabs>
          <w:tab w:val="left" w:pos="3606"/>
        </w:tabs>
        <w:spacing w:after="0" w:line="360" w:lineRule="auto"/>
        <w:ind w:right="-9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CA5215">
        <w:rPr>
          <w:rFonts w:ascii="Arial" w:eastAsia="Times New Roman" w:hAnsi="Arial" w:cs="Arial"/>
          <w:b/>
          <w:bCs/>
          <w:lang w:eastAsia="es-MX"/>
        </w:rPr>
        <w:t>SEGUNDO.</w:t>
      </w:r>
      <w:r w:rsidRPr="007C5316">
        <w:rPr>
          <w:rFonts w:ascii="Arial" w:eastAsia="Times New Roman" w:hAnsi="Arial" w:cs="Arial"/>
          <w:bCs/>
          <w:lang w:eastAsia="es-MX"/>
        </w:rPr>
        <w:t xml:space="preserve"> </w:t>
      </w:r>
      <w:r>
        <w:rPr>
          <w:rFonts w:ascii="Arial" w:eastAsia="Times New Roman" w:hAnsi="Arial" w:cs="Arial"/>
          <w:bCs/>
          <w:lang w:eastAsia="es-MX"/>
        </w:rPr>
        <w:t>Con fundamento en el artículo 126</w:t>
      </w:r>
      <w:r w:rsidRPr="002E1ACE">
        <w:rPr>
          <w:rFonts w:ascii="Arial" w:eastAsia="Times New Roman" w:hAnsi="Arial" w:cs="Arial"/>
          <w:bCs/>
          <w:lang w:eastAsia="es-MX"/>
        </w:rPr>
        <w:t xml:space="preserve">, del Reglamento Interior del Tribunal Electoral del Estado de Aguascalientes, ya que del análisis del escrito de demanda, se desprende que el acto impugnado lo es </w:t>
      </w:r>
      <w:r>
        <w:rPr>
          <w:rFonts w:ascii="Arial" w:eastAsia="Times New Roman" w:hAnsi="Arial" w:cs="Arial"/>
          <w:bCs/>
          <w:lang w:eastAsia="es-MX"/>
        </w:rPr>
        <w:t>la declaración de validez de la elección por el principio de mayoría relativa del Ayuntamiento del municipio de Cosío</w:t>
      </w:r>
      <w:r w:rsidRPr="002E1ACE">
        <w:rPr>
          <w:rFonts w:ascii="Arial" w:eastAsia="Times New Roman" w:hAnsi="Arial" w:cs="Arial"/>
          <w:bCs/>
          <w:lang w:eastAsia="es-MX"/>
        </w:rPr>
        <w:t>, misma que guarda conexidad con el Medio de Impugnación identificado como TEEA-JDC-</w:t>
      </w:r>
      <w:r>
        <w:rPr>
          <w:rFonts w:ascii="Arial" w:eastAsia="Times New Roman" w:hAnsi="Arial" w:cs="Arial"/>
          <w:bCs/>
          <w:lang w:eastAsia="es-MX"/>
        </w:rPr>
        <w:t>107</w:t>
      </w:r>
      <w:r w:rsidRPr="002E1ACE">
        <w:rPr>
          <w:rFonts w:ascii="Arial" w:eastAsia="Times New Roman" w:hAnsi="Arial" w:cs="Arial"/>
          <w:bCs/>
          <w:lang w:eastAsia="es-MX"/>
        </w:rPr>
        <w:t>/2019, túrnese los autos a la Ponencia de</w:t>
      </w:r>
      <w:r>
        <w:rPr>
          <w:rFonts w:ascii="Arial" w:eastAsia="Times New Roman" w:hAnsi="Arial" w:cs="Arial"/>
          <w:bCs/>
          <w:lang w:eastAsia="es-MX"/>
        </w:rPr>
        <w:t xml:space="preserve"> </w:t>
      </w:r>
      <w:r w:rsidRPr="002E1ACE">
        <w:rPr>
          <w:rFonts w:ascii="Arial" w:eastAsia="Times New Roman" w:hAnsi="Arial" w:cs="Arial"/>
          <w:bCs/>
          <w:lang w:eastAsia="es-MX"/>
        </w:rPr>
        <w:t>l</w:t>
      </w:r>
      <w:r>
        <w:rPr>
          <w:rFonts w:ascii="Arial" w:eastAsia="Times New Roman" w:hAnsi="Arial" w:cs="Arial"/>
          <w:bCs/>
          <w:lang w:eastAsia="es-MX"/>
        </w:rPr>
        <w:t>a</w:t>
      </w:r>
      <w:r w:rsidRPr="002E1ACE">
        <w:rPr>
          <w:rFonts w:ascii="Arial" w:eastAsia="Times New Roman" w:hAnsi="Arial" w:cs="Arial"/>
          <w:bCs/>
          <w:lang w:eastAsia="es-MX"/>
        </w:rPr>
        <w:t xml:space="preserve"> Magistrad</w:t>
      </w:r>
      <w:r>
        <w:rPr>
          <w:rFonts w:ascii="Arial" w:eastAsia="Times New Roman" w:hAnsi="Arial" w:cs="Arial"/>
          <w:bCs/>
          <w:lang w:eastAsia="es-MX"/>
        </w:rPr>
        <w:t>a</w:t>
      </w:r>
      <w:r w:rsidRPr="002E1ACE">
        <w:rPr>
          <w:rFonts w:ascii="Arial" w:eastAsia="Times New Roman" w:hAnsi="Arial" w:cs="Arial"/>
          <w:bCs/>
          <w:lang w:eastAsia="es-MX"/>
        </w:rPr>
        <w:t xml:space="preserve"> </w:t>
      </w:r>
      <w:r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  <w:r w:rsidRPr="002E1ACE">
        <w:rPr>
          <w:rFonts w:ascii="Arial" w:eastAsia="Times New Roman" w:hAnsi="Arial" w:cs="Arial"/>
          <w:bCs/>
          <w:lang w:eastAsia="es-MX"/>
        </w:rPr>
        <w:t xml:space="preserve"> para la acumulación respectiva.</w:t>
      </w:r>
    </w:p>
    <w:p w:rsidR="007C5316" w:rsidRPr="000B31E1" w:rsidRDefault="007C5316" w:rsidP="007C5316">
      <w:pPr>
        <w:tabs>
          <w:tab w:val="left" w:pos="3606"/>
        </w:tabs>
        <w:spacing w:after="0" w:line="360" w:lineRule="auto"/>
        <w:ind w:right="-9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7C5316" w:rsidRPr="00CA5215" w:rsidRDefault="007C5316" w:rsidP="007C5316">
      <w:pPr>
        <w:spacing w:line="360" w:lineRule="auto"/>
        <w:ind w:firstLine="284"/>
        <w:jc w:val="both"/>
        <w:rPr>
          <w:rFonts w:ascii="Arial" w:eastAsia="Times New Roman" w:hAnsi="Arial" w:cs="Arial"/>
          <w:bCs/>
          <w:lang w:eastAsia="es-MX"/>
        </w:rPr>
      </w:pPr>
      <w:r w:rsidRPr="00CA5215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Tribunal.</w:t>
      </w:r>
    </w:p>
    <w:p w:rsidR="007C5316" w:rsidRPr="00CA5215" w:rsidRDefault="007C5316" w:rsidP="007C5316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lang w:eastAsia="es-MX"/>
        </w:rPr>
      </w:pPr>
      <w:r w:rsidRPr="00CA5215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7C5316" w:rsidRPr="00CA5215" w:rsidRDefault="007C5316" w:rsidP="007C5316">
      <w:pPr>
        <w:spacing w:after="0" w:line="360" w:lineRule="auto"/>
        <w:jc w:val="both"/>
        <w:rPr>
          <w:rFonts w:ascii="Arial" w:eastAsia="Times New Roman" w:hAnsi="Arial" w:cs="Arial"/>
          <w:bCs/>
          <w:lang w:eastAsia="es-MX"/>
        </w:rPr>
      </w:pPr>
    </w:p>
    <w:p w:rsidR="007C5316" w:rsidRPr="00CA5215" w:rsidRDefault="007C5316" w:rsidP="007C5316">
      <w:pPr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7C5316" w:rsidRPr="00CA5215" w:rsidRDefault="007C5316" w:rsidP="007C5316">
      <w:pPr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kern w:val="16"/>
          <w:lang w:eastAsia="es-ES"/>
        </w:rPr>
      </w:pPr>
      <w:r w:rsidRPr="00CA5215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Pr="00CA5215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7C5316" w:rsidRPr="00CA5215" w:rsidRDefault="007C5316" w:rsidP="007C531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16"/>
          <w:lang w:eastAsia="es-ES"/>
        </w:rPr>
      </w:pPr>
      <w:r w:rsidRPr="00CA5215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</w:p>
    <w:p w:rsidR="007C5316" w:rsidRPr="00CA5215" w:rsidRDefault="007C5316" w:rsidP="007C5316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7C5316" w:rsidRPr="00CA5215" w:rsidRDefault="007C5316" w:rsidP="007C5316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7C5316" w:rsidRPr="00CA5215" w:rsidRDefault="007C5316" w:rsidP="007C5316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CA5215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7C5316" w:rsidRPr="00CA5215" w:rsidRDefault="007C5316" w:rsidP="007C5316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CA5215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:rsidR="00676D1A" w:rsidRPr="00276CBE" w:rsidRDefault="00676D1A" w:rsidP="00A30592">
      <w:pPr>
        <w:spacing w:after="0" w:line="360" w:lineRule="auto"/>
        <w:ind w:left="284"/>
        <w:jc w:val="right"/>
        <w:rPr>
          <w:sz w:val="24"/>
          <w:szCs w:val="24"/>
        </w:rPr>
      </w:pPr>
      <w:bookmarkStart w:id="1" w:name="_GoBack"/>
      <w:bookmarkEnd w:id="1"/>
    </w:p>
    <w:sectPr w:rsidR="00676D1A" w:rsidRPr="00276CBE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C90" w:rsidRDefault="00301C90">
      <w:pPr>
        <w:spacing w:after="0" w:line="240" w:lineRule="auto"/>
      </w:pPr>
      <w:r>
        <w:separator/>
      </w:r>
    </w:p>
  </w:endnote>
  <w:endnote w:type="continuationSeparator" w:id="0">
    <w:p w:rsidR="00301C90" w:rsidRDefault="0030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BB6731">
    <w:pPr>
      <w:pStyle w:val="Piedepgina"/>
      <w:jc w:val="right"/>
    </w:pPr>
  </w:p>
  <w:p w:rsidR="00F71849" w:rsidRDefault="00BB67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C90" w:rsidRDefault="00301C90">
      <w:pPr>
        <w:spacing w:after="0" w:line="240" w:lineRule="auto"/>
      </w:pPr>
      <w:r>
        <w:separator/>
      </w:r>
    </w:p>
  </w:footnote>
  <w:footnote w:type="continuationSeparator" w:id="0">
    <w:p w:rsidR="00301C90" w:rsidRDefault="0030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B4F32C7" wp14:editId="285BED96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58764C" w:rsidRPr="0058764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58764C" w:rsidRPr="0058764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426BC8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453D"/>
    <w:multiLevelType w:val="hybridMultilevel"/>
    <w:tmpl w:val="ECD8DFE2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E58A2"/>
    <w:multiLevelType w:val="hybridMultilevel"/>
    <w:tmpl w:val="109A543E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3592A"/>
    <w:rsid w:val="00065810"/>
    <w:rsid w:val="000817D9"/>
    <w:rsid w:val="00090F2E"/>
    <w:rsid w:val="00091705"/>
    <w:rsid w:val="000A64C2"/>
    <w:rsid w:val="000E2D19"/>
    <w:rsid w:val="0013692C"/>
    <w:rsid w:val="00155C10"/>
    <w:rsid w:val="001B63F6"/>
    <w:rsid w:val="00231871"/>
    <w:rsid w:val="00276CBE"/>
    <w:rsid w:val="0028679B"/>
    <w:rsid w:val="002D7870"/>
    <w:rsid w:val="002F2C19"/>
    <w:rsid w:val="002F340F"/>
    <w:rsid w:val="00301C90"/>
    <w:rsid w:val="00325C6E"/>
    <w:rsid w:val="00335D3F"/>
    <w:rsid w:val="0037153B"/>
    <w:rsid w:val="0037568D"/>
    <w:rsid w:val="0038520B"/>
    <w:rsid w:val="00397ED5"/>
    <w:rsid w:val="003B0497"/>
    <w:rsid w:val="00413229"/>
    <w:rsid w:val="00426BC8"/>
    <w:rsid w:val="00426C3E"/>
    <w:rsid w:val="00466D6A"/>
    <w:rsid w:val="00493231"/>
    <w:rsid w:val="00497720"/>
    <w:rsid w:val="004A291B"/>
    <w:rsid w:val="004D1BF0"/>
    <w:rsid w:val="004D2709"/>
    <w:rsid w:val="00515B1D"/>
    <w:rsid w:val="005713B1"/>
    <w:rsid w:val="005756D0"/>
    <w:rsid w:val="0058764C"/>
    <w:rsid w:val="005901EF"/>
    <w:rsid w:val="00592A47"/>
    <w:rsid w:val="00594AC9"/>
    <w:rsid w:val="005C5DC5"/>
    <w:rsid w:val="005D2AAB"/>
    <w:rsid w:val="005E03E7"/>
    <w:rsid w:val="00602AE3"/>
    <w:rsid w:val="00603086"/>
    <w:rsid w:val="006156E0"/>
    <w:rsid w:val="00644309"/>
    <w:rsid w:val="00652670"/>
    <w:rsid w:val="006622AC"/>
    <w:rsid w:val="00676D1A"/>
    <w:rsid w:val="006B152C"/>
    <w:rsid w:val="006C6472"/>
    <w:rsid w:val="006C7181"/>
    <w:rsid w:val="006D5128"/>
    <w:rsid w:val="006F245E"/>
    <w:rsid w:val="00702F75"/>
    <w:rsid w:val="00716C01"/>
    <w:rsid w:val="00722519"/>
    <w:rsid w:val="007367AC"/>
    <w:rsid w:val="007729BD"/>
    <w:rsid w:val="00782B8F"/>
    <w:rsid w:val="007C5316"/>
    <w:rsid w:val="007E71DD"/>
    <w:rsid w:val="00840142"/>
    <w:rsid w:val="00845E4F"/>
    <w:rsid w:val="00854D24"/>
    <w:rsid w:val="008C4385"/>
    <w:rsid w:val="008C7554"/>
    <w:rsid w:val="009003D6"/>
    <w:rsid w:val="00911B33"/>
    <w:rsid w:val="00974172"/>
    <w:rsid w:val="009A1C81"/>
    <w:rsid w:val="009A3A62"/>
    <w:rsid w:val="009D2FD2"/>
    <w:rsid w:val="009F6F17"/>
    <w:rsid w:val="00A148A3"/>
    <w:rsid w:val="00A30592"/>
    <w:rsid w:val="00A872AA"/>
    <w:rsid w:val="00AA7971"/>
    <w:rsid w:val="00AE6367"/>
    <w:rsid w:val="00AF73B8"/>
    <w:rsid w:val="00B17D6F"/>
    <w:rsid w:val="00B23C9A"/>
    <w:rsid w:val="00B3086A"/>
    <w:rsid w:val="00B36853"/>
    <w:rsid w:val="00B5147C"/>
    <w:rsid w:val="00B71781"/>
    <w:rsid w:val="00B82C4B"/>
    <w:rsid w:val="00BA791C"/>
    <w:rsid w:val="00BB6731"/>
    <w:rsid w:val="00BC2D7A"/>
    <w:rsid w:val="00BC678C"/>
    <w:rsid w:val="00BD4738"/>
    <w:rsid w:val="00BE65DA"/>
    <w:rsid w:val="00C44BE2"/>
    <w:rsid w:val="00C5594E"/>
    <w:rsid w:val="00C97FCA"/>
    <w:rsid w:val="00CD3479"/>
    <w:rsid w:val="00D13046"/>
    <w:rsid w:val="00D32AAC"/>
    <w:rsid w:val="00D56EFB"/>
    <w:rsid w:val="00D80F82"/>
    <w:rsid w:val="00D916B7"/>
    <w:rsid w:val="00DA2980"/>
    <w:rsid w:val="00DD3990"/>
    <w:rsid w:val="00E44495"/>
    <w:rsid w:val="00E82BB5"/>
    <w:rsid w:val="00E87C65"/>
    <w:rsid w:val="00E9474E"/>
    <w:rsid w:val="00E96762"/>
    <w:rsid w:val="00EA044B"/>
    <w:rsid w:val="00EB6FFF"/>
    <w:rsid w:val="00F37E67"/>
    <w:rsid w:val="00F63C79"/>
    <w:rsid w:val="00F658EC"/>
    <w:rsid w:val="00FA30F3"/>
    <w:rsid w:val="00FA5F85"/>
    <w:rsid w:val="00FC2B30"/>
    <w:rsid w:val="00FD061C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98906D9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D1061-19A1-4562-A98D-29BE11D6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6</cp:revision>
  <cp:lastPrinted>2019-08-15T17:52:00Z</cp:lastPrinted>
  <dcterms:created xsi:type="dcterms:W3CDTF">2019-06-11T22:14:00Z</dcterms:created>
  <dcterms:modified xsi:type="dcterms:W3CDTF">2019-08-15T17:54:00Z</dcterms:modified>
</cp:coreProperties>
</file>