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571A" w14:textId="5B5DBE39" w:rsidR="00673653" w:rsidRDefault="00000000">
      <w:pPr>
        <w:spacing w:line="360" w:lineRule="auto"/>
        <w:jc w:val="both"/>
        <w:rPr>
          <w:rFonts w:ascii="Arial" w:eastAsia="Arial" w:hAnsi="Arial" w:cs="Arial"/>
          <w:b/>
          <w:sz w:val="24"/>
          <w:szCs w:val="24"/>
        </w:rPr>
      </w:pPr>
      <w:r>
        <w:rPr>
          <w:rFonts w:ascii="Arial" w:eastAsia="Arial" w:hAnsi="Arial" w:cs="Arial"/>
          <w:b/>
          <w:sz w:val="24"/>
          <w:szCs w:val="24"/>
        </w:rPr>
        <w:t>VOTO PARTICULAR</w:t>
      </w:r>
      <w:r>
        <w:rPr>
          <w:rFonts w:ascii="Arial" w:eastAsia="Arial" w:hAnsi="Arial" w:cs="Arial"/>
          <w:b/>
          <w:sz w:val="24"/>
          <w:szCs w:val="24"/>
          <w:vertAlign w:val="superscript"/>
        </w:rPr>
        <w:footnoteReference w:id="1"/>
      </w:r>
      <w:r>
        <w:rPr>
          <w:rFonts w:ascii="Arial" w:eastAsia="Arial" w:hAnsi="Arial" w:cs="Arial"/>
          <w:b/>
          <w:sz w:val="24"/>
          <w:szCs w:val="24"/>
        </w:rPr>
        <w:t xml:space="preserve"> QUE EMITE LA MAGISTRADA LAURA HORTENSIA LLAMAS HERNÁNDEZ EN EL </w:t>
      </w:r>
      <w:r w:rsidR="00C72314">
        <w:rPr>
          <w:rFonts w:ascii="Arial" w:eastAsia="Arial" w:hAnsi="Arial" w:cs="Arial"/>
          <w:b/>
          <w:sz w:val="24"/>
          <w:szCs w:val="24"/>
        </w:rPr>
        <w:t xml:space="preserve">ACUERDO PLENARIO DE CUMPLIMIENTO RELACIONADO CON EL </w:t>
      </w:r>
      <w:r>
        <w:rPr>
          <w:rFonts w:ascii="Arial" w:eastAsia="Arial" w:hAnsi="Arial" w:cs="Arial"/>
          <w:b/>
          <w:sz w:val="24"/>
          <w:szCs w:val="24"/>
        </w:rPr>
        <w:t>PROCEDIMIENTO ESPECIAL SANCIONADOR TEEA-PES-006/2023.</w:t>
      </w:r>
      <w:r>
        <w:rPr>
          <w:rFonts w:ascii="Arial" w:eastAsia="Arial" w:hAnsi="Arial" w:cs="Arial"/>
          <w:b/>
          <w:sz w:val="24"/>
          <w:szCs w:val="24"/>
          <w:vertAlign w:val="superscript"/>
        </w:rPr>
        <w:footnoteReference w:id="2"/>
      </w:r>
    </w:p>
    <w:p w14:paraId="7DF63A49" w14:textId="77777777" w:rsidR="00673653" w:rsidRDefault="00673653">
      <w:pPr>
        <w:pBdr>
          <w:top w:val="nil"/>
          <w:left w:val="nil"/>
          <w:bottom w:val="nil"/>
          <w:right w:val="nil"/>
          <w:between w:val="nil"/>
        </w:pBdr>
        <w:spacing w:after="0" w:line="360" w:lineRule="auto"/>
        <w:rPr>
          <w:rFonts w:ascii="Arial" w:eastAsia="Arial" w:hAnsi="Arial" w:cs="Arial"/>
          <w:color w:val="000000"/>
          <w:sz w:val="24"/>
          <w:szCs w:val="24"/>
        </w:rPr>
      </w:pPr>
    </w:p>
    <w:p w14:paraId="6A270B69" w14:textId="77777777" w:rsidR="00673653" w:rsidRDefault="00000000">
      <w:pPr>
        <w:spacing w:line="240" w:lineRule="auto"/>
        <w:jc w:val="both"/>
        <w:rPr>
          <w:rFonts w:ascii="Arial" w:eastAsia="Arial" w:hAnsi="Arial" w:cs="Arial"/>
          <w:color w:val="000000"/>
          <w:sz w:val="24"/>
          <w:szCs w:val="24"/>
        </w:rPr>
      </w:pPr>
      <w:r>
        <w:rPr>
          <w:rFonts w:ascii="Arial" w:eastAsia="Arial" w:hAnsi="Arial" w:cs="Arial"/>
          <w:b/>
          <w:sz w:val="24"/>
          <w:szCs w:val="24"/>
          <w:u w:val="single"/>
        </w:rPr>
        <w:t>Apartado A.</w:t>
      </w:r>
      <w:r>
        <w:rPr>
          <w:rFonts w:ascii="Arial" w:eastAsia="Arial" w:hAnsi="Arial" w:cs="Arial"/>
          <w:sz w:val="24"/>
          <w:szCs w:val="24"/>
        </w:rPr>
        <w:t xml:space="preserve"> </w:t>
      </w:r>
      <w:r>
        <w:rPr>
          <w:rFonts w:ascii="Arial" w:eastAsia="Arial" w:hAnsi="Arial" w:cs="Arial"/>
          <w:b/>
          <w:sz w:val="24"/>
          <w:szCs w:val="24"/>
        </w:rPr>
        <w:t xml:space="preserve">Planteamiento del caso </w:t>
      </w:r>
    </w:p>
    <w:p w14:paraId="76EDB5F3" w14:textId="77777777" w:rsidR="00673653" w:rsidRDefault="00000000">
      <w:pPr>
        <w:spacing w:line="240" w:lineRule="auto"/>
        <w:jc w:val="both"/>
        <w:rPr>
          <w:rFonts w:ascii="Arial" w:eastAsia="Arial" w:hAnsi="Arial" w:cs="Arial"/>
          <w:b/>
          <w:sz w:val="24"/>
          <w:szCs w:val="24"/>
        </w:rPr>
      </w:pPr>
      <w:r>
        <w:rPr>
          <w:rFonts w:ascii="Arial" w:eastAsia="Arial" w:hAnsi="Arial" w:cs="Arial"/>
          <w:b/>
          <w:sz w:val="24"/>
          <w:szCs w:val="24"/>
          <w:u w:val="single"/>
        </w:rPr>
        <w:t>Apartado B.</w:t>
      </w:r>
      <w:r>
        <w:rPr>
          <w:rFonts w:ascii="Arial" w:eastAsia="Arial" w:hAnsi="Arial" w:cs="Arial"/>
          <w:sz w:val="24"/>
          <w:szCs w:val="24"/>
        </w:rPr>
        <w:t xml:space="preserve"> </w:t>
      </w:r>
      <w:r>
        <w:rPr>
          <w:rFonts w:ascii="Arial" w:eastAsia="Arial" w:hAnsi="Arial" w:cs="Arial"/>
          <w:b/>
          <w:sz w:val="24"/>
          <w:szCs w:val="24"/>
        </w:rPr>
        <w:t xml:space="preserve">Decisión del Tribunal Local </w:t>
      </w:r>
    </w:p>
    <w:p w14:paraId="3A6692C7" w14:textId="4E4FB0AB" w:rsidR="00673653" w:rsidRDefault="00000000" w:rsidP="006D129A">
      <w:pPr>
        <w:spacing w:line="240" w:lineRule="auto"/>
        <w:jc w:val="both"/>
        <w:rPr>
          <w:rFonts w:ascii="Arial" w:eastAsia="Arial" w:hAnsi="Arial" w:cs="Arial"/>
          <w:b/>
          <w:sz w:val="24"/>
          <w:szCs w:val="24"/>
        </w:rPr>
      </w:pPr>
      <w:r>
        <w:rPr>
          <w:rFonts w:ascii="Arial" w:eastAsia="Arial" w:hAnsi="Arial" w:cs="Arial"/>
          <w:b/>
          <w:sz w:val="24"/>
          <w:szCs w:val="24"/>
          <w:u w:val="single"/>
        </w:rPr>
        <w:t>Apartado C.</w:t>
      </w:r>
      <w:r>
        <w:rPr>
          <w:rFonts w:ascii="Arial" w:eastAsia="Arial" w:hAnsi="Arial" w:cs="Arial"/>
          <w:b/>
          <w:sz w:val="24"/>
          <w:szCs w:val="24"/>
        </w:rPr>
        <w:t xml:space="preserve"> Consideraciones del voto particular</w:t>
      </w:r>
    </w:p>
    <w:p w14:paraId="7B1300F9" w14:textId="77777777" w:rsidR="006D129A" w:rsidRDefault="006D129A" w:rsidP="006D129A">
      <w:pPr>
        <w:spacing w:line="240" w:lineRule="auto"/>
        <w:jc w:val="both"/>
        <w:rPr>
          <w:rFonts w:ascii="Arial" w:eastAsia="Arial" w:hAnsi="Arial" w:cs="Arial"/>
          <w:color w:val="000000"/>
          <w:sz w:val="24"/>
          <w:szCs w:val="24"/>
        </w:rPr>
      </w:pPr>
    </w:p>
    <w:p w14:paraId="0C199D7C" w14:textId="05D63473" w:rsidR="00673653" w:rsidRDefault="00000000">
      <w:pPr>
        <w:spacing w:line="360" w:lineRule="auto"/>
        <w:jc w:val="both"/>
        <w:rPr>
          <w:rFonts w:ascii="Arial" w:eastAsia="Arial" w:hAnsi="Arial" w:cs="Arial"/>
          <w:b/>
          <w:sz w:val="24"/>
          <w:szCs w:val="24"/>
        </w:rPr>
      </w:pPr>
      <w:r>
        <w:rPr>
          <w:rFonts w:ascii="Arial" w:eastAsia="Arial" w:hAnsi="Arial" w:cs="Arial"/>
          <w:b/>
          <w:sz w:val="24"/>
          <w:szCs w:val="24"/>
          <w:u w:val="single"/>
        </w:rPr>
        <w:t>Apartado A.</w:t>
      </w:r>
      <w:r>
        <w:rPr>
          <w:rFonts w:ascii="Arial" w:eastAsia="Arial" w:hAnsi="Arial" w:cs="Arial"/>
          <w:sz w:val="24"/>
          <w:szCs w:val="24"/>
        </w:rPr>
        <w:t xml:space="preserve"> </w:t>
      </w:r>
      <w:r>
        <w:rPr>
          <w:rFonts w:ascii="Arial" w:eastAsia="Arial" w:hAnsi="Arial" w:cs="Arial"/>
          <w:b/>
          <w:sz w:val="24"/>
          <w:szCs w:val="24"/>
        </w:rPr>
        <w:t>Planteamiento del caso</w:t>
      </w:r>
      <w:r w:rsidR="00C72314">
        <w:rPr>
          <w:rStyle w:val="Refdenotaalpie"/>
          <w:rFonts w:ascii="Arial" w:eastAsia="Arial" w:hAnsi="Arial" w:cs="Arial"/>
          <w:b/>
          <w:sz w:val="24"/>
          <w:szCs w:val="24"/>
        </w:rPr>
        <w:footnoteReference w:id="3"/>
      </w:r>
    </w:p>
    <w:p w14:paraId="4DBB5292" w14:textId="77777777" w:rsidR="0067365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El 4 de diciembre de 2023, el ciudadano Jorge Humberto Macías Guzmán, presentó escrito de denuncia ante el Instituto Estatal Electoral, en contra de Alejandra Peña Curiel, por la presunta realización de actos anticipados de campaña, violación al principio de legalidad y afectación a la equidad en la contienda. </w:t>
      </w:r>
    </w:p>
    <w:p w14:paraId="265B918B" w14:textId="7D776484" w:rsidR="0067365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El 18 de diciembre del 2023, el Instituto Estatal Electoral del Estado, remitió ante este Tribunal Electoral el expediente identificado con la clave IEE/PES/007/2023, el cual se registró con el número de expediente TEEA-PES-006/2023 y fue turnado a la ponencia del magistrado en funciones Néstor Enrique Rivera López, el 21 siguiente se emitió acuerdo plenario por el cual se </w:t>
      </w:r>
      <w:r w:rsidR="00CA683C">
        <w:rPr>
          <w:rFonts w:ascii="Arial" w:eastAsia="Arial" w:hAnsi="Arial" w:cs="Arial"/>
          <w:sz w:val="24"/>
          <w:szCs w:val="24"/>
        </w:rPr>
        <w:t>envió</w:t>
      </w:r>
      <w:r>
        <w:rPr>
          <w:rFonts w:ascii="Arial" w:eastAsia="Arial" w:hAnsi="Arial" w:cs="Arial"/>
          <w:sz w:val="24"/>
          <w:szCs w:val="24"/>
        </w:rPr>
        <w:t xml:space="preserve"> el expediente a la autoridad responsable, con el objeto que realizara diligencias para mejor proveer.</w:t>
      </w:r>
    </w:p>
    <w:p w14:paraId="21EB478E" w14:textId="6415E67C" w:rsidR="00673653"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El 3 de abril, se </w:t>
      </w:r>
      <w:r w:rsidR="00CA683C">
        <w:rPr>
          <w:rFonts w:ascii="Arial" w:eastAsia="Arial" w:hAnsi="Arial" w:cs="Arial"/>
          <w:sz w:val="24"/>
          <w:szCs w:val="24"/>
        </w:rPr>
        <w:t>remitió</w:t>
      </w:r>
      <w:r>
        <w:rPr>
          <w:rFonts w:ascii="Arial" w:eastAsia="Arial" w:hAnsi="Arial" w:cs="Arial"/>
          <w:sz w:val="24"/>
          <w:szCs w:val="24"/>
        </w:rPr>
        <w:t xml:space="preserve"> el oficio IEE/SE/09381/2024 signado por el secretario ejecutivo del Instituto Local, ante este Órgano Jurisdiccional, por el cual se informa que MORENA únicamente solicitó el registro de la </w:t>
      </w:r>
      <w:r w:rsidR="00AA66EC" w:rsidRPr="005865B4">
        <w:rPr>
          <w:rFonts w:ascii="Arial" w:eastAsia="Arial" w:hAnsi="Arial" w:cs="Arial"/>
          <w:sz w:val="24"/>
          <w:szCs w:val="24"/>
        </w:rPr>
        <w:t>ciudadana</w:t>
      </w:r>
      <w:r>
        <w:rPr>
          <w:rFonts w:ascii="Arial" w:eastAsia="Arial" w:hAnsi="Arial" w:cs="Arial"/>
          <w:sz w:val="24"/>
          <w:szCs w:val="24"/>
        </w:rPr>
        <w:t xml:space="preserve"> Alejandra Peña Curiel, como candidata al cargo de diputación en calidad de suplente en la posición 4 por el principio de representación proporcional.</w:t>
      </w:r>
    </w:p>
    <w:p w14:paraId="19E0CA88" w14:textId="51161425" w:rsidR="00544B30" w:rsidRDefault="00C72314">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El 11 de abril, por mayoría del Pleno de este Tribunal, se ordenó </w:t>
      </w:r>
      <w:r w:rsidR="00CA683C">
        <w:rPr>
          <w:rFonts w:ascii="Arial" w:eastAsia="Arial" w:hAnsi="Arial" w:cs="Arial"/>
          <w:sz w:val="24"/>
          <w:szCs w:val="24"/>
        </w:rPr>
        <w:t>presentar</w:t>
      </w:r>
      <w:r>
        <w:rPr>
          <w:rFonts w:ascii="Arial" w:eastAsia="Arial" w:hAnsi="Arial" w:cs="Arial"/>
          <w:sz w:val="24"/>
          <w:szCs w:val="24"/>
        </w:rPr>
        <w:t xml:space="preserve"> el expediente al Consejo General del Instituto Local, con el objeto de que su Secretario Ejecutivo: </w:t>
      </w:r>
      <w:r w:rsidRPr="00C72314">
        <w:rPr>
          <w:rFonts w:ascii="Arial" w:eastAsia="Arial" w:hAnsi="Arial" w:cs="Arial"/>
          <w:b/>
          <w:bCs/>
          <w:i/>
          <w:iCs/>
          <w:sz w:val="24"/>
          <w:szCs w:val="24"/>
        </w:rPr>
        <w:t>i)</w:t>
      </w:r>
      <w:r>
        <w:rPr>
          <w:rFonts w:ascii="Arial" w:eastAsia="Arial" w:hAnsi="Arial" w:cs="Arial"/>
          <w:sz w:val="24"/>
          <w:szCs w:val="24"/>
        </w:rPr>
        <w:t xml:space="preserve"> valorara </w:t>
      </w:r>
      <w:r w:rsidR="008209F9">
        <w:rPr>
          <w:rFonts w:ascii="Arial" w:eastAsia="Arial" w:hAnsi="Arial" w:cs="Arial"/>
          <w:sz w:val="24"/>
          <w:szCs w:val="24"/>
        </w:rPr>
        <w:t xml:space="preserve">nuevamente sobre la admisión o </w:t>
      </w:r>
      <w:proofErr w:type="spellStart"/>
      <w:r>
        <w:rPr>
          <w:rFonts w:ascii="Arial" w:eastAsia="Arial" w:hAnsi="Arial" w:cs="Arial"/>
          <w:sz w:val="24"/>
          <w:szCs w:val="24"/>
        </w:rPr>
        <w:t>desechamiento</w:t>
      </w:r>
      <w:proofErr w:type="spellEnd"/>
      <w:r>
        <w:rPr>
          <w:rFonts w:ascii="Arial" w:eastAsia="Arial" w:hAnsi="Arial" w:cs="Arial"/>
          <w:sz w:val="24"/>
          <w:szCs w:val="24"/>
        </w:rPr>
        <w:t xml:space="preserve"> de plano de la denuncia, en razón del cambio jurídico provocado a partir de la omisión del registro de la denunciada, como candidata a Presidenta Municipal de </w:t>
      </w:r>
      <w:r>
        <w:rPr>
          <w:rFonts w:ascii="Arial" w:eastAsia="Arial" w:hAnsi="Arial" w:cs="Arial"/>
          <w:sz w:val="24"/>
          <w:szCs w:val="24"/>
        </w:rPr>
        <w:lastRenderedPageBreak/>
        <w:t xml:space="preserve">Aguascalientes y; </w:t>
      </w:r>
      <w:proofErr w:type="spellStart"/>
      <w:r w:rsidRPr="00C72314">
        <w:rPr>
          <w:rFonts w:ascii="Arial" w:eastAsia="Arial" w:hAnsi="Arial" w:cs="Arial"/>
          <w:b/>
          <w:bCs/>
          <w:i/>
          <w:iCs/>
          <w:sz w:val="24"/>
          <w:szCs w:val="24"/>
        </w:rPr>
        <w:t>ii</w:t>
      </w:r>
      <w:proofErr w:type="spellEnd"/>
      <w:r w:rsidRPr="00C72314">
        <w:rPr>
          <w:rFonts w:ascii="Arial" w:eastAsia="Arial" w:hAnsi="Arial" w:cs="Arial"/>
          <w:b/>
          <w:bCs/>
          <w:i/>
          <w:iCs/>
          <w:sz w:val="24"/>
          <w:szCs w:val="24"/>
        </w:rPr>
        <w:t>)</w:t>
      </w:r>
      <w:r>
        <w:rPr>
          <w:rFonts w:ascii="Arial" w:eastAsia="Arial" w:hAnsi="Arial" w:cs="Arial"/>
          <w:sz w:val="24"/>
          <w:szCs w:val="24"/>
        </w:rPr>
        <w:t xml:space="preserve"> dejara sin efectos las actuaciones realizadas durante la sustanciación del presente procedimiento sancionador. </w:t>
      </w:r>
    </w:p>
    <w:p w14:paraId="6E764980" w14:textId="64337AB4" w:rsidR="00AA66EC" w:rsidRDefault="00544B3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En tal ocasión emití un voto particular al disentir del sentido propuesto, por considerar que contrario a lo estimado por la mayoría, se debía entrar al estudio del asunto y emitir una sentencia en la que nos pronunciáramos respecto a la existencia o no, de la infracción. </w:t>
      </w:r>
    </w:p>
    <w:p w14:paraId="1DE8A90A" w14:textId="438E993F" w:rsidR="00C72314" w:rsidRDefault="00C72314">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 partir de ello, el </w:t>
      </w:r>
      <w:r w:rsidR="008209F9">
        <w:rPr>
          <w:rFonts w:ascii="Arial" w:eastAsia="Arial" w:hAnsi="Arial" w:cs="Arial"/>
          <w:sz w:val="24"/>
          <w:szCs w:val="24"/>
        </w:rPr>
        <w:t>16</w:t>
      </w:r>
      <w:r>
        <w:rPr>
          <w:rFonts w:ascii="Arial" w:eastAsia="Arial" w:hAnsi="Arial" w:cs="Arial"/>
          <w:sz w:val="24"/>
          <w:szCs w:val="24"/>
        </w:rPr>
        <w:t xml:space="preserve"> siguiente, el Instituto Local </w:t>
      </w:r>
      <w:r w:rsidR="00CA683C">
        <w:rPr>
          <w:rFonts w:ascii="Arial" w:eastAsia="Arial" w:hAnsi="Arial" w:cs="Arial"/>
          <w:sz w:val="24"/>
          <w:szCs w:val="24"/>
        </w:rPr>
        <w:t>presentó</w:t>
      </w:r>
      <w:r>
        <w:rPr>
          <w:rFonts w:ascii="Arial" w:eastAsia="Arial" w:hAnsi="Arial" w:cs="Arial"/>
          <w:sz w:val="24"/>
          <w:szCs w:val="24"/>
        </w:rPr>
        <w:t xml:space="preserve"> el oficio IEE/SE/1155/2024, mediante el cual informan sobre e</w:t>
      </w:r>
      <w:r w:rsidR="008209F9">
        <w:rPr>
          <w:rFonts w:ascii="Arial" w:eastAsia="Arial" w:hAnsi="Arial" w:cs="Arial"/>
          <w:sz w:val="24"/>
          <w:szCs w:val="24"/>
        </w:rPr>
        <w:t xml:space="preserve">l </w:t>
      </w:r>
      <w:r>
        <w:rPr>
          <w:rFonts w:ascii="Arial" w:eastAsia="Arial" w:hAnsi="Arial" w:cs="Arial"/>
          <w:sz w:val="24"/>
          <w:szCs w:val="24"/>
        </w:rPr>
        <w:t xml:space="preserve">cumplimiento a lo ordenado </w:t>
      </w:r>
      <w:r w:rsidR="008209F9">
        <w:rPr>
          <w:rFonts w:ascii="Arial" w:eastAsia="Arial" w:hAnsi="Arial" w:cs="Arial"/>
          <w:sz w:val="24"/>
          <w:szCs w:val="24"/>
        </w:rPr>
        <w:t>por esta autoridad jurisdiccional</w:t>
      </w:r>
      <w:r>
        <w:rPr>
          <w:rFonts w:ascii="Arial" w:eastAsia="Arial" w:hAnsi="Arial" w:cs="Arial"/>
          <w:sz w:val="24"/>
          <w:szCs w:val="24"/>
        </w:rPr>
        <w:t xml:space="preserve">, </w:t>
      </w:r>
      <w:r w:rsidR="008209F9">
        <w:rPr>
          <w:rFonts w:ascii="Arial" w:eastAsia="Arial" w:hAnsi="Arial" w:cs="Arial"/>
          <w:sz w:val="24"/>
          <w:szCs w:val="24"/>
        </w:rPr>
        <w:t xml:space="preserve">mismo que se acompaña con el acuerdo de </w:t>
      </w:r>
      <w:proofErr w:type="spellStart"/>
      <w:r w:rsidR="008209F9">
        <w:rPr>
          <w:rFonts w:ascii="Arial" w:eastAsia="Arial" w:hAnsi="Arial" w:cs="Arial"/>
          <w:sz w:val="24"/>
          <w:szCs w:val="24"/>
        </w:rPr>
        <w:t>desechamiento</w:t>
      </w:r>
      <w:proofErr w:type="spellEnd"/>
      <w:r w:rsidR="008209F9">
        <w:rPr>
          <w:rFonts w:ascii="Arial" w:eastAsia="Arial" w:hAnsi="Arial" w:cs="Arial"/>
          <w:sz w:val="24"/>
          <w:szCs w:val="24"/>
        </w:rPr>
        <w:t xml:space="preserve"> de la denuncia que nos ocupa, signado por el titular de la Secretaría Ejecutiva. </w:t>
      </w:r>
    </w:p>
    <w:p w14:paraId="06848C2D" w14:textId="77777777" w:rsidR="005865B4" w:rsidRDefault="00000000" w:rsidP="005865B4">
      <w:pPr>
        <w:spacing w:line="360" w:lineRule="auto"/>
        <w:jc w:val="both"/>
        <w:rPr>
          <w:rFonts w:ascii="Arial" w:eastAsia="Arial" w:hAnsi="Arial" w:cs="Arial"/>
          <w:b/>
          <w:sz w:val="24"/>
          <w:szCs w:val="24"/>
        </w:rPr>
      </w:pPr>
      <w:r>
        <w:rPr>
          <w:rFonts w:ascii="Arial" w:eastAsia="Arial" w:hAnsi="Arial" w:cs="Arial"/>
          <w:b/>
          <w:sz w:val="24"/>
          <w:szCs w:val="24"/>
          <w:u w:val="single"/>
        </w:rPr>
        <w:t>Apartado B.</w:t>
      </w:r>
      <w:r>
        <w:rPr>
          <w:rFonts w:ascii="Arial" w:eastAsia="Arial" w:hAnsi="Arial" w:cs="Arial"/>
          <w:sz w:val="24"/>
          <w:szCs w:val="24"/>
        </w:rPr>
        <w:t xml:space="preserve"> </w:t>
      </w:r>
      <w:r>
        <w:rPr>
          <w:rFonts w:ascii="Arial" w:eastAsia="Arial" w:hAnsi="Arial" w:cs="Arial"/>
          <w:b/>
          <w:sz w:val="24"/>
          <w:szCs w:val="24"/>
        </w:rPr>
        <w:t xml:space="preserve">Decisión del Tribunal Local </w:t>
      </w:r>
    </w:p>
    <w:p w14:paraId="12C0FECC" w14:textId="17B05ED9" w:rsidR="00AA66EC" w:rsidRPr="005865B4" w:rsidRDefault="00AA66EC" w:rsidP="005865B4">
      <w:pPr>
        <w:spacing w:line="360" w:lineRule="auto"/>
        <w:jc w:val="both"/>
        <w:rPr>
          <w:rFonts w:ascii="Arial" w:eastAsia="Arial" w:hAnsi="Arial" w:cs="Arial"/>
          <w:b/>
          <w:sz w:val="24"/>
          <w:szCs w:val="24"/>
        </w:rPr>
      </w:pPr>
      <w:r>
        <w:rPr>
          <w:rFonts w:ascii="Arial" w:eastAsia="Arial" w:hAnsi="Arial" w:cs="Arial"/>
          <w:sz w:val="24"/>
          <w:szCs w:val="24"/>
        </w:rPr>
        <w:t xml:space="preserve">En </w:t>
      </w:r>
      <w:proofErr w:type="gramStart"/>
      <w:r>
        <w:rPr>
          <w:rFonts w:ascii="Arial" w:eastAsia="Arial" w:hAnsi="Arial" w:cs="Arial"/>
          <w:sz w:val="24"/>
          <w:szCs w:val="24"/>
        </w:rPr>
        <w:t>consecuencia</w:t>
      </w:r>
      <w:proofErr w:type="gramEnd"/>
      <w:r>
        <w:rPr>
          <w:rFonts w:ascii="Arial" w:eastAsia="Arial" w:hAnsi="Arial" w:cs="Arial"/>
          <w:sz w:val="24"/>
          <w:szCs w:val="24"/>
        </w:rPr>
        <w:t xml:space="preserve"> a lo precisado en el apartado anterior, la mayoría del Pleno de este órgano jurisdiccional estimó que con la emisión de tal acuerdo por parte del Instituto Local</w:t>
      </w:r>
      <w:r w:rsidR="005865B4">
        <w:rPr>
          <w:rFonts w:ascii="Arial" w:eastAsia="Arial" w:hAnsi="Arial" w:cs="Arial"/>
          <w:sz w:val="24"/>
          <w:szCs w:val="24"/>
        </w:rPr>
        <w:t>,</w:t>
      </w:r>
      <w:r>
        <w:rPr>
          <w:rFonts w:ascii="Arial" w:eastAsia="Arial" w:hAnsi="Arial" w:cs="Arial"/>
          <w:sz w:val="24"/>
          <w:szCs w:val="24"/>
        </w:rPr>
        <w:t xml:space="preserve"> se tiene por cumplido lo ordenado</w:t>
      </w:r>
      <w:r w:rsidR="005865B4">
        <w:rPr>
          <w:rFonts w:ascii="Arial" w:eastAsia="Arial" w:hAnsi="Arial" w:cs="Arial"/>
          <w:sz w:val="24"/>
          <w:szCs w:val="24"/>
        </w:rPr>
        <w:t xml:space="preserve"> </w:t>
      </w:r>
      <w:r>
        <w:rPr>
          <w:rFonts w:ascii="Arial" w:eastAsia="Arial" w:hAnsi="Arial" w:cs="Arial"/>
          <w:sz w:val="24"/>
          <w:szCs w:val="24"/>
        </w:rPr>
        <w:t>el 11 de abril</w:t>
      </w:r>
      <w:r w:rsidR="005865B4">
        <w:rPr>
          <w:rFonts w:ascii="Arial" w:eastAsia="Arial" w:hAnsi="Arial" w:cs="Arial"/>
          <w:sz w:val="24"/>
          <w:szCs w:val="24"/>
        </w:rPr>
        <w:t>.</w:t>
      </w:r>
    </w:p>
    <w:p w14:paraId="48507EC0" w14:textId="77777777" w:rsidR="00673653" w:rsidRDefault="00000000">
      <w:pPr>
        <w:spacing w:after="240" w:line="360" w:lineRule="auto"/>
        <w:jc w:val="both"/>
        <w:rPr>
          <w:rFonts w:ascii="Arial" w:eastAsia="Arial" w:hAnsi="Arial" w:cs="Arial"/>
          <w:b/>
          <w:sz w:val="24"/>
          <w:szCs w:val="24"/>
        </w:rPr>
      </w:pPr>
      <w:r>
        <w:rPr>
          <w:rFonts w:ascii="Arial" w:eastAsia="Arial" w:hAnsi="Arial" w:cs="Arial"/>
          <w:b/>
          <w:sz w:val="24"/>
          <w:szCs w:val="24"/>
          <w:u w:val="single"/>
        </w:rPr>
        <w:t>Apartado C.</w:t>
      </w:r>
      <w:r>
        <w:rPr>
          <w:rFonts w:ascii="Arial" w:eastAsia="Arial" w:hAnsi="Arial" w:cs="Arial"/>
          <w:b/>
          <w:sz w:val="24"/>
          <w:szCs w:val="24"/>
        </w:rPr>
        <w:t xml:space="preserve"> Sentido del voto particular</w:t>
      </w:r>
    </w:p>
    <w:p w14:paraId="54693450" w14:textId="51064D64" w:rsidR="008209F9" w:rsidRDefault="008209F9">
      <w:pPr>
        <w:spacing w:line="360" w:lineRule="auto"/>
        <w:jc w:val="both"/>
        <w:rPr>
          <w:rFonts w:ascii="Arial" w:eastAsia="Arial" w:hAnsi="Arial" w:cs="Arial"/>
          <w:sz w:val="24"/>
          <w:szCs w:val="24"/>
        </w:rPr>
      </w:pPr>
      <w:r>
        <w:rPr>
          <w:rFonts w:ascii="Arial" w:eastAsia="Arial" w:hAnsi="Arial" w:cs="Arial"/>
          <w:sz w:val="24"/>
          <w:szCs w:val="24"/>
        </w:rPr>
        <w:t>De manera respetuosa</w:t>
      </w:r>
      <w:r w:rsidR="00845A1F">
        <w:rPr>
          <w:rFonts w:ascii="Arial" w:eastAsia="Arial" w:hAnsi="Arial" w:cs="Arial"/>
          <w:sz w:val="24"/>
          <w:szCs w:val="24"/>
        </w:rPr>
        <w:t xml:space="preserve"> me aparto de la decisión mayoritaria, ello</w:t>
      </w:r>
      <w:r>
        <w:rPr>
          <w:rFonts w:ascii="Arial" w:eastAsia="Arial" w:hAnsi="Arial" w:cs="Arial"/>
          <w:sz w:val="24"/>
          <w:szCs w:val="24"/>
        </w:rPr>
        <w:t xml:space="preserve"> en congruencia con </w:t>
      </w:r>
      <w:r w:rsidR="003D6F63">
        <w:rPr>
          <w:rFonts w:ascii="Arial" w:eastAsia="Arial" w:hAnsi="Arial" w:cs="Arial"/>
          <w:sz w:val="24"/>
          <w:szCs w:val="24"/>
        </w:rPr>
        <w:t>el criterio</w:t>
      </w:r>
      <w:r>
        <w:rPr>
          <w:rFonts w:ascii="Arial" w:eastAsia="Arial" w:hAnsi="Arial" w:cs="Arial"/>
          <w:sz w:val="24"/>
          <w:szCs w:val="24"/>
        </w:rPr>
        <w:t xml:space="preserve"> sostenido en el Acuerdo Plenario de fecha 11 de abril, en el cual</w:t>
      </w:r>
      <w:r w:rsidR="00AA66EC">
        <w:rPr>
          <w:rFonts w:ascii="Arial" w:eastAsia="Arial" w:hAnsi="Arial" w:cs="Arial"/>
          <w:sz w:val="24"/>
          <w:szCs w:val="24"/>
        </w:rPr>
        <w:t>,</w:t>
      </w:r>
      <w:r>
        <w:rPr>
          <w:rFonts w:ascii="Arial" w:eastAsia="Arial" w:hAnsi="Arial" w:cs="Arial"/>
          <w:sz w:val="24"/>
          <w:szCs w:val="24"/>
        </w:rPr>
        <w:t xml:space="preserve"> la suscrita me aparté de la </w:t>
      </w:r>
      <w:r w:rsidR="00E43580">
        <w:rPr>
          <w:rFonts w:ascii="Arial" w:eastAsia="Arial" w:hAnsi="Arial" w:cs="Arial"/>
          <w:sz w:val="24"/>
          <w:szCs w:val="24"/>
        </w:rPr>
        <w:t>determinación</w:t>
      </w:r>
      <w:r>
        <w:rPr>
          <w:rFonts w:ascii="Arial" w:eastAsia="Arial" w:hAnsi="Arial" w:cs="Arial"/>
          <w:sz w:val="24"/>
          <w:szCs w:val="24"/>
        </w:rPr>
        <w:t xml:space="preserve"> respecto al tratamiento del presente procedimiento especial sancionador, dado que estimé que </w:t>
      </w:r>
      <w:r w:rsidR="00E43580">
        <w:rPr>
          <w:rFonts w:ascii="Arial" w:eastAsia="Arial" w:hAnsi="Arial" w:cs="Arial"/>
          <w:sz w:val="24"/>
          <w:szCs w:val="24"/>
        </w:rPr>
        <w:t>no encuentra cauce legal el ordenar</w:t>
      </w:r>
      <w:r>
        <w:rPr>
          <w:rFonts w:ascii="Arial" w:eastAsia="Arial" w:hAnsi="Arial" w:cs="Arial"/>
          <w:sz w:val="24"/>
          <w:szCs w:val="24"/>
        </w:rPr>
        <w:t xml:space="preserve"> a la Secretaría Ejecutiva del Instituto Estatal Electoral de Aguascalientes,</w:t>
      </w:r>
      <w:r w:rsidR="003D6F63">
        <w:rPr>
          <w:rFonts w:ascii="Arial" w:eastAsia="Arial" w:hAnsi="Arial" w:cs="Arial"/>
          <w:sz w:val="24"/>
          <w:szCs w:val="24"/>
        </w:rPr>
        <w:t xml:space="preserve"> un nuevo análisis</w:t>
      </w:r>
      <w:r>
        <w:rPr>
          <w:rFonts w:ascii="Arial" w:eastAsia="Arial" w:hAnsi="Arial" w:cs="Arial"/>
          <w:sz w:val="24"/>
          <w:szCs w:val="24"/>
        </w:rPr>
        <w:t xml:space="preserve"> de</w:t>
      </w:r>
      <w:r w:rsidR="003D6F63">
        <w:rPr>
          <w:rFonts w:ascii="Arial" w:eastAsia="Arial" w:hAnsi="Arial" w:cs="Arial"/>
          <w:sz w:val="24"/>
          <w:szCs w:val="24"/>
        </w:rPr>
        <w:t xml:space="preserve"> la admisión o</w:t>
      </w:r>
      <w:r>
        <w:rPr>
          <w:rFonts w:ascii="Arial" w:eastAsia="Arial" w:hAnsi="Arial" w:cs="Arial"/>
          <w:sz w:val="24"/>
          <w:szCs w:val="24"/>
        </w:rPr>
        <w:t xml:space="preserve"> </w:t>
      </w:r>
      <w:proofErr w:type="spellStart"/>
      <w:r>
        <w:rPr>
          <w:rFonts w:ascii="Arial" w:eastAsia="Arial" w:hAnsi="Arial" w:cs="Arial"/>
          <w:sz w:val="24"/>
          <w:szCs w:val="24"/>
        </w:rPr>
        <w:t>desechamiento</w:t>
      </w:r>
      <w:proofErr w:type="spellEnd"/>
      <w:r>
        <w:rPr>
          <w:rFonts w:ascii="Arial" w:eastAsia="Arial" w:hAnsi="Arial" w:cs="Arial"/>
          <w:sz w:val="24"/>
          <w:szCs w:val="24"/>
        </w:rPr>
        <w:t xml:space="preserve"> de la queja, ello </w:t>
      </w:r>
      <w:r w:rsidR="00E43580">
        <w:rPr>
          <w:rFonts w:ascii="Arial" w:eastAsia="Arial" w:hAnsi="Arial" w:cs="Arial"/>
          <w:sz w:val="24"/>
          <w:szCs w:val="24"/>
        </w:rPr>
        <w:t xml:space="preserve">bajo la justificación respecto a </w:t>
      </w:r>
      <w:r>
        <w:rPr>
          <w:rFonts w:ascii="Arial" w:eastAsia="Arial" w:hAnsi="Arial" w:cs="Arial"/>
          <w:sz w:val="24"/>
          <w:szCs w:val="24"/>
        </w:rPr>
        <w:t xml:space="preserve">un cambio de situación jurídica. </w:t>
      </w:r>
    </w:p>
    <w:p w14:paraId="5D043F28" w14:textId="4D7EC20E" w:rsidR="00845A1F" w:rsidRDefault="00845A1F" w:rsidP="00845A1F">
      <w:pPr>
        <w:spacing w:line="360" w:lineRule="auto"/>
        <w:jc w:val="both"/>
        <w:rPr>
          <w:rFonts w:ascii="Arial" w:eastAsia="Arial" w:hAnsi="Arial" w:cs="Arial"/>
          <w:sz w:val="24"/>
          <w:szCs w:val="24"/>
        </w:rPr>
      </w:pPr>
      <w:r>
        <w:rPr>
          <w:rFonts w:ascii="Arial" w:eastAsia="Arial" w:hAnsi="Arial" w:cs="Arial"/>
          <w:sz w:val="24"/>
          <w:szCs w:val="24"/>
        </w:rPr>
        <w:t xml:space="preserve">Lo precisado, ya que, a mi criterio, </w:t>
      </w:r>
      <w:r w:rsidR="003D6F63">
        <w:rPr>
          <w:rFonts w:ascii="Arial" w:eastAsia="Arial" w:hAnsi="Arial" w:cs="Arial"/>
          <w:sz w:val="24"/>
          <w:szCs w:val="24"/>
        </w:rPr>
        <w:t>la valoración sobre los presupuestos de procedencia de la queja</w:t>
      </w:r>
      <w:r>
        <w:rPr>
          <w:rFonts w:ascii="Arial" w:eastAsia="Arial" w:hAnsi="Arial" w:cs="Arial"/>
          <w:sz w:val="24"/>
          <w:szCs w:val="24"/>
        </w:rPr>
        <w:t xml:space="preserve">, es una etapa procesal ya consumada que, como tal, no debió ser puesta </w:t>
      </w:r>
      <w:r w:rsidR="00E43580">
        <w:rPr>
          <w:rFonts w:ascii="Arial" w:eastAsia="Arial" w:hAnsi="Arial" w:cs="Arial"/>
          <w:sz w:val="24"/>
          <w:szCs w:val="24"/>
        </w:rPr>
        <w:t xml:space="preserve">nuevamente </w:t>
      </w:r>
      <w:r>
        <w:rPr>
          <w:rFonts w:ascii="Arial" w:eastAsia="Arial" w:hAnsi="Arial" w:cs="Arial"/>
          <w:sz w:val="24"/>
          <w:szCs w:val="24"/>
        </w:rPr>
        <w:t xml:space="preserve">en análisis, </w:t>
      </w:r>
      <w:r w:rsidR="00E43580">
        <w:rPr>
          <w:rFonts w:ascii="Arial" w:eastAsia="Arial" w:hAnsi="Arial" w:cs="Arial"/>
          <w:sz w:val="24"/>
          <w:szCs w:val="24"/>
        </w:rPr>
        <w:t>porque</w:t>
      </w:r>
      <w:r>
        <w:rPr>
          <w:rFonts w:ascii="Arial" w:eastAsia="Arial" w:hAnsi="Arial" w:cs="Arial"/>
          <w:sz w:val="24"/>
          <w:szCs w:val="24"/>
        </w:rPr>
        <w:t xml:space="preserve"> ello distorsiona gravemente el procedimiento, atentando contra los principios de certeza y seguridad jurídica en el desarrollo del presente proceso electoral. </w:t>
      </w:r>
    </w:p>
    <w:p w14:paraId="57E30001" w14:textId="6DB71605" w:rsidR="008209F9" w:rsidRDefault="00845A1F">
      <w:pPr>
        <w:spacing w:line="360" w:lineRule="auto"/>
        <w:jc w:val="both"/>
        <w:rPr>
          <w:rFonts w:ascii="Arial" w:eastAsia="Arial" w:hAnsi="Arial" w:cs="Arial"/>
          <w:sz w:val="24"/>
          <w:szCs w:val="24"/>
        </w:rPr>
      </w:pPr>
      <w:r>
        <w:rPr>
          <w:rFonts w:ascii="Arial" w:eastAsia="Arial" w:hAnsi="Arial" w:cs="Arial"/>
          <w:sz w:val="24"/>
          <w:szCs w:val="24"/>
        </w:rPr>
        <w:t xml:space="preserve">En tal orden de ideas, al margen del contenido del acuerdo plenario que nos ocupa, al estimar que la decisión ordenada al Consejo General fue contraria a Derecho, </w:t>
      </w:r>
      <w:r w:rsidR="00427A4E" w:rsidRPr="005865B4">
        <w:rPr>
          <w:rFonts w:ascii="Arial" w:eastAsia="Arial" w:hAnsi="Arial" w:cs="Arial"/>
          <w:sz w:val="24"/>
          <w:szCs w:val="24"/>
        </w:rPr>
        <w:t>en congruencia</w:t>
      </w:r>
      <w:r w:rsidR="00427A4E">
        <w:rPr>
          <w:rFonts w:ascii="Arial" w:eastAsia="Arial" w:hAnsi="Arial" w:cs="Arial"/>
          <w:sz w:val="24"/>
          <w:szCs w:val="24"/>
        </w:rPr>
        <w:t xml:space="preserve"> </w:t>
      </w:r>
      <w:r>
        <w:rPr>
          <w:rFonts w:ascii="Arial" w:eastAsia="Arial" w:hAnsi="Arial" w:cs="Arial"/>
          <w:sz w:val="24"/>
          <w:szCs w:val="24"/>
        </w:rPr>
        <w:t xml:space="preserve">la suscrita me aparto sobre el cumplimiento realizado, </w:t>
      </w:r>
      <w:r w:rsidR="003D6F63">
        <w:rPr>
          <w:rFonts w:ascii="Arial" w:eastAsia="Arial" w:hAnsi="Arial" w:cs="Arial"/>
          <w:sz w:val="24"/>
          <w:szCs w:val="24"/>
        </w:rPr>
        <w:t>toda vez que,</w:t>
      </w:r>
      <w:r>
        <w:rPr>
          <w:rFonts w:ascii="Arial" w:eastAsia="Arial" w:hAnsi="Arial" w:cs="Arial"/>
          <w:sz w:val="24"/>
          <w:szCs w:val="24"/>
        </w:rPr>
        <w:t xml:space="preserve"> desde mi perspectiva, se debió generar un acto diverso </w:t>
      </w:r>
      <w:r w:rsidR="00CB0CA7">
        <w:rPr>
          <w:rFonts w:ascii="Arial" w:eastAsia="Arial" w:hAnsi="Arial" w:cs="Arial"/>
          <w:sz w:val="24"/>
          <w:szCs w:val="24"/>
        </w:rPr>
        <w:t xml:space="preserve">al ordenado, en el que finalmente recayera una resolución </w:t>
      </w:r>
      <w:r w:rsidR="00E43580">
        <w:rPr>
          <w:rFonts w:ascii="Arial" w:eastAsia="Arial" w:hAnsi="Arial" w:cs="Arial"/>
          <w:sz w:val="24"/>
          <w:szCs w:val="24"/>
        </w:rPr>
        <w:t>de este Tribunal por la que se</w:t>
      </w:r>
      <w:r w:rsidR="00CB0CA7">
        <w:rPr>
          <w:rFonts w:ascii="Arial" w:eastAsia="Arial" w:hAnsi="Arial" w:cs="Arial"/>
          <w:sz w:val="24"/>
          <w:szCs w:val="24"/>
        </w:rPr>
        <w:t xml:space="preserve"> declarara la </w:t>
      </w:r>
      <w:r w:rsidR="00CB0CA7">
        <w:rPr>
          <w:rFonts w:ascii="Arial" w:eastAsia="Arial" w:hAnsi="Arial" w:cs="Arial"/>
          <w:sz w:val="24"/>
          <w:szCs w:val="24"/>
        </w:rPr>
        <w:lastRenderedPageBreak/>
        <w:t xml:space="preserve">existencia o inexistencia de la infracción, ello de conformidad 275 del Código Electoral Local. </w:t>
      </w:r>
    </w:p>
    <w:p w14:paraId="4CF17F86" w14:textId="35C1575D" w:rsidR="006D0EB5" w:rsidRDefault="00000000" w:rsidP="006D0EB5">
      <w:pPr>
        <w:spacing w:line="360" w:lineRule="auto"/>
        <w:jc w:val="both"/>
        <w:rPr>
          <w:rFonts w:ascii="Arial" w:eastAsia="Arial" w:hAnsi="Arial" w:cs="Arial"/>
          <w:sz w:val="24"/>
          <w:szCs w:val="24"/>
        </w:rPr>
      </w:pPr>
      <w:r>
        <w:rPr>
          <w:rFonts w:ascii="Arial" w:eastAsia="Arial" w:hAnsi="Arial" w:cs="Arial"/>
          <w:sz w:val="24"/>
          <w:szCs w:val="24"/>
        </w:rPr>
        <w:t xml:space="preserve">Por tales motivos, </w:t>
      </w:r>
      <w:r w:rsidR="006D0EB5">
        <w:rPr>
          <w:rFonts w:ascii="Arial" w:eastAsia="Arial" w:hAnsi="Arial" w:cs="Arial"/>
          <w:sz w:val="24"/>
          <w:szCs w:val="24"/>
        </w:rPr>
        <w:t xml:space="preserve">me aparto de la decisión mayoritaria. </w:t>
      </w:r>
    </w:p>
    <w:p w14:paraId="2E2B4714" w14:textId="77777777" w:rsidR="00673653" w:rsidRDefault="00673653">
      <w:pPr>
        <w:spacing w:line="360" w:lineRule="auto"/>
        <w:jc w:val="both"/>
        <w:rPr>
          <w:rFonts w:ascii="Arial" w:eastAsia="Arial" w:hAnsi="Arial" w:cs="Arial"/>
          <w:sz w:val="24"/>
          <w:szCs w:val="24"/>
        </w:rPr>
      </w:pPr>
    </w:p>
    <w:p w14:paraId="4D52A680" w14:textId="68EF8D49" w:rsidR="00673653" w:rsidRDefault="00000000">
      <w:pPr>
        <w:spacing w:line="360" w:lineRule="auto"/>
        <w:jc w:val="center"/>
        <w:rPr>
          <w:rFonts w:ascii="Arial" w:eastAsia="Arial" w:hAnsi="Arial" w:cs="Arial"/>
          <w:b/>
          <w:sz w:val="24"/>
          <w:szCs w:val="24"/>
        </w:rPr>
      </w:pPr>
      <w:r>
        <w:rPr>
          <w:rFonts w:ascii="Arial" w:eastAsia="Arial" w:hAnsi="Arial" w:cs="Arial"/>
          <w:b/>
          <w:sz w:val="24"/>
          <w:szCs w:val="24"/>
        </w:rPr>
        <w:t>MAGISTRADA</w:t>
      </w:r>
    </w:p>
    <w:p w14:paraId="76CA6D57" w14:textId="63F80071" w:rsidR="00673653" w:rsidRDefault="00673653">
      <w:pPr>
        <w:spacing w:line="360" w:lineRule="auto"/>
        <w:jc w:val="center"/>
        <w:rPr>
          <w:rFonts w:ascii="Arial" w:eastAsia="Arial" w:hAnsi="Arial" w:cs="Arial"/>
          <w:b/>
          <w:sz w:val="24"/>
          <w:szCs w:val="24"/>
        </w:rPr>
      </w:pPr>
    </w:p>
    <w:p w14:paraId="4ED19193" w14:textId="77777777" w:rsidR="00673653" w:rsidRDefault="00000000">
      <w:pPr>
        <w:spacing w:after="0" w:line="360" w:lineRule="auto"/>
        <w:jc w:val="center"/>
        <w:rPr>
          <w:rFonts w:ascii="Arial" w:eastAsia="Arial" w:hAnsi="Arial" w:cs="Arial"/>
          <w:b/>
          <w:sz w:val="24"/>
          <w:szCs w:val="24"/>
        </w:rPr>
      </w:pPr>
      <w:r>
        <w:rPr>
          <w:rFonts w:ascii="Arial" w:eastAsia="Arial" w:hAnsi="Arial" w:cs="Arial"/>
          <w:b/>
          <w:sz w:val="24"/>
          <w:szCs w:val="24"/>
        </w:rPr>
        <w:t>LAURA HORTENSIA</w:t>
      </w:r>
    </w:p>
    <w:p w14:paraId="58CA8EB1" w14:textId="77777777" w:rsidR="00673653" w:rsidRDefault="00000000">
      <w:pPr>
        <w:spacing w:after="0" w:line="360" w:lineRule="auto"/>
        <w:jc w:val="center"/>
        <w:rPr>
          <w:rFonts w:ascii="Arial" w:eastAsia="Arial" w:hAnsi="Arial" w:cs="Arial"/>
          <w:b/>
          <w:sz w:val="24"/>
          <w:szCs w:val="24"/>
        </w:rPr>
      </w:pPr>
      <w:r>
        <w:rPr>
          <w:rFonts w:ascii="Arial" w:eastAsia="Arial" w:hAnsi="Arial" w:cs="Arial"/>
          <w:b/>
          <w:sz w:val="24"/>
          <w:szCs w:val="24"/>
        </w:rPr>
        <w:t>LLAMAS HERNÁNDEZ</w:t>
      </w:r>
    </w:p>
    <w:p w14:paraId="7B754D65" w14:textId="77777777" w:rsidR="00673653" w:rsidRDefault="00673653" w:rsidP="00CA683C">
      <w:pPr>
        <w:spacing w:after="0" w:line="360" w:lineRule="auto"/>
        <w:rPr>
          <w:rFonts w:ascii="Arial" w:eastAsia="Arial" w:hAnsi="Arial" w:cs="Arial"/>
          <w:b/>
          <w:sz w:val="24"/>
          <w:szCs w:val="24"/>
        </w:rPr>
      </w:pPr>
    </w:p>
    <w:sectPr w:rsidR="00673653" w:rsidSect="00FB5EDA">
      <w:headerReference w:type="even" r:id="rId8"/>
      <w:headerReference w:type="default" r:id="rId9"/>
      <w:footerReference w:type="even" r:id="rId10"/>
      <w:footerReference w:type="default" r:id="rId11"/>
      <w:headerReference w:type="first" r:id="rId12"/>
      <w:footerReference w:type="first" r:id="rId13"/>
      <w:pgSz w:w="12240" w:h="20160"/>
      <w:pgMar w:top="2835"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E11E3" w14:textId="77777777" w:rsidR="00FB5EDA" w:rsidRDefault="00FB5EDA">
      <w:pPr>
        <w:spacing w:after="0" w:line="240" w:lineRule="auto"/>
      </w:pPr>
      <w:r>
        <w:separator/>
      </w:r>
    </w:p>
  </w:endnote>
  <w:endnote w:type="continuationSeparator" w:id="0">
    <w:p w14:paraId="57143FE7" w14:textId="77777777" w:rsidR="00FB5EDA" w:rsidRDefault="00FB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1F0C" w14:textId="77777777" w:rsidR="005D684F" w:rsidRDefault="005D68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5B76" w14:textId="77777777" w:rsidR="005D684F" w:rsidRDefault="005D684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C768" w14:textId="77777777" w:rsidR="005D684F" w:rsidRDefault="005D68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014A" w14:textId="77777777" w:rsidR="00FB5EDA" w:rsidRDefault="00FB5EDA">
      <w:pPr>
        <w:spacing w:after="0" w:line="240" w:lineRule="auto"/>
      </w:pPr>
      <w:r>
        <w:separator/>
      </w:r>
    </w:p>
  </w:footnote>
  <w:footnote w:type="continuationSeparator" w:id="0">
    <w:p w14:paraId="6BBE3C52" w14:textId="77777777" w:rsidR="00FB5EDA" w:rsidRDefault="00FB5EDA">
      <w:pPr>
        <w:spacing w:after="0" w:line="240" w:lineRule="auto"/>
      </w:pPr>
      <w:r>
        <w:continuationSeparator/>
      </w:r>
    </w:p>
  </w:footnote>
  <w:footnote w:id="1">
    <w:p w14:paraId="4ED2F7FC" w14:textId="77777777" w:rsidR="00673653" w:rsidRDefault="00000000">
      <w:pPr>
        <w:spacing w:after="0" w:line="240" w:lineRule="auto"/>
        <w:jc w:val="both"/>
        <w:rPr>
          <w:sz w:val="16"/>
          <w:szCs w:val="16"/>
        </w:rPr>
      </w:pPr>
      <w:r>
        <w:rPr>
          <w:vertAlign w:val="superscript"/>
        </w:rPr>
        <w:footnoteRef/>
      </w:r>
      <w:r>
        <w:rPr>
          <w:sz w:val="20"/>
          <w:szCs w:val="20"/>
        </w:rPr>
        <w:t xml:space="preserve"> </w:t>
      </w:r>
      <w:r>
        <w:rPr>
          <w:rFonts w:ascii="Arial" w:eastAsia="Arial" w:hAnsi="Arial" w:cs="Arial"/>
          <w:sz w:val="20"/>
          <w:szCs w:val="20"/>
        </w:rPr>
        <w:t>Con fundamento en lo dispuesto en el artículo 16 del Reglamento Interno del Tribunal Electoral del Estado de Aguascalientes.</w:t>
      </w:r>
    </w:p>
  </w:footnote>
  <w:footnote w:id="2">
    <w:p w14:paraId="0E804B94" w14:textId="77777777" w:rsidR="00673653" w:rsidRDefault="00000000">
      <w:pPr>
        <w:spacing w:after="0" w:line="240" w:lineRule="auto"/>
        <w:jc w:val="both"/>
        <w:rPr>
          <w:sz w:val="16"/>
          <w:szCs w:val="16"/>
        </w:rPr>
      </w:pPr>
      <w:r>
        <w:rPr>
          <w:vertAlign w:val="superscript"/>
        </w:rPr>
        <w:footnoteRef/>
      </w:r>
      <w:r>
        <w:rPr>
          <w:sz w:val="20"/>
          <w:szCs w:val="20"/>
        </w:rPr>
        <w:t xml:space="preserve"> </w:t>
      </w:r>
      <w:r>
        <w:rPr>
          <w:rFonts w:ascii="Arial" w:eastAsia="Arial" w:hAnsi="Arial" w:cs="Arial"/>
          <w:sz w:val="20"/>
          <w:szCs w:val="20"/>
        </w:rPr>
        <w:t xml:space="preserve">Colaboradoras: Ivonne Azucena Zavala Soto y </w:t>
      </w:r>
      <w:proofErr w:type="spellStart"/>
      <w:r>
        <w:rPr>
          <w:rFonts w:ascii="Arial" w:eastAsia="Arial" w:hAnsi="Arial" w:cs="Arial"/>
          <w:sz w:val="20"/>
          <w:szCs w:val="20"/>
        </w:rPr>
        <w:t>Lindy</w:t>
      </w:r>
      <w:proofErr w:type="spellEnd"/>
      <w:r>
        <w:rPr>
          <w:rFonts w:ascii="Arial" w:eastAsia="Arial" w:hAnsi="Arial" w:cs="Arial"/>
          <w:sz w:val="20"/>
          <w:szCs w:val="20"/>
        </w:rPr>
        <w:t xml:space="preserve"> Miroslava García Rocha.</w:t>
      </w:r>
    </w:p>
  </w:footnote>
  <w:footnote w:id="3">
    <w:p w14:paraId="05A6CA44" w14:textId="45FFF7F3" w:rsidR="00C72314" w:rsidRDefault="00C72314" w:rsidP="00C72314">
      <w:pPr>
        <w:pStyle w:val="Textonotapie"/>
        <w:jc w:val="both"/>
      </w:pPr>
      <w:r>
        <w:rPr>
          <w:rStyle w:val="Refdenotaalpie"/>
        </w:rPr>
        <w:footnoteRef/>
      </w:r>
      <w:r>
        <w:t xml:space="preserve"> </w:t>
      </w:r>
      <w:r w:rsidRPr="00C72314">
        <w:rPr>
          <w:rFonts w:ascii="Arial" w:hAnsi="Arial" w:cs="Arial"/>
        </w:rPr>
        <w:t>Todas las fechas corresponden al 2024, salvo precisión en contrario.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3276" w14:textId="77777777" w:rsidR="005D684F" w:rsidRDefault="005D68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1EAF" w14:textId="3173E1A1" w:rsidR="00673653" w:rsidRDefault="005D684F">
    <w:pPr>
      <w:pBdr>
        <w:top w:val="nil"/>
        <w:left w:val="nil"/>
        <w:bottom w:val="nil"/>
        <w:right w:val="nil"/>
        <w:between w:val="nil"/>
      </w:pBdr>
      <w:tabs>
        <w:tab w:val="center" w:pos="4419"/>
        <w:tab w:val="right" w:pos="8838"/>
      </w:tabs>
      <w:spacing w:after="0" w:line="240" w:lineRule="auto"/>
      <w:rPr>
        <w:color w:val="000000"/>
      </w:rPr>
    </w:pPr>
    <w:sdt>
      <w:sdtPr>
        <w:rPr>
          <w:color w:val="000000"/>
        </w:rPr>
        <w:id w:val="-1958320947"/>
        <w:docPartObj>
          <w:docPartGallery w:val="Watermarks"/>
          <w:docPartUnique/>
        </w:docPartObj>
      </w:sdtPr>
      <w:sdtContent>
        <w:r w:rsidRPr="005D684F">
          <w:rPr>
            <w:color w:val="000000"/>
          </w:rPr>
          <w:pict w14:anchorId="03DCB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4967970" o:spid="_x0000_s1026" type="#_x0000_t136" style="position:absolute;margin-left:0;margin-top:0;width:498.4pt;height:124.6pt;rotation:315;z-index:-25165516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sdtContent>
    </w:sdt>
    <w:sdt>
      <w:sdtPr>
        <w:rPr>
          <w:color w:val="000000"/>
        </w:rPr>
        <w:id w:val="-1782102643"/>
        <w:docPartObj>
          <w:docPartGallery w:val="Page Numbers (Margins)"/>
          <w:docPartUnique/>
        </w:docPartObj>
      </w:sdtPr>
      <w:sdtContent>
        <w:r w:rsidR="006D129A" w:rsidRPr="006D129A">
          <w:rPr>
            <w:noProof/>
            <w:color w:val="000000"/>
          </w:rPr>
          <mc:AlternateContent>
            <mc:Choice Requires="wps">
              <w:drawing>
                <wp:anchor distT="0" distB="0" distL="114300" distR="114300" simplePos="0" relativeHeight="251659264" behindDoc="0" locked="0" layoutInCell="0" allowOverlap="1" wp14:anchorId="473A7FAF" wp14:editId="1EEDD7F4">
                  <wp:simplePos x="0" y="0"/>
                  <wp:positionH relativeFrom="rightMargin">
                    <wp:align>center</wp:align>
                  </wp:positionH>
                  <wp:positionV relativeFrom="page">
                    <wp:align>center</wp:align>
                  </wp:positionV>
                  <wp:extent cx="762000" cy="895350"/>
                  <wp:effectExtent l="0" t="0" r="0" b="0"/>
                  <wp:wrapNone/>
                  <wp:docPr id="18223448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A4145A0" w14:textId="77777777" w:rsidR="006D129A" w:rsidRDefault="006D129A">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A7FAF" id="Rectángulo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A4145A0" w14:textId="77777777" w:rsidR="006D129A" w:rsidRDefault="006D129A">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000000">
      <w:rPr>
        <w:noProof/>
        <w:color w:val="000000"/>
      </w:rPr>
      <w:drawing>
        <wp:inline distT="0" distB="0" distL="0" distR="0" wp14:anchorId="463835F5" wp14:editId="757AE279">
          <wp:extent cx="995527" cy="1154534"/>
          <wp:effectExtent l="0" t="0" r="0" b="0"/>
          <wp:docPr id="20394114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0132" w14:textId="77777777" w:rsidR="005D684F" w:rsidRDefault="005D68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B1BD4"/>
    <w:multiLevelType w:val="multilevel"/>
    <w:tmpl w:val="81341CD0"/>
    <w:lvl w:ilvl="0">
      <w:start w:val="1"/>
      <w:numFmt w:val="lowerRoman"/>
      <w:lvlText w:val="%1)"/>
      <w:lvlJc w:val="left"/>
      <w:pPr>
        <w:ind w:left="1080" w:hanging="720"/>
      </w:pPr>
      <w:rPr>
        <w:rFonts w:ascii="Arial" w:eastAsia="Arial" w:hAnsi="Arial" w:cs="Arial"/>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92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53"/>
    <w:rsid w:val="001F21BE"/>
    <w:rsid w:val="003A4428"/>
    <w:rsid w:val="003D6F63"/>
    <w:rsid w:val="00427A4E"/>
    <w:rsid w:val="00544B30"/>
    <w:rsid w:val="005865B4"/>
    <w:rsid w:val="005D684F"/>
    <w:rsid w:val="00632A13"/>
    <w:rsid w:val="00673653"/>
    <w:rsid w:val="006D0EB5"/>
    <w:rsid w:val="006D129A"/>
    <w:rsid w:val="00741EE0"/>
    <w:rsid w:val="008209F9"/>
    <w:rsid w:val="00845A1F"/>
    <w:rsid w:val="009C1916"/>
    <w:rsid w:val="00A04DB3"/>
    <w:rsid w:val="00AA66EC"/>
    <w:rsid w:val="00C72314"/>
    <w:rsid w:val="00CA4808"/>
    <w:rsid w:val="00CA683C"/>
    <w:rsid w:val="00CB0CA7"/>
    <w:rsid w:val="00D20E1B"/>
    <w:rsid w:val="00E43580"/>
    <w:rsid w:val="00F143F6"/>
    <w:rsid w:val="00F6155A"/>
    <w:rsid w:val="00FB5E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BB03"/>
  <w15:docId w15:val="{DE960C73-1AB4-4D19-8D81-4209A992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1"/>
    <w:qFormat/>
    <w:rsid w:val="00D44218"/>
    <w:pPr>
      <w:ind w:left="720"/>
      <w:contextualSpacing/>
    </w:pPr>
  </w:style>
  <w:style w:type="paragraph" w:styleId="Textonotapie">
    <w:name w:val="footnote text"/>
    <w:basedOn w:val="Normal"/>
    <w:link w:val="TextonotapieCar"/>
    <w:uiPriority w:val="99"/>
    <w:semiHidden/>
    <w:unhideWhenUsed/>
    <w:rsid w:val="008569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6987"/>
    <w:rPr>
      <w:sz w:val="20"/>
      <w:szCs w:val="20"/>
    </w:rPr>
  </w:style>
  <w:style w:type="character" w:styleId="Refdenotaalpie">
    <w:name w:val="footnote reference"/>
    <w:basedOn w:val="Fuentedeprrafopredeter"/>
    <w:uiPriority w:val="99"/>
    <w:semiHidden/>
    <w:unhideWhenUsed/>
    <w:rsid w:val="00856987"/>
    <w:rPr>
      <w:vertAlign w:val="superscript"/>
    </w:rPr>
  </w:style>
  <w:style w:type="paragraph" w:styleId="Sinespaciado">
    <w:name w:val="No Spacing"/>
    <w:uiPriority w:val="1"/>
    <w:qFormat/>
    <w:rsid w:val="00D72C39"/>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435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353C"/>
  </w:style>
  <w:style w:type="paragraph" w:styleId="Piedepgina">
    <w:name w:val="footer"/>
    <w:basedOn w:val="Normal"/>
    <w:link w:val="PiedepginaCar"/>
    <w:uiPriority w:val="99"/>
    <w:unhideWhenUsed/>
    <w:rsid w:val="003435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247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8zdrHAv2QO4wgeAf15ZcqHA8Q==">CgMxLjA4AHIhMXZLN2xhVEU3SW1JS01rekxmT1l1R3Z5amkwSVhXLUw2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3783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 2</dc:creator>
  <cp:lastModifiedBy>Lic. Miroslava Rocha</cp:lastModifiedBy>
  <cp:revision>2</cp:revision>
  <cp:lastPrinted>2024-04-19T01:13:00Z</cp:lastPrinted>
  <dcterms:created xsi:type="dcterms:W3CDTF">2024-04-19T01:22:00Z</dcterms:created>
  <dcterms:modified xsi:type="dcterms:W3CDTF">2024-04-19T01:22:00Z</dcterms:modified>
</cp:coreProperties>
</file>