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9FAF" w14:textId="77777777" w:rsidR="00A81C4C" w:rsidRPr="00A81C4C" w:rsidRDefault="00A81C4C" w:rsidP="00A81C4C">
      <w:pPr>
        <w:spacing w:after="0" w:line="240" w:lineRule="auto"/>
        <w:ind w:left="4253" w:right="49"/>
        <w:jc w:val="both"/>
        <w:rPr>
          <w:rFonts w:ascii="Arial" w:eastAsia="Arial" w:hAnsi="Arial" w:cs="Arial"/>
          <w:sz w:val="23"/>
          <w:szCs w:val="23"/>
        </w:rPr>
      </w:pPr>
      <w:bookmarkStart w:id="0" w:name="_heading=h.gjdgxs" w:colFirst="0" w:colLast="0"/>
      <w:bookmarkEnd w:id="0"/>
      <w:r w:rsidRPr="00A81C4C">
        <w:rPr>
          <w:rFonts w:ascii="Arial" w:eastAsia="Arial" w:hAnsi="Arial" w:cs="Arial"/>
          <w:b/>
          <w:sz w:val="23"/>
          <w:szCs w:val="23"/>
        </w:rPr>
        <w:t>PROCEDIMIENTO ESPECIAL SANCIONADOR.</w:t>
      </w:r>
    </w:p>
    <w:p w14:paraId="341EC82E"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1BF24AC1" w14:textId="77777777" w:rsidR="00A81C4C" w:rsidRPr="00A81C4C" w:rsidRDefault="00A81C4C" w:rsidP="00A81C4C">
      <w:pPr>
        <w:spacing w:before="29" w:after="0" w:line="240" w:lineRule="auto"/>
        <w:ind w:left="4253" w:right="49"/>
        <w:jc w:val="both"/>
        <w:rPr>
          <w:rFonts w:ascii="Arial" w:eastAsia="Arial" w:hAnsi="Arial" w:cs="Arial"/>
          <w:sz w:val="23"/>
          <w:szCs w:val="23"/>
        </w:rPr>
      </w:pPr>
      <w:r w:rsidRPr="00A81C4C">
        <w:rPr>
          <w:rFonts w:ascii="Arial" w:eastAsia="Arial" w:hAnsi="Arial" w:cs="Arial"/>
          <w:b/>
          <w:sz w:val="23"/>
          <w:szCs w:val="23"/>
        </w:rPr>
        <w:t xml:space="preserve">EXPEDIENTE: </w:t>
      </w:r>
      <w:r w:rsidRPr="00A81C4C">
        <w:rPr>
          <w:rFonts w:ascii="Arial" w:eastAsia="Arial" w:hAnsi="Arial" w:cs="Arial"/>
          <w:sz w:val="23"/>
          <w:szCs w:val="23"/>
        </w:rPr>
        <w:t>TEEA-PES-002/2024.</w:t>
      </w:r>
    </w:p>
    <w:p w14:paraId="392A90E0"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3104B525"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DENUNCIANTE:</w:t>
      </w:r>
      <w:r w:rsidRPr="00A81C4C">
        <w:rPr>
          <w:rFonts w:ascii="Arial" w:eastAsia="Arial" w:hAnsi="Arial" w:cs="Arial"/>
          <w:sz w:val="23"/>
          <w:szCs w:val="23"/>
        </w:rPr>
        <w:t xml:space="preserve"> PARTIDO ACCIÓN NACIONAL.</w:t>
      </w:r>
    </w:p>
    <w:p w14:paraId="1CA62921"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 xml:space="preserve">DENUNCIADA: </w:t>
      </w:r>
      <w:r w:rsidRPr="00A81C4C">
        <w:rPr>
          <w:rFonts w:ascii="Arial" w:eastAsia="Arial" w:hAnsi="Arial" w:cs="Arial"/>
          <w:bCs/>
          <w:sz w:val="23"/>
          <w:szCs w:val="23"/>
        </w:rPr>
        <w:t>MARTHA CECILIA MÁRQUEZ ALVARADO, CANDIDATA DE MORENA A LA ALCALDÍA DE AGUASCALIENTES Y OTROS.</w:t>
      </w:r>
    </w:p>
    <w:p w14:paraId="2D84A4EA"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MAGISTRADA PONENTE:</w:t>
      </w:r>
      <w:r w:rsidRPr="00A81C4C">
        <w:rPr>
          <w:rFonts w:ascii="Arial" w:eastAsia="Arial" w:hAnsi="Arial" w:cs="Arial"/>
          <w:sz w:val="23"/>
          <w:szCs w:val="23"/>
        </w:rPr>
        <w:t xml:space="preserve"> LAURA HORTENSIA LLAMAS HERNÁNDEZ.</w:t>
      </w:r>
    </w:p>
    <w:p w14:paraId="54B77B40" w14:textId="77777777" w:rsidR="00A81C4C" w:rsidRPr="00A81C4C" w:rsidRDefault="00A81C4C" w:rsidP="00A81C4C">
      <w:pPr>
        <w:ind w:left="4253" w:right="36"/>
        <w:jc w:val="both"/>
        <w:rPr>
          <w:rFonts w:ascii="Arial" w:eastAsia="Arial" w:hAnsi="Arial" w:cs="Arial"/>
          <w:sz w:val="23"/>
          <w:szCs w:val="23"/>
        </w:rPr>
      </w:pPr>
      <w:r w:rsidRPr="00A81C4C">
        <w:rPr>
          <w:rFonts w:ascii="Arial" w:eastAsia="Arial" w:hAnsi="Arial" w:cs="Arial"/>
          <w:b/>
          <w:sz w:val="23"/>
          <w:szCs w:val="23"/>
        </w:rPr>
        <w:t>SECRETARIA DE ESTUDIO</w:t>
      </w:r>
      <w:r w:rsidRPr="00A81C4C">
        <w:rPr>
          <w:rFonts w:ascii="Arial" w:eastAsia="Arial" w:hAnsi="Arial" w:cs="Arial"/>
          <w:b/>
          <w:sz w:val="23"/>
          <w:szCs w:val="23"/>
          <w:vertAlign w:val="superscript"/>
        </w:rPr>
        <w:footnoteReference w:id="1"/>
      </w:r>
      <w:r w:rsidRPr="00A81C4C">
        <w:rPr>
          <w:rFonts w:ascii="Arial" w:eastAsia="Arial" w:hAnsi="Arial" w:cs="Arial"/>
          <w:b/>
          <w:sz w:val="23"/>
          <w:szCs w:val="23"/>
        </w:rPr>
        <w:t xml:space="preserve">: </w:t>
      </w:r>
      <w:r w:rsidRPr="00A81C4C">
        <w:rPr>
          <w:rFonts w:ascii="Arial" w:eastAsia="Arial" w:hAnsi="Arial" w:cs="Arial"/>
          <w:sz w:val="23"/>
          <w:szCs w:val="23"/>
        </w:rPr>
        <w:t xml:space="preserve">IVONNE AZUCENA ZAVALA SOTO. </w:t>
      </w:r>
    </w:p>
    <w:p w14:paraId="1E0022B7"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06407F81" w14:textId="77777777" w:rsidR="00A81C4C" w:rsidRPr="00A81C4C" w:rsidRDefault="00A81C4C" w:rsidP="00A81C4C">
      <w:pPr>
        <w:spacing w:after="0" w:line="360" w:lineRule="auto"/>
        <w:ind w:left="-709" w:firstLine="708"/>
        <w:jc w:val="right"/>
        <w:rPr>
          <w:rFonts w:ascii="Arial" w:eastAsia="Arial" w:hAnsi="Arial" w:cs="Arial"/>
          <w:sz w:val="23"/>
          <w:szCs w:val="23"/>
        </w:rPr>
      </w:pPr>
      <w:r w:rsidRPr="00A81C4C">
        <w:rPr>
          <w:rFonts w:ascii="Arial" w:eastAsia="Arial" w:hAnsi="Arial" w:cs="Arial"/>
          <w:sz w:val="23"/>
          <w:szCs w:val="23"/>
        </w:rPr>
        <w:t xml:space="preserve">Aguascalientes, Aguascalientes, a seis de mayo de dos mil veinticuatro. </w:t>
      </w:r>
    </w:p>
    <w:p w14:paraId="7368341A" w14:textId="77777777" w:rsidR="00A81C4C" w:rsidRPr="00A81C4C" w:rsidRDefault="00A81C4C" w:rsidP="00A81C4C">
      <w:pPr>
        <w:pBdr>
          <w:top w:val="nil"/>
          <w:left w:val="nil"/>
          <w:bottom w:val="nil"/>
          <w:right w:val="nil"/>
          <w:between w:val="nil"/>
        </w:pBdr>
        <w:spacing w:after="0" w:line="240" w:lineRule="auto"/>
        <w:rPr>
          <w:rFonts w:ascii="Arial" w:eastAsia="Arial" w:hAnsi="Arial" w:cs="Arial"/>
          <w:color w:val="000000"/>
          <w:sz w:val="23"/>
          <w:szCs w:val="23"/>
        </w:rPr>
      </w:pPr>
    </w:p>
    <w:p w14:paraId="7FA3CB25" w14:textId="77777777" w:rsidR="00A81C4C" w:rsidRPr="00A81C4C" w:rsidRDefault="00A81C4C" w:rsidP="00A81C4C">
      <w:pPr>
        <w:tabs>
          <w:tab w:val="left" w:pos="709"/>
        </w:tabs>
        <w:spacing w:after="0" w:line="360" w:lineRule="auto"/>
        <w:ind w:right="-91"/>
        <w:jc w:val="both"/>
        <w:rPr>
          <w:rFonts w:ascii="Arial" w:eastAsia="Arial" w:hAnsi="Arial" w:cs="Arial"/>
          <w:sz w:val="23"/>
          <w:szCs w:val="23"/>
        </w:rPr>
      </w:pPr>
      <w:r w:rsidRPr="00A81C4C">
        <w:rPr>
          <w:rFonts w:ascii="Arial" w:eastAsia="Arial" w:hAnsi="Arial" w:cs="Arial"/>
          <w:sz w:val="23"/>
          <w:szCs w:val="23"/>
        </w:rPr>
        <w:tab/>
        <w:t xml:space="preserve">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da cuenta a la Magistrada Laura Hortensia Llamas Hernández, con el estado que guardan los autos del expediente citado al rubro; en atención a que en la denuncia que se estudia, se desprende la probable comisión de actos contrarios a la normatividad en materia electoral, realizados por la ciudadana Martha Cecilia Márquez Alvarado candidata del partido político Morena, a la presidencia municipal de Aguascalientes.</w:t>
      </w:r>
    </w:p>
    <w:p w14:paraId="7F785955" w14:textId="711F9ED1" w:rsidR="00BE193B" w:rsidRPr="00A81C4C" w:rsidRDefault="00BE193B" w:rsidP="00A81C4C">
      <w:pPr>
        <w:tabs>
          <w:tab w:val="left" w:pos="709"/>
        </w:tabs>
        <w:spacing w:after="0" w:line="360" w:lineRule="auto"/>
        <w:ind w:right="-91"/>
        <w:jc w:val="both"/>
        <w:rPr>
          <w:rFonts w:ascii="Arial" w:hAnsi="Arial" w:cs="Arial"/>
          <w:sz w:val="23"/>
          <w:szCs w:val="23"/>
        </w:rPr>
      </w:pPr>
    </w:p>
    <w:p w14:paraId="6BDE68C7" w14:textId="651CB3C8" w:rsidR="00D530CB" w:rsidRPr="00A81C4C" w:rsidRDefault="00A81C4C" w:rsidP="008654A6">
      <w:pPr>
        <w:tabs>
          <w:tab w:val="left" w:pos="567"/>
        </w:tabs>
        <w:spacing w:after="0" w:line="360" w:lineRule="auto"/>
        <w:ind w:right="-91"/>
        <w:jc w:val="both"/>
        <w:rPr>
          <w:rFonts w:ascii="Arial" w:hAnsi="Arial" w:cs="Arial"/>
          <w:b/>
          <w:bCs/>
          <w:sz w:val="23"/>
          <w:szCs w:val="23"/>
        </w:rPr>
      </w:pPr>
      <w:r w:rsidRPr="00A81C4C">
        <w:rPr>
          <w:rFonts w:ascii="Arial" w:eastAsia="Times New Roman" w:hAnsi="Arial" w:cs="Arial"/>
          <w:sz w:val="23"/>
          <w:szCs w:val="23"/>
          <w:lang w:eastAsia="es-ES"/>
        </w:rPr>
        <w:tab/>
      </w:r>
      <w:r w:rsidR="00275298" w:rsidRPr="00A81C4C">
        <w:rPr>
          <w:rFonts w:ascii="Arial" w:eastAsia="Times New Roman" w:hAnsi="Arial" w:cs="Arial"/>
          <w:sz w:val="23"/>
          <w:szCs w:val="23"/>
          <w:lang w:eastAsia="es-ES"/>
        </w:rPr>
        <w:t>Por lo anterior</w:t>
      </w:r>
      <w:r w:rsidR="00BE193B" w:rsidRPr="00A81C4C">
        <w:rPr>
          <w:rFonts w:ascii="Arial" w:eastAsia="Times New Roman" w:hAnsi="Arial" w:cs="Arial"/>
          <w:sz w:val="23"/>
          <w:szCs w:val="23"/>
          <w:lang w:eastAsia="es-ES"/>
        </w:rPr>
        <w:t>,</w:t>
      </w:r>
      <w:r w:rsidR="00D412F6" w:rsidRPr="00A81C4C">
        <w:rPr>
          <w:rFonts w:ascii="Arial" w:eastAsia="Times New Roman" w:hAnsi="Arial" w:cs="Arial"/>
          <w:sz w:val="23"/>
          <w:szCs w:val="23"/>
          <w:lang w:eastAsia="es-ES"/>
        </w:rPr>
        <w:t xml:space="preserve"> </w:t>
      </w:r>
      <w:r w:rsidR="00D412F6" w:rsidRPr="00A81C4C">
        <w:rPr>
          <w:rFonts w:ascii="Arial" w:hAnsi="Arial" w:cs="Arial"/>
          <w:sz w:val="23"/>
          <w:szCs w:val="23"/>
        </w:rPr>
        <w:t>con fundamento en lo dispuesto por los artículos</w:t>
      </w:r>
      <w:r w:rsidR="00AF2681" w:rsidRPr="00A81C4C">
        <w:rPr>
          <w:rFonts w:ascii="Arial" w:hAnsi="Arial" w:cs="Arial"/>
          <w:sz w:val="23"/>
          <w:szCs w:val="23"/>
        </w:rPr>
        <w:t xml:space="preserve"> 1° del Código Fiscal de la Federación; 150 de la </w:t>
      </w:r>
      <w:r w:rsidR="00E80107" w:rsidRPr="00A81C4C">
        <w:rPr>
          <w:rFonts w:ascii="Arial" w:hAnsi="Arial" w:cs="Arial"/>
          <w:sz w:val="23"/>
          <w:szCs w:val="23"/>
        </w:rPr>
        <w:t>Ley del Impuesto sobre la Renta;</w:t>
      </w:r>
      <w:r w:rsidR="00AF2681" w:rsidRPr="00A81C4C">
        <w:rPr>
          <w:rFonts w:ascii="Arial" w:hAnsi="Arial" w:cs="Arial"/>
          <w:sz w:val="23"/>
          <w:szCs w:val="23"/>
        </w:rPr>
        <w:t xml:space="preserve"> </w:t>
      </w:r>
      <w:r w:rsidR="00750887" w:rsidRPr="00A81C4C">
        <w:rPr>
          <w:rFonts w:ascii="Arial" w:hAnsi="Arial" w:cs="Arial"/>
          <w:sz w:val="23"/>
          <w:szCs w:val="23"/>
        </w:rPr>
        <w:t xml:space="preserve"> 4</w:t>
      </w:r>
      <w:r w:rsidR="00E80107" w:rsidRPr="00A81C4C">
        <w:rPr>
          <w:rFonts w:ascii="Arial" w:hAnsi="Arial" w:cs="Arial"/>
          <w:sz w:val="23"/>
          <w:szCs w:val="23"/>
        </w:rPr>
        <w:t>°</w:t>
      </w:r>
      <w:r w:rsidR="00750887" w:rsidRPr="00A81C4C">
        <w:rPr>
          <w:rFonts w:ascii="Arial" w:hAnsi="Arial" w:cs="Arial"/>
          <w:sz w:val="23"/>
          <w:szCs w:val="23"/>
        </w:rPr>
        <w:t xml:space="preserve"> de la Ley General de Instituciones y Procedimientos Electorales; </w:t>
      </w:r>
      <w:r w:rsidR="00AB7714" w:rsidRPr="00A81C4C">
        <w:rPr>
          <w:rFonts w:ascii="Arial" w:hAnsi="Arial" w:cs="Arial"/>
          <w:sz w:val="23"/>
          <w:szCs w:val="23"/>
        </w:rPr>
        <w:t xml:space="preserve">1°, 2°, 3°, 113, 114, 116 y 117 fracción III de la Ley Federal de Transparencia y Acceso a la Información Pública; </w:t>
      </w:r>
      <w:r w:rsidR="00750887" w:rsidRPr="00A81C4C">
        <w:rPr>
          <w:rFonts w:ascii="Arial" w:hAnsi="Arial" w:cs="Arial"/>
          <w:sz w:val="23"/>
          <w:szCs w:val="23"/>
        </w:rPr>
        <w:t>3</w:t>
      </w:r>
      <w:r w:rsidR="00AB7714" w:rsidRPr="00A81C4C">
        <w:rPr>
          <w:rFonts w:ascii="Arial" w:hAnsi="Arial" w:cs="Arial"/>
          <w:sz w:val="23"/>
          <w:szCs w:val="23"/>
        </w:rPr>
        <w:t>°</w:t>
      </w:r>
      <w:r w:rsidR="00750887" w:rsidRPr="00A81C4C">
        <w:rPr>
          <w:rFonts w:ascii="Arial" w:hAnsi="Arial" w:cs="Arial"/>
          <w:sz w:val="23"/>
          <w:szCs w:val="23"/>
        </w:rPr>
        <w:t xml:space="preserve">, </w:t>
      </w:r>
      <w:r w:rsidR="00D412F6" w:rsidRPr="00A81C4C">
        <w:rPr>
          <w:rFonts w:ascii="Arial" w:hAnsi="Arial" w:cs="Arial"/>
          <w:sz w:val="23"/>
          <w:szCs w:val="23"/>
        </w:rPr>
        <w:t>240, 274, del Código Electoral del Estado de Aguascalientes, así como 20, 32, fracción XVIII y 108, fracción II, inciso a) del Reglamento Interior del Tribunal Electoral del Estado de Aguascalientes</w:t>
      </w:r>
      <w:r w:rsidR="009C2F1D" w:rsidRPr="00A81C4C">
        <w:rPr>
          <w:rFonts w:ascii="Arial" w:hAnsi="Arial" w:cs="Arial"/>
          <w:sz w:val="23"/>
          <w:szCs w:val="23"/>
        </w:rPr>
        <w:t>,</w:t>
      </w:r>
      <w:r w:rsidR="00FA35B0" w:rsidRPr="00A81C4C">
        <w:rPr>
          <w:rFonts w:ascii="Arial" w:hAnsi="Arial" w:cs="Arial"/>
          <w:sz w:val="23"/>
          <w:szCs w:val="23"/>
        </w:rPr>
        <w:t xml:space="preserve"> </w:t>
      </w:r>
      <w:r w:rsidR="00275298" w:rsidRPr="00A81C4C">
        <w:rPr>
          <w:rFonts w:ascii="Arial" w:hAnsi="Arial" w:cs="Arial"/>
          <w:b/>
          <w:bCs/>
          <w:sz w:val="23"/>
          <w:szCs w:val="23"/>
        </w:rPr>
        <w:t>se acuerda:</w:t>
      </w:r>
    </w:p>
    <w:p w14:paraId="32F1089F" w14:textId="77777777" w:rsidR="00D156B1" w:rsidRPr="00A81C4C" w:rsidRDefault="00D156B1" w:rsidP="00D156B1">
      <w:pPr>
        <w:pStyle w:val="Sinespaciado"/>
        <w:rPr>
          <w:rFonts w:ascii="Arial" w:hAnsi="Arial" w:cs="Arial"/>
          <w:sz w:val="23"/>
          <w:szCs w:val="23"/>
        </w:rPr>
      </w:pPr>
    </w:p>
    <w:p w14:paraId="0BEDD697" w14:textId="01F984A2" w:rsidR="008654A6" w:rsidRPr="00A81C4C" w:rsidRDefault="00D156B1" w:rsidP="00D156B1">
      <w:pPr>
        <w:pStyle w:val="Prrafodelista"/>
        <w:tabs>
          <w:tab w:val="left" w:pos="709"/>
        </w:tabs>
        <w:spacing w:after="0" w:line="360" w:lineRule="auto"/>
        <w:ind w:left="0"/>
        <w:jc w:val="both"/>
        <w:rPr>
          <w:rFonts w:ascii="Arial" w:hAnsi="Arial" w:cs="Arial"/>
          <w:sz w:val="23"/>
          <w:szCs w:val="23"/>
        </w:rPr>
      </w:pPr>
      <w:r w:rsidRPr="00A81C4C">
        <w:rPr>
          <w:rFonts w:ascii="Arial" w:hAnsi="Arial" w:cs="Arial"/>
          <w:b/>
          <w:bCs/>
          <w:sz w:val="23"/>
          <w:szCs w:val="23"/>
        </w:rPr>
        <w:tab/>
      </w:r>
      <w:r w:rsidR="005733ED" w:rsidRPr="00A81C4C">
        <w:rPr>
          <w:rFonts w:ascii="Arial" w:hAnsi="Arial" w:cs="Arial"/>
          <w:b/>
          <w:bCs/>
          <w:sz w:val="23"/>
          <w:szCs w:val="23"/>
        </w:rPr>
        <w:t xml:space="preserve">Único. Se solicita auxilio. </w:t>
      </w:r>
      <w:r w:rsidR="00A81C4C" w:rsidRPr="00A81C4C">
        <w:rPr>
          <w:rFonts w:ascii="Arial" w:eastAsia="Arial" w:hAnsi="Arial" w:cs="Arial"/>
          <w:color w:val="000000"/>
          <w:sz w:val="23"/>
          <w:szCs w:val="23"/>
        </w:rPr>
        <w:t>Ante la posible determinación de existencia de los hechos denunciados en el procedimiento sancionador de mérito y, en su caso, la interposición de una sanción económica a la posible infractora</w:t>
      </w:r>
      <w:r w:rsidR="00A81C4C" w:rsidRPr="00A81C4C">
        <w:rPr>
          <w:rFonts w:ascii="Arial" w:eastAsia="Arial" w:hAnsi="Arial" w:cs="Arial"/>
          <w:sz w:val="23"/>
          <w:szCs w:val="23"/>
        </w:rPr>
        <w:t xml:space="preserve">, se advierte que, </w:t>
      </w:r>
      <w:r w:rsidR="00A81C4C" w:rsidRPr="00A81C4C">
        <w:rPr>
          <w:rFonts w:ascii="Arial" w:eastAsia="Arial" w:hAnsi="Arial" w:cs="Arial"/>
          <w:color w:val="000000"/>
          <w:sz w:val="23"/>
          <w:szCs w:val="23"/>
        </w:rPr>
        <w:t>del expediente no se desprenden los datos que permitan determinar la capacidad económica de</w:t>
      </w:r>
      <w:r w:rsidR="00A81C4C" w:rsidRPr="00A81C4C">
        <w:rPr>
          <w:rFonts w:ascii="Arial" w:eastAsia="Arial" w:hAnsi="Arial" w:cs="Arial"/>
          <w:sz w:val="23"/>
          <w:szCs w:val="23"/>
        </w:rPr>
        <w:t xml:space="preserve"> la ciudadana Martha Cecilia Márquez Alvarado como parte denunciada en el procedimiento sancionador indicado </w:t>
      </w:r>
      <w:r w:rsidR="00012C88">
        <w:rPr>
          <w:rFonts w:ascii="Arial" w:eastAsia="Arial" w:hAnsi="Arial" w:cs="Arial"/>
          <w:sz w:val="23"/>
          <w:szCs w:val="23"/>
        </w:rPr>
        <w:t>al rubro</w:t>
      </w:r>
      <w:r w:rsidR="008654A6" w:rsidRPr="00A81C4C">
        <w:rPr>
          <w:rFonts w:ascii="Arial" w:hAnsi="Arial" w:cs="Arial"/>
          <w:sz w:val="23"/>
          <w:szCs w:val="23"/>
        </w:rPr>
        <w:t>.</w:t>
      </w:r>
      <w:r w:rsidR="005733ED" w:rsidRPr="00A81C4C">
        <w:rPr>
          <w:rFonts w:ascii="Arial" w:hAnsi="Arial" w:cs="Arial"/>
          <w:sz w:val="23"/>
          <w:szCs w:val="23"/>
        </w:rPr>
        <w:t xml:space="preserve"> </w:t>
      </w:r>
    </w:p>
    <w:p w14:paraId="547B348A" w14:textId="77777777" w:rsidR="008654A6" w:rsidRPr="00A81C4C" w:rsidRDefault="008654A6" w:rsidP="008654A6">
      <w:pPr>
        <w:pStyle w:val="Sinespaciado"/>
        <w:rPr>
          <w:rFonts w:ascii="Arial" w:hAnsi="Arial" w:cs="Arial"/>
          <w:sz w:val="23"/>
          <w:szCs w:val="23"/>
        </w:rPr>
      </w:pPr>
    </w:p>
    <w:p w14:paraId="725346B8" w14:textId="3FB34C2E" w:rsidR="00F379CE" w:rsidRPr="00A81C4C" w:rsidRDefault="00D156B1" w:rsidP="008654A6">
      <w:pPr>
        <w:pStyle w:val="Prrafodelista"/>
        <w:tabs>
          <w:tab w:val="left" w:pos="567"/>
        </w:tabs>
        <w:spacing w:after="0" w:line="360" w:lineRule="auto"/>
        <w:ind w:left="0"/>
        <w:jc w:val="both"/>
        <w:rPr>
          <w:rFonts w:ascii="Arial" w:hAnsi="Arial" w:cs="Arial"/>
          <w:sz w:val="23"/>
          <w:szCs w:val="23"/>
        </w:rPr>
      </w:pPr>
      <w:r w:rsidRPr="00A81C4C">
        <w:rPr>
          <w:rFonts w:ascii="Arial" w:hAnsi="Arial" w:cs="Arial"/>
          <w:sz w:val="23"/>
          <w:szCs w:val="23"/>
        </w:rPr>
        <w:t>Por ello, e</w:t>
      </w:r>
      <w:r w:rsidR="008654A6" w:rsidRPr="00A81C4C">
        <w:rPr>
          <w:rFonts w:ascii="Arial" w:hAnsi="Arial" w:cs="Arial"/>
          <w:sz w:val="23"/>
          <w:szCs w:val="23"/>
        </w:rPr>
        <w:t xml:space="preserve">sta ponencia considera necesario </w:t>
      </w:r>
      <w:r w:rsidR="008654A6" w:rsidRPr="00A81C4C">
        <w:rPr>
          <w:rFonts w:ascii="Arial" w:hAnsi="Arial" w:cs="Arial"/>
          <w:b/>
          <w:bCs/>
          <w:sz w:val="23"/>
          <w:szCs w:val="23"/>
        </w:rPr>
        <w:t>solicitar</w:t>
      </w:r>
      <w:r w:rsidR="00D26994" w:rsidRPr="00A81C4C">
        <w:rPr>
          <w:rFonts w:ascii="Arial" w:hAnsi="Arial" w:cs="Arial"/>
          <w:b/>
          <w:bCs/>
          <w:sz w:val="23"/>
          <w:szCs w:val="23"/>
        </w:rPr>
        <w:t xml:space="preserve"> </w:t>
      </w:r>
      <w:r w:rsidR="008919F7" w:rsidRPr="00A81C4C">
        <w:rPr>
          <w:rFonts w:ascii="Arial" w:hAnsi="Arial" w:cs="Arial"/>
          <w:b/>
          <w:bCs/>
          <w:sz w:val="23"/>
          <w:szCs w:val="23"/>
        </w:rPr>
        <w:t>auxilio</w:t>
      </w:r>
      <w:r w:rsidR="00D412F6" w:rsidRPr="00A81C4C">
        <w:rPr>
          <w:rFonts w:ascii="Arial" w:hAnsi="Arial" w:cs="Arial"/>
          <w:sz w:val="23"/>
          <w:szCs w:val="23"/>
        </w:rPr>
        <w:t xml:space="preserve"> </w:t>
      </w:r>
      <w:r w:rsidR="00A81C4C" w:rsidRPr="00A81C4C">
        <w:rPr>
          <w:rFonts w:ascii="Arial" w:hAnsi="Arial" w:cs="Arial"/>
          <w:sz w:val="23"/>
          <w:szCs w:val="23"/>
        </w:rPr>
        <w:t xml:space="preserve">a </w:t>
      </w:r>
      <w:r w:rsidR="00275298" w:rsidRPr="00A81C4C">
        <w:rPr>
          <w:rFonts w:ascii="Arial" w:hAnsi="Arial" w:cs="Arial"/>
          <w:sz w:val="23"/>
          <w:szCs w:val="23"/>
        </w:rPr>
        <w:t>la</w:t>
      </w:r>
      <w:r w:rsidR="00961FA6" w:rsidRPr="00961FA6">
        <w:t xml:space="preserve"> </w:t>
      </w:r>
      <w:r w:rsidR="00961FA6" w:rsidRPr="00961FA6">
        <w:rPr>
          <w:rFonts w:ascii="Arial" w:hAnsi="Arial" w:cs="Arial"/>
          <w:b/>
          <w:bCs/>
          <w:sz w:val="23"/>
          <w:szCs w:val="23"/>
        </w:rPr>
        <w:t>Coordinación de Prerrogativas y Partidos Políticos del Instituto Estatal Electoral de Aguascalientes</w:t>
      </w:r>
      <w:r w:rsidR="00D412F6" w:rsidRPr="00A81C4C">
        <w:rPr>
          <w:rFonts w:ascii="Arial" w:hAnsi="Arial" w:cs="Arial"/>
          <w:sz w:val="23"/>
          <w:szCs w:val="23"/>
        </w:rPr>
        <w:t xml:space="preserve">, para que dentro de un plazo de </w:t>
      </w:r>
      <w:r w:rsidR="00A81C4C" w:rsidRPr="00A81C4C">
        <w:rPr>
          <w:rFonts w:ascii="Arial" w:hAnsi="Arial" w:cs="Arial"/>
          <w:b/>
          <w:bCs/>
          <w:sz w:val="23"/>
          <w:szCs w:val="23"/>
        </w:rPr>
        <w:t>veinticuatro</w:t>
      </w:r>
      <w:r w:rsidR="00D412F6" w:rsidRPr="00A81C4C">
        <w:rPr>
          <w:rFonts w:ascii="Arial" w:hAnsi="Arial" w:cs="Arial"/>
          <w:b/>
          <w:bCs/>
          <w:sz w:val="23"/>
          <w:szCs w:val="23"/>
        </w:rPr>
        <w:t xml:space="preserve"> horas</w:t>
      </w:r>
      <w:r w:rsidR="00D412F6" w:rsidRPr="00A81C4C">
        <w:rPr>
          <w:rFonts w:ascii="Arial" w:hAnsi="Arial" w:cs="Arial"/>
          <w:sz w:val="23"/>
          <w:szCs w:val="23"/>
        </w:rPr>
        <w:t>,</w:t>
      </w:r>
      <w:r w:rsidR="00012C88" w:rsidRPr="00012C88">
        <w:rPr>
          <w:rStyle w:val="Refdenotaalpie"/>
          <w:rFonts w:ascii="Arial" w:hAnsi="Arial" w:cs="Arial"/>
          <w:b/>
          <w:bCs/>
          <w:sz w:val="23"/>
          <w:szCs w:val="23"/>
        </w:rPr>
        <w:t xml:space="preserve"> </w:t>
      </w:r>
      <w:r w:rsidR="00462FE9" w:rsidRPr="00A81C4C">
        <w:rPr>
          <w:rFonts w:ascii="Arial" w:hAnsi="Arial" w:cs="Arial"/>
          <w:sz w:val="23"/>
          <w:szCs w:val="23"/>
        </w:rPr>
        <w:t>contadas a partir de que se le notifique</w:t>
      </w:r>
      <w:r w:rsidR="00A81C4C" w:rsidRPr="00A81C4C">
        <w:rPr>
          <w:rFonts w:ascii="Arial" w:hAnsi="Arial" w:cs="Arial"/>
          <w:sz w:val="23"/>
          <w:szCs w:val="23"/>
        </w:rPr>
        <w:t xml:space="preserve"> </w:t>
      </w:r>
      <w:r w:rsidR="00462FE9" w:rsidRPr="00A81C4C">
        <w:rPr>
          <w:rFonts w:ascii="Arial" w:hAnsi="Arial" w:cs="Arial"/>
          <w:sz w:val="23"/>
          <w:szCs w:val="23"/>
        </w:rPr>
        <w:t>el presente acuerd</w:t>
      </w:r>
      <w:r w:rsidR="005C3041" w:rsidRPr="00A81C4C">
        <w:rPr>
          <w:rFonts w:ascii="Arial" w:hAnsi="Arial" w:cs="Arial"/>
          <w:sz w:val="23"/>
          <w:szCs w:val="23"/>
        </w:rPr>
        <w:t xml:space="preserve">o, </w:t>
      </w:r>
      <w:r w:rsidR="00C465DD" w:rsidRPr="00A81C4C">
        <w:rPr>
          <w:rFonts w:ascii="Arial" w:hAnsi="Arial" w:cs="Arial"/>
          <w:sz w:val="23"/>
          <w:szCs w:val="23"/>
        </w:rPr>
        <w:t xml:space="preserve">remita </w:t>
      </w:r>
      <w:r w:rsidR="00F379CE" w:rsidRPr="00A81C4C">
        <w:rPr>
          <w:rFonts w:ascii="Arial" w:hAnsi="Arial" w:cs="Arial"/>
          <w:sz w:val="23"/>
          <w:szCs w:val="23"/>
        </w:rPr>
        <w:t xml:space="preserve">a </w:t>
      </w:r>
      <w:r w:rsidR="00C465DD" w:rsidRPr="00A81C4C">
        <w:rPr>
          <w:rFonts w:ascii="Arial" w:hAnsi="Arial" w:cs="Arial"/>
          <w:sz w:val="23"/>
          <w:szCs w:val="23"/>
        </w:rPr>
        <w:t>este Tribunal Electoral</w:t>
      </w:r>
      <w:r w:rsidR="00D412F6" w:rsidRPr="00A81C4C">
        <w:rPr>
          <w:rFonts w:ascii="Arial" w:hAnsi="Arial" w:cs="Arial"/>
          <w:sz w:val="23"/>
          <w:szCs w:val="23"/>
        </w:rPr>
        <w:t xml:space="preserve"> </w:t>
      </w:r>
      <w:r w:rsidR="005733ED" w:rsidRPr="00A81C4C">
        <w:rPr>
          <w:rFonts w:ascii="Arial" w:hAnsi="Arial" w:cs="Arial"/>
          <w:b/>
          <w:bCs/>
          <w:sz w:val="23"/>
          <w:szCs w:val="23"/>
        </w:rPr>
        <w:t>el informe de capacidad económica</w:t>
      </w:r>
      <w:r w:rsidRPr="00A81C4C">
        <w:rPr>
          <w:rFonts w:ascii="Arial" w:hAnsi="Arial" w:cs="Arial"/>
          <w:b/>
          <w:bCs/>
          <w:sz w:val="23"/>
          <w:szCs w:val="23"/>
        </w:rPr>
        <w:t xml:space="preserve"> </w:t>
      </w:r>
      <w:r w:rsidRPr="00A81C4C">
        <w:rPr>
          <w:rFonts w:ascii="Arial" w:hAnsi="Arial" w:cs="Arial"/>
          <w:sz w:val="23"/>
          <w:szCs w:val="23"/>
        </w:rPr>
        <w:t xml:space="preserve">(declaración patrimonial presentada a través del SNR) </w:t>
      </w:r>
      <w:r w:rsidR="005733ED" w:rsidRPr="00A81C4C">
        <w:rPr>
          <w:rFonts w:ascii="Arial" w:hAnsi="Arial" w:cs="Arial"/>
          <w:sz w:val="23"/>
          <w:szCs w:val="23"/>
        </w:rPr>
        <w:t>de la ciudadana</w:t>
      </w:r>
      <w:r w:rsidR="005733ED" w:rsidRPr="00A81C4C">
        <w:rPr>
          <w:rFonts w:ascii="Arial" w:hAnsi="Arial" w:cs="Arial"/>
          <w:b/>
          <w:bCs/>
          <w:sz w:val="23"/>
          <w:szCs w:val="23"/>
        </w:rPr>
        <w:t xml:space="preserve"> </w:t>
      </w:r>
      <w:r w:rsidR="00A81C4C" w:rsidRPr="00A81C4C">
        <w:rPr>
          <w:rFonts w:ascii="Arial" w:hAnsi="Arial" w:cs="Arial"/>
          <w:b/>
          <w:bCs/>
          <w:sz w:val="23"/>
          <w:szCs w:val="23"/>
        </w:rPr>
        <w:t xml:space="preserve">Martha Cecilia </w:t>
      </w:r>
      <w:r w:rsidR="00A81C4C" w:rsidRPr="00A81C4C">
        <w:rPr>
          <w:rFonts w:ascii="Arial" w:hAnsi="Arial" w:cs="Arial"/>
          <w:b/>
          <w:bCs/>
          <w:sz w:val="23"/>
          <w:szCs w:val="23"/>
        </w:rPr>
        <w:lastRenderedPageBreak/>
        <w:t>Márquez Alvarado, candidata de Morena a la presidencia municipal de Aguascalientes,</w:t>
      </w:r>
      <w:r w:rsidR="00CE588D" w:rsidRPr="00A81C4C">
        <w:rPr>
          <w:rFonts w:ascii="Arial" w:hAnsi="Arial" w:cs="Arial"/>
          <w:b/>
          <w:bCs/>
          <w:sz w:val="23"/>
          <w:szCs w:val="23"/>
        </w:rPr>
        <w:t xml:space="preserve"> </w:t>
      </w:r>
      <w:r w:rsidR="00D412F6" w:rsidRPr="00A81C4C">
        <w:rPr>
          <w:rFonts w:ascii="Arial" w:hAnsi="Arial" w:cs="Arial"/>
          <w:sz w:val="23"/>
          <w:szCs w:val="23"/>
        </w:rPr>
        <w:t>ya que tal información</w:t>
      </w:r>
      <w:r w:rsidR="00C465DD" w:rsidRPr="00A81C4C">
        <w:rPr>
          <w:rFonts w:ascii="Arial" w:hAnsi="Arial" w:cs="Arial"/>
          <w:sz w:val="23"/>
          <w:szCs w:val="23"/>
        </w:rPr>
        <w:t xml:space="preserve"> </w:t>
      </w:r>
      <w:r w:rsidR="00F7152F" w:rsidRPr="00A81C4C">
        <w:rPr>
          <w:rFonts w:ascii="Arial" w:hAnsi="Arial" w:cs="Arial"/>
          <w:sz w:val="23"/>
          <w:szCs w:val="23"/>
        </w:rPr>
        <w:t>es</w:t>
      </w:r>
      <w:r w:rsidR="00D412F6" w:rsidRPr="00A81C4C">
        <w:rPr>
          <w:rFonts w:ascii="Arial" w:hAnsi="Arial" w:cs="Arial"/>
          <w:sz w:val="23"/>
          <w:szCs w:val="23"/>
        </w:rPr>
        <w:t xml:space="preserve"> necesaria para el dictado de la resolución </w:t>
      </w:r>
      <w:r w:rsidR="00F379CE" w:rsidRPr="00A81C4C">
        <w:rPr>
          <w:rFonts w:ascii="Arial" w:hAnsi="Arial" w:cs="Arial"/>
          <w:sz w:val="23"/>
          <w:szCs w:val="23"/>
        </w:rPr>
        <w:t>correspondiente</w:t>
      </w:r>
      <w:r w:rsidR="00F7152F" w:rsidRPr="00A81C4C">
        <w:rPr>
          <w:rFonts w:ascii="Arial" w:hAnsi="Arial" w:cs="Arial"/>
          <w:sz w:val="23"/>
          <w:szCs w:val="23"/>
        </w:rPr>
        <w:t xml:space="preserve">. </w:t>
      </w:r>
      <w:r w:rsidR="005733ED" w:rsidRPr="00A81C4C">
        <w:rPr>
          <w:rFonts w:ascii="Arial" w:hAnsi="Arial" w:cs="Arial"/>
          <w:sz w:val="23"/>
          <w:szCs w:val="23"/>
        </w:rPr>
        <w:t xml:space="preserve"> </w:t>
      </w:r>
    </w:p>
    <w:p w14:paraId="77B1B8AF" w14:textId="78071BF7" w:rsidR="008654A6" w:rsidRPr="00A81C4C" w:rsidRDefault="008654A6" w:rsidP="008654A6">
      <w:pPr>
        <w:pStyle w:val="Sinespaciado"/>
        <w:rPr>
          <w:rFonts w:ascii="Arial" w:hAnsi="Arial" w:cs="Arial"/>
          <w:sz w:val="23"/>
          <w:szCs w:val="23"/>
        </w:rPr>
      </w:pPr>
    </w:p>
    <w:p w14:paraId="43C8BF74" w14:textId="68E6CED5" w:rsidR="008654A6" w:rsidRPr="00A81C4C" w:rsidRDefault="008654A6" w:rsidP="00D26994">
      <w:pPr>
        <w:tabs>
          <w:tab w:val="left" w:pos="567"/>
        </w:tabs>
        <w:spacing w:after="0" w:line="360" w:lineRule="auto"/>
        <w:jc w:val="both"/>
        <w:rPr>
          <w:rFonts w:ascii="Arial" w:hAnsi="Arial" w:cs="Arial"/>
          <w:b/>
          <w:bCs/>
          <w:sz w:val="23"/>
          <w:szCs w:val="23"/>
        </w:rPr>
      </w:pPr>
      <w:r w:rsidRPr="00A81C4C">
        <w:rPr>
          <w:rFonts w:ascii="Arial" w:hAnsi="Arial" w:cs="Arial"/>
          <w:sz w:val="23"/>
          <w:szCs w:val="23"/>
        </w:rPr>
        <w:t xml:space="preserve">Lo anterior, en atención a que del artículo </w:t>
      </w:r>
      <w:r w:rsidR="00012C88">
        <w:rPr>
          <w:rFonts w:ascii="Arial" w:hAnsi="Arial" w:cs="Arial"/>
          <w:sz w:val="23"/>
          <w:szCs w:val="23"/>
        </w:rPr>
        <w:t xml:space="preserve">267 y </w:t>
      </w:r>
      <w:r w:rsidRPr="00A81C4C">
        <w:rPr>
          <w:rFonts w:ascii="Arial" w:hAnsi="Arial" w:cs="Arial"/>
          <w:sz w:val="23"/>
          <w:szCs w:val="23"/>
        </w:rPr>
        <w:t xml:space="preserve">270, del Reglamento de Elecciones, en relación al Acuerdo CF/005/2019, ambos del INE, se observa que uno de los requisitos que deben aportar las </w:t>
      </w:r>
      <w:r w:rsidR="00A81C4C" w:rsidRPr="00A81C4C">
        <w:rPr>
          <w:rFonts w:ascii="Arial" w:hAnsi="Arial" w:cs="Arial"/>
          <w:sz w:val="23"/>
          <w:szCs w:val="23"/>
        </w:rPr>
        <w:t>candidaturas</w:t>
      </w:r>
      <w:r w:rsidRPr="00A81C4C">
        <w:rPr>
          <w:rFonts w:ascii="Arial" w:hAnsi="Arial" w:cs="Arial"/>
          <w:sz w:val="23"/>
          <w:szCs w:val="23"/>
        </w:rPr>
        <w:t xml:space="preserve"> al momento de realizar su registro en el Sistema Nacional de Registro de Precandidatos y Candidatos (SNR), lo es su </w:t>
      </w:r>
      <w:r w:rsidRPr="00A81C4C">
        <w:rPr>
          <w:rFonts w:ascii="Arial" w:hAnsi="Arial" w:cs="Arial"/>
          <w:b/>
          <w:bCs/>
          <w:sz w:val="23"/>
          <w:szCs w:val="23"/>
        </w:rPr>
        <w:t xml:space="preserve">informe de capacidad económica, </w:t>
      </w:r>
      <w:r w:rsidRPr="00A81C4C">
        <w:rPr>
          <w:rFonts w:ascii="Arial" w:hAnsi="Arial" w:cs="Arial"/>
          <w:sz w:val="23"/>
          <w:szCs w:val="23"/>
        </w:rPr>
        <w:t xml:space="preserve">siendo que </w:t>
      </w:r>
      <w:r w:rsidR="00012C88">
        <w:rPr>
          <w:rFonts w:ascii="Arial" w:hAnsi="Arial" w:cs="Arial"/>
          <w:sz w:val="23"/>
          <w:szCs w:val="23"/>
        </w:rPr>
        <w:t>dicha información aportada se encuentra a disposición de la</w:t>
      </w:r>
      <w:r w:rsidR="00552DD9">
        <w:rPr>
          <w:rFonts w:ascii="Arial" w:hAnsi="Arial" w:cs="Arial"/>
          <w:b/>
          <w:bCs/>
          <w:sz w:val="23"/>
          <w:szCs w:val="23"/>
        </w:rPr>
        <w:t xml:space="preserve"> </w:t>
      </w:r>
      <w:r w:rsidR="00552DD9" w:rsidRPr="00961FA6">
        <w:rPr>
          <w:rFonts w:ascii="Arial" w:hAnsi="Arial" w:cs="Arial"/>
          <w:b/>
          <w:bCs/>
          <w:sz w:val="23"/>
          <w:szCs w:val="23"/>
        </w:rPr>
        <w:t>Coordinación de Prerrogativas y Partidos Políticos del Instituto Estatal Electoral de Aguascalientes</w:t>
      </w:r>
    </w:p>
    <w:p w14:paraId="755ACA5D" w14:textId="77777777" w:rsidR="00F379CE" w:rsidRPr="00A81C4C" w:rsidRDefault="00F379CE" w:rsidP="005733ED">
      <w:pPr>
        <w:pStyle w:val="Sinespaciado"/>
        <w:rPr>
          <w:rFonts w:ascii="Arial" w:hAnsi="Arial" w:cs="Arial"/>
          <w:sz w:val="23"/>
          <w:szCs w:val="23"/>
        </w:rPr>
      </w:pPr>
    </w:p>
    <w:p w14:paraId="316C0FCC" w14:textId="41B19B2D" w:rsidR="00D156B1" w:rsidRPr="00A81C4C" w:rsidRDefault="00D156B1" w:rsidP="00A81C4C">
      <w:pPr>
        <w:pStyle w:val="Prrafodelista"/>
        <w:spacing w:after="0" w:line="360" w:lineRule="auto"/>
        <w:ind w:left="0"/>
        <w:jc w:val="both"/>
        <w:rPr>
          <w:rFonts w:ascii="Arial" w:hAnsi="Arial" w:cs="Arial"/>
          <w:sz w:val="23"/>
          <w:szCs w:val="23"/>
        </w:rPr>
      </w:pPr>
      <w:r w:rsidRPr="00A81C4C">
        <w:rPr>
          <w:rFonts w:ascii="Arial" w:hAnsi="Arial" w:cs="Arial"/>
          <w:bCs/>
          <w:sz w:val="23"/>
          <w:szCs w:val="23"/>
        </w:rPr>
        <w:t>Asimismo, este órgano jurisdiccional tiene presente que</w:t>
      </w:r>
      <w:r w:rsidR="00F379CE" w:rsidRPr="00A81C4C">
        <w:rPr>
          <w:rFonts w:ascii="Arial" w:hAnsi="Arial" w:cs="Arial"/>
          <w:bCs/>
          <w:sz w:val="23"/>
          <w:szCs w:val="23"/>
        </w:rPr>
        <w:t>, de acuerdo a</w:t>
      </w:r>
      <w:r w:rsidR="00275298" w:rsidRPr="00A81C4C">
        <w:rPr>
          <w:rFonts w:ascii="Arial" w:hAnsi="Arial" w:cs="Arial"/>
          <w:sz w:val="23"/>
          <w:szCs w:val="23"/>
        </w:rPr>
        <w:t xml:space="preserve"> lo establecido en los artículos 31 y 67 de la Ley General de Protección de Datos Personales en Posesión de Sujetos Obligados, la información de</w:t>
      </w:r>
      <w:r w:rsidR="005733ED" w:rsidRPr="00A81C4C">
        <w:rPr>
          <w:rFonts w:ascii="Arial" w:hAnsi="Arial" w:cs="Arial"/>
          <w:sz w:val="23"/>
          <w:szCs w:val="23"/>
        </w:rPr>
        <w:t xml:space="preserve"> </w:t>
      </w:r>
      <w:r w:rsidR="00275298" w:rsidRPr="00A81C4C">
        <w:rPr>
          <w:rFonts w:ascii="Arial" w:hAnsi="Arial" w:cs="Arial"/>
          <w:sz w:val="23"/>
          <w:szCs w:val="23"/>
        </w:rPr>
        <w:t>l</w:t>
      </w:r>
      <w:r w:rsidR="005733ED" w:rsidRPr="00A81C4C">
        <w:rPr>
          <w:rFonts w:ascii="Arial" w:hAnsi="Arial" w:cs="Arial"/>
          <w:sz w:val="23"/>
          <w:szCs w:val="23"/>
        </w:rPr>
        <w:t>a</w:t>
      </w:r>
      <w:r w:rsidR="00275298" w:rsidRPr="00A81C4C">
        <w:rPr>
          <w:rFonts w:ascii="Arial" w:hAnsi="Arial" w:cs="Arial"/>
          <w:b/>
          <w:bCs/>
          <w:sz w:val="23"/>
          <w:szCs w:val="23"/>
        </w:rPr>
        <w:t xml:space="preserve"> </w:t>
      </w:r>
      <w:r w:rsidR="005733ED" w:rsidRPr="00A81C4C">
        <w:rPr>
          <w:rFonts w:ascii="Arial" w:hAnsi="Arial" w:cs="Arial"/>
          <w:sz w:val="23"/>
          <w:szCs w:val="23"/>
        </w:rPr>
        <w:t>ciudadana</w:t>
      </w:r>
      <w:r w:rsidR="005733ED" w:rsidRPr="00A81C4C">
        <w:rPr>
          <w:rFonts w:ascii="Arial" w:hAnsi="Arial" w:cs="Arial"/>
          <w:b/>
          <w:bCs/>
          <w:sz w:val="23"/>
          <w:szCs w:val="23"/>
        </w:rPr>
        <w:t xml:space="preserve"> </w:t>
      </w:r>
      <w:r w:rsidR="00A81C4C" w:rsidRPr="00A81C4C">
        <w:rPr>
          <w:rFonts w:ascii="Arial" w:hAnsi="Arial" w:cs="Arial"/>
          <w:b/>
          <w:bCs/>
          <w:sz w:val="23"/>
          <w:szCs w:val="23"/>
        </w:rPr>
        <w:t>Martha Cecilia Márquez Alvarado</w:t>
      </w:r>
      <w:r w:rsidR="00275298" w:rsidRPr="00A81C4C">
        <w:rPr>
          <w:rFonts w:ascii="Arial" w:hAnsi="Arial" w:cs="Arial"/>
          <w:b/>
          <w:bCs/>
          <w:sz w:val="23"/>
          <w:szCs w:val="23"/>
        </w:rPr>
        <w:t xml:space="preserve">, </w:t>
      </w:r>
      <w:r w:rsidR="00275298" w:rsidRPr="00A81C4C">
        <w:rPr>
          <w:rFonts w:ascii="Arial" w:hAnsi="Arial" w:cs="Arial"/>
          <w:sz w:val="23"/>
          <w:szCs w:val="23"/>
        </w:rPr>
        <w:t>remitida a este Tribunal será resguardada en sobre cerrado, sellado y rubricado en los autos del expediente y será de uso exclusivo para dictar la resolución ordenada dentro del Procedimiento Especial Sancionador TEEA-PES-</w:t>
      </w:r>
      <w:r w:rsidR="00A81C4C" w:rsidRPr="00A81C4C">
        <w:rPr>
          <w:rFonts w:ascii="Arial" w:hAnsi="Arial" w:cs="Arial"/>
          <w:sz w:val="23"/>
          <w:szCs w:val="23"/>
        </w:rPr>
        <w:t>002/2024</w:t>
      </w:r>
      <w:r w:rsidR="00275298" w:rsidRPr="00A81C4C">
        <w:rPr>
          <w:rFonts w:ascii="Arial" w:hAnsi="Arial" w:cs="Arial"/>
          <w:sz w:val="23"/>
          <w:szCs w:val="23"/>
        </w:rPr>
        <w:t xml:space="preserve">, por lo que se dará el tratamiento adecuado para la protección de </w:t>
      </w:r>
      <w:r w:rsidR="00A81C4C" w:rsidRPr="00A81C4C">
        <w:rPr>
          <w:rFonts w:ascii="Arial" w:hAnsi="Arial" w:cs="Arial"/>
          <w:sz w:val="23"/>
          <w:szCs w:val="23"/>
        </w:rPr>
        <w:t>sus</w:t>
      </w:r>
      <w:r w:rsidR="00275298" w:rsidRPr="00A81C4C">
        <w:rPr>
          <w:rFonts w:ascii="Arial" w:hAnsi="Arial" w:cs="Arial"/>
          <w:sz w:val="23"/>
          <w:szCs w:val="23"/>
        </w:rPr>
        <w:t xml:space="preserve"> Datos Personales</w:t>
      </w:r>
      <w:r w:rsidR="00F379CE" w:rsidRPr="00A81C4C">
        <w:rPr>
          <w:rFonts w:ascii="Arial" w:hAnsi="Arial" w:cs="Arial"/>
          <w:sz w:val="23"/>
          <w:szCs w:val="23"/>
        </w:rPr>
        <w:t>.</w:t>
      </w:r>
    </w:p>
    <w:p w14:paraId="41246984" w14:textId="77777777" w:rsidR="00D156B1" w:rsidRPr="00A81C4C" w:rsidRDefault="00D156B1" w:rsidP="00A81C4C">
      <w:pPr>
        <w:pStyle w:val="Sinespaciado"/>
        <w:spacing w:line="360" w:lineRule="auto"/>
        <w:rPr>
          <w:rFonts w:ascii="Arial" w:hAnsi="Arial" w:cs="Arial"/>
          <w:sz w:val="23"/>
          <w:szCs w:val="23"/>
        </w:rPr>
      </w:pPr>
    </w:p>
    <w:p w14:paraId="22C5E5CC" w14:textId="77D12887" w:rsidR="00A81C4C" w:rsidRDefault="00A81C4C" w:rsidP="00642748">
      <w:pPr>
        <w:pStyle w:val="Sinespaciado"/>
        <w:spacing w:line="360" w:lineRule="auto"/>
        <w:jc w:val="both"/>
        <w:rPr>
          <w:rFonts w:ascii="Arial" w:eastAsia="Arial" w:hAnsi="Arial" w:cs="Arial"/>
          <w:sz w:val="23"/>
          <w:szCs w:val="23"/>
        </w:rPr>
      </w:pPr>
      <w:r w:rsidRPr="00A81C4C">
        <w:rPr>
          <w:rFonts w:ascii="Arial" w:eastAsia="Arial" w:hAnsi="Arial" w:cs="Arial"/>
          <w:sz w:val="23"/>
          <w:szCs w:val="23"/>
        </w:rPr>
        <w:t xml:space="preserve">Por lo expuesto, se requiere para que, dentro del plazo concedido, lleve a cabo lo ordenado en el presente requerimiento y, posteriormente, informe a este órgano jurisdiccional de </w:t>
      </w:r>
      <w:r w:rsidRPr="00A81C4C">
        <w:rPr>
          <w:rFonts w:ascii="Arial" w:eastAsia="Arial" w:hAnsi="Arial" w:cs="Arial"/>
          <w:b/>
          <w:sz w:val="23"/>
          <w:szCs w:val="23"/>
          <w:u w:val="single"/>
        </w:rPr>
        <w:t>manera inmediata</w:t>
      </w:r>
      <w:r w:rsidRPr="00A81C4C">
        <w:rPr>
          <w:rFonts w:ascii="Arial" w:eastAsia="Arial" w:hAnsi="Arial" w:cs="Arial"/>
          <w:sz w:val="23"/>
          <w:szCs w:val="23"/>
        </w:rPr>
        <w:t xml:space="preserve"> su </w:t>
      </w:r>
      <w:r w:rsidR="00961FA6" w:rsidRPr="00A81C4C">
        <w:rPr>
          <w:rFonts w:ascii="Arial" w:eastAsia="Arial" w:hAnsi="Arial" w:cs="Arial"/>
          <w:sz w:val="23"/>
          <w:szCs w:val="23"/>
        </w:rPr>
        <w:t xml:space="preserve">cumplimiento </w:t>
      </w:r>
      <w:r w:rsidR="00961FA6">
        <w:rPr>
          <w:rFonts w:ascii="Arial" w:eastAsia="Arial" w:hAnsi="Arial" w:cs="Arial"/>
          <w:sz w:val="23"/>
          <w:szCs w:val="23"/>
        </w:rPr>
        <w:t xml:space="preserve">de manera </w:t>
      </w:r>
      <w:r w:rsidRPr="00A81C4C">
        <w:rPr>
          <w:rFonts w:ascii="Arial" w:eastAsia="Arial" w:hAnsi="Arial" w:cs="Arial"/>
          <w:sz w:val="23"/>
          <w:szCs w:val="23"/>
        </w:rPr>
        <w:t>físic</w:t>
      </w:r>
      <w:r w:rsidR="00961FA6">
        <w:rPr>
          <w:rFonts w:ascii="Arial" w:eastAsia="Arial" w:hAnsi="Arial" w:cs="Arial"/>
          <w:sz w:val="23"/>
          <w:szCs w:val="23"/>
        </w:rPr>
        <w:t xml:space="preserve">a. </w:t>
      </w:r>
    </w:p>
    <w:p w14:paraId="77D2C1BB" w14:textId="77777777" w:rsidR="00552DD9" w:rsidRPr="00552DD9" w:rsidRDefault="00552DD9" w:rsidP="00A81C4C">
      <w:pPr>
        <w:pStyle w:val="Sinespaciado"/>
        <w:spacing w:line="360" w:lineRule="auto"/>
        <w:rPr>
          <w:rFonts w:ascii="Arial" w:hAnsi="Arial" w:cs="Arial"/>
          <w:sz w:val="14"/>
          <w:szCs w:val="14"/>
        </w:rPr>
      </w:pPr>
    </w:p>
    <w:p w14:paraId="177A6B3C" w14:textId="77777777" w:rsidR="00A81C4C" w:rsidRPr="00A81C4C" w:rsidRDefault="00A81C4C" w:rsidP="00A81C4C">
      <w:pPr>
        <w:spacing w:after="0" w:line="360" w:lineRule="auto"/>
        <w:jc w:val="both"/>
        <w:rPr>
          <w:rFonts w:ascii="Arial" w:eastAsia="Arial" w:hAnsi="Arial" w:cs="Arial"/>
          <w:b/>
          <w:sz w:val="23"/>
          <w:szCs w:val="23"/>
        </w:rPr>
      </w:pPr>
      <w:r w:rsidRPr="00A81C4C">
        <w:rPr>
          <w:rFonts w:ascii="Arial" w:eastAsia="Arial" w:hAnsi="Arial" w:cs="Arial"/>
          <w:b/>
          <w:sz w:val="23"/>
          <w:szCs w:val="23"/>
        </w:rPr>
        <w:t>Notifíquese.</w:t>
      </w:r>
    </w:p>
    <w:p w14:paraId="4E7088C7" w14:textId="77777777" w:rsidR="00A81C4C" w:rsidRPr="00A81C4C" w:rsidRDefault="00A81C4C" w:rsidP="00A81C4C">
      <w:pPr>
        <w:pBdr>
          <w:top w:val="nil"/>
          <w:left w:val="nil"/>
          <w:bottom w:val="nil"/>
          <w:right w:val="nil"/>
          <w:between w:val="nil"/>
        </w:pBdr>
        <w:spacing w:after="0" w:line="240" w:lineRule="auto"/>
        <w:rPr>
          <w:rFonts w:ascii="Arial" w:hAnsi="Arial" w:cs="Arial"/>
          <w:color w:val="000000"/>
          <w:sz w:val="23"/>
          <w:szCs w:val="23"/>
        </w:rPr>
      </w:pPr>
    </w:p>
    <w:p w14:paraId="36F968B1" w14:textId="59586B86" w:rsidR="00A81C4C" w:rsidRPr="00A81C4C" w:rsidRDefault="00A81C4C" w:rsidP="00A81C4C">
      <w:pPr>
        <w:spacing w:after="0" w:line="360" w:lineRule="auto"/>
        <w:jc w:val="both"/>
        <w:rPr>
          <w:rFonts w:ascii="Arial" w:eastAsia="Arial" w:hAnsi="Arial" w:cs="Arial"/>
          <w:sz w:val="23"/>
          <w:szCs w:val="23"/>
        </w:rPr>
      </w:pPr>
      <w:r w:rsidRPr="00A81C4C">
        <w:rPr>
          <w:rFonts w:ascii="Arial" w:eastAsia="Arial" w:hAnsi="Arial" w:cs="Arial"/>
          <w:sz w:val="23"/>
          <w:szCs w:val="23"/>
        </w:rPr>
        <w:t xml:space="preserve">Así lo acordó y firma la Magistrada Laura Hortensia Llamas Hernández, en presencia de la encargada de despacho de la </w:t>
      </w:r>
      <w:proofErr w:type="gramStart"/>
      <w:r w:rsidRPr="00A81C4C">
        <w:rPr>
          <w:rFonts w:ascii="Arial" w:eastAsia="Arial" w:hAnsi="Arial" w:cs="Arial"/>
          <w:sz w:val="23"/>
          <w:szCs w:val="23"/>
        </w:rPr>
        <w:t>Secretaria</w:t>
      </w:r>
      <w:proofErr w:type="gramEnd"/>
      <w:r w:rsidRPr="00A81C4C">
        <w:rPr>
          <w:rFonts w:ascii="Arial" w:eastAsia="Arial" w:hAnsi="Arial" w:cs="Arial"/>
          <w:sz w:val="23"/>
          <w:szCs w:val="23"/>
        </w:rPr>
        <w:t xml:space="preserve"> de Estudio Ivonne Azucena Zavala Soto, quien da fe.</w:t>
      </w:r>
    </w:p>
    <w:p w14:paraId="1F9BADB8" w14:textId="77777777" w:rsidR="00A81C4C" w:rsidRPr="00A81C4C" w:rsidRDefault="00A81C4C" w:rsidP="00A81C4C">
      <w:pPr>
        <w:spacing w:after="0" w:line="360" w:lineRule="auto"/>
        <w:jc w:val="both"/>
        <w:rPr>
          <w:rFonts w:ascii="Arial" w:eastAsia="Arial" w:hAnsi="Arial" w:cs="Arial"/>
          <w:sz w:val="23"/>
          <w:szCs w:val="23"/>
        </w:rPr>
      </w:pPr>
    </w:p>
    <w:p w14:paraId="360584D7" w14:textId="77777777" w:rsidR="00A81C4C" w:rsidRPr="00A81C4C" w:rsidRDefault="00A81C4C" w:rsidP="00A81C4C">
      <w:pPr>
        <w:spacing w:after="0" w:line="360" w:lineRule="auto"/>
        <w:jc w:val="both"/>
        <w:rPr>
          <w:rFonts w:ascii="Arial" w:eastAsia="Arial" w:hAnsi="Arial" w:cs="Arial"/>
          <w:sz w:val="23"/>
          <w:szCs w:val="23"/>
        </w:rPr>
      </w:pPr>
    </w:p>
    <w:tbl>
      <w:tblPr>
        <w:tblW w:w="8187"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4093"/>
        <w:gridCol w:w="4094"/>
      </w:tblGrid>
      <w:tr w:rsidR="00A81C4C" w:rsidRPr="00A81C4C" w14:paraId="1D6C1F0A" w14:textId="77777777" w:rsidTr="00A81C4C">
        <w:trPr>
          <w:trHeight w:val="1258"/>
        </w:trPr>
        <w:tc>
          <w:tcPr>
            <w:tcW w:w="4093" w:type="dxa"/>
          </w:tcPr>
          <w:p w14:paraId="193220F3" w14:textId="77777777" w:rsidR="00A81C4C" w:rsidRPr="00A81C4C" w:rsidRDefault="00A81C4C" w:rsidP="00A81C4C">
            <w:pPr>
              <w:spacing w:line="240" w:lineRule="auto"/>
              <w:jc w:val="center"/>
              <w:rPr>
                <w:rFonts w:ascii="Arial" w:eastAsia="Arial" w:hAnsi="Arial" w:cs="Arial"/>
                <w:b/>
                <w:sz w:val="23"/>
                <w:szCs w:val="23"/>
              </w:rPr>
            </w:pPr>
            <w:bookmarkStart w:id="1" w:name="_heading=h.30j0zll" w:colFirst="0" w:colLast="0"/>
            <w:bookmarkEnd w:id="1"/>
          </w:p>
          <w:p w14:paraId="0C9210D7" w14:textId="19A34C37"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LAURA HORTENSIA </w:t>
            </w:r>
            <w:r w:rsidRPr="00A81C4C">
              <w:rPr>
                <w:rFonts w:ascii="Arial" w:eastAsia="Arial" w:hAnsi="Arial" w:cs="Arial"/>
                <w:b/>
                <w:sz w:val="23"/>
                <w:szCs w:val="23"/>
              </w:rPr>
              <w:br/>
              <w:t>LLAMAS HERNÁNDEZ</w:t>
            </w:r>
            <w:r w:rsidRPr="00A81C4C">
              <w:rPr>
                <w:rFonts w:ascii="Arial" w:eastAsia="Arial" w:hAnsi="Arial" w:cs="Arial"/>
                <w:b/>
                <w:sz w:val="23"/>
                <w:szCs w:val="23"/>
              </w:rPr>
              <w:br/>
              <w:t>MAGISTRADA</w:t>
            </w:r>
          </w:p>
        </w:tc>
        <w:tc>
          <w:tcPr>
            <w:tcW w:w="4094" w:type="dxa"/>
          </w:tcPr>
          <w:p w14:paraId="5A9CCCAA" w14:textId="77777777" w:rsidR="00A81C4C" w:rsidRPr="00A81C4C" w:rsidRDefault="00A81C4C" w:rsidP="00A81C4C">
            <w:pPr>
              <w:spacing w:line="240" w:lineRule="auto"/>
              <w:jc w:val="center"/>
              <w:rPr>
                <w:rFonts w:ascii="Arial" w:eastAsia="Arial" w:hAnsi="Arial" w:cs="Arial"/>
                <w:b/>
                <w:sz w:val="23"/>
                <w:szCs w:val="23"/>
              </w:rPr>
            </w:pPr>
          </w:p>
          <w:p w14:paraId="28248E19" w14:textId="70D2BEAF" w:rsidR="00A81C4C" w:rsidRPr="00A81C4C" w:rsidRDefault="00A81C4C" w:rsidP="00A81C4C">
            <w:pPr>
              <w:spacing w:line="240" w:lineRule="auto"/>
              <w:jc w:val="center"/>
              <w:rPr>
                <w:rFonts w:ascii="Arial" w:eastAsia="Arial" w:hAnsi="Arial" w:cs="Arial"/>
                <w:b/>
                <w:sz w:val="23"/>
                <w:szCs w:val="23"/>
              </w:rPr>
            </w:pPr>
            <w:r w:rsidRPr="00A81C4C">
              <w:rPr>
                <w:rFonts w:ascii="Arial" w:eastAsia="Arial" w:hAnsi="Arial" w:cs="Arial"/>
                <w:b/>
                <w:sz w:val="23"/>
                <w:szCs w:val="23"/>
              </w:rPr>
              <w:t xml:space="preserve">IVONNE AZUCENA </w:t>
            </w:r>
            <w:r w:rsidRPr="00A81C4C">
              <w:rPr>
                <w:rFonts w:ascii="Arial" w:eastAsia="Arial" w:hAnsi="Arial" w:cs="Arial"/>
                <w:b/>
                <w:sz w:val="23"/>
                <w:szCs w:val="23"/>
              </w:rPr>
              <w:br/>
              <w:t>ZAVALA SOTO</w:t>
            </w:r>
            <w:r w:rsidRPr="00A81C4C">
              <w:rPr>
                <w:rFonts w:ascii="Arial" w:eastAsia="Arial" w:hAnsi="Arial" w:cs="Arial"/>
                <w:b/>
                <w:sz w:val="23"/>
                <w:szCs w:val="23"/>
              </w:rPr>
              <w:br/>
              <w:t xml:space="preserve">SECRETARIA </w:t>
            </w:r>
          </w:p>
        </w:tc>
      </w:tr>
    </w:tbl>
    <w:p w14:paraId="33E88D00" w14:textId="77777777" w:rsidR="00D42224" w:rsidRPr="00A81C4C" w:rsidRDefault="00D42224">
      <w:pPr>
        <w:rPr>
          <w:rFonts w:ascii="Arial" w:hAnsi="Arial" w:cs="Arial"/>
          <w:sz w:val="23"/>
          <w:szCs w:val="23"/>
        </w:rPr>
      </w:pPr>
    </w:p>
    <w:sectPr w:rsidR="00D42224" w:rsidRPr="00A81C4C" w:rsidSect="00BD7EC5">
      <w:headerReference w:type="even" r:id="rId8"/>
      <w:headerReference w:type="default" r:id="rId9"/>
      <w:footerReference w:type="even" r:id="rId10"/>
      <w:footerReference w:type="default" r:id="rId11"/>
      <w:headerReference w:type="first" r:id="rId12"/>
      <w:footerReference w:type="first" r:id="rId13"/>
      <w:pgSz w:w="12240" w:h="20160" w:code="5"/>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1C4B" w14:textId="77777777" w:rsidR="00BD7EC5" w:rsidRDefault="00BD7EC5" w:rsidP="00D412F6">
      <w:pPr>
        <w:spacing w:after="0" w:line="240" w:lineRule="auto"/>
      </w:pPr>
      <w:r>
        <w:separator/>
      </w:r>
    </w:p>
  </w:endnote>
  <w:endnote w:type="continuationSeparator" w:id="0">
    <w:p w14:paraId="6805DA0E" w14:textId="77777777" w:rsidR="00BD7EC5" w:rsidRDefault="00BD7EC5" w:rsidP="00D4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9850" w14:textId="77777777" w:rsidR="00C705FE" w:rsidRDefault="00C70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2B68" w14:textId="77777777" w:rsidR="00C705FE" w:rsidRDefault="00C705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A212" w14:textId="77777777" w:rsidR="00C705FE" w:rsidRDefault="00C70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109C" w14:textId="77777777" w:rsidR="00BD7EC5" w:rsidRDefault="00BD7EC5" w:rsidP="00D412F6">
      <w:pPr>
        <w:spacing w:after="0" w:line="240" w:lineRule="auto"/>
      </w:pPr>
      <w:r>
        <w:separator/>
      </w:r>
    </w:p>
  </w:footnote>
  <w:footnote w:type="continuationSeparator" w:id="0">
    <w:p w14:paraId="3937DA10" w14:textId="77777777" w:rsidR="00BD7EC5" w:rsidRDefault="00BD7EC5" w:rsidP="00D412F6">
      <w:pPr>
        <w:spacing w:after="0" w:line="240" w:lineRule="auto"/>
      </w:pPr>
      <w:r>
        <w:continuationSeparator/>
      </w:r>
    </w:p>
  </w:footnote>
  <w:footnote w:id="1">
    <w:p w14:paraId="49B53477" w14:textId="77777777" w:rsidR="00A81C4C" w:rsidRDefault="00A81C4C" w:rsidP="00A81C4C">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Encargada de despacho de la Secretaría de Estudio.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70BE" w14:textId="77777777" w:rsidR="00C705FE" w:rsidRDefault="00C705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23" w14:textId="49F096A3" w:rsidR="00F21999" w:rsidRDefault="00C705FE" w:rsidP="00AF502C">
    <w:pPr>
      <w:pStyle w:val="Encabezado"/>
      <w:tabs>
        <w:tab w:val="left" w:pos="5103"/>
      </w:tabs>
      <w:rPr>
        <w:rFonts w:ascii="Century Gothic" w:hAnsi="Century Gothic"/>
        <w:b/>
      </w:rPr>
    </w:pPr>
    <w:sdt>
      <w:sdtPr>
        <w:rPr>
          <w:rFonts w:ascii="Century Gothic" w:hAnsi="Century Gothic"/>
        </w:rPr>
        <w:id w:val="1537158761"/>
        <w:docPartObj>
          <w:docPartGallery w:val="Watermarks"/>
          <w:docPartUnique/>
        </w:docPartObj>
      </w:sdtPr>
      <w:sdtContent>
        <w:r w:rsidRPr="00C705FE">
          <w:rPr>
            <w:rFonts w:ascii="Century Gothic" w:hAnsi="Century Gothic"/>
          </w:rPr>
          <w:pict w14:anchorId="4AA4D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0.35pt;height:132.5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r w:rsidR="00FA35B0" w:rsidRPr="00A46BD3">
      <w:rPr>
        <w:rFonts w:ascii="Century Gothic" w:hAnsi="Century Gothic"/>
        <w:noProof/>
        <w:lang w:eastAsia="es-MX"/>
      </w:rPr>
      <w:drawing>
        <wp:anchor distT="0" distB="0" distL="114300" distR="114300" simplePos="0" relativeHeight="251659264" behindDoc="0" locked="0" layoutInCell="1" allowOverlap="1" wp14:anchorId="149623EA" wp14:editId="5034F103">
          <wp:simplePos x="0" y="0"/>
          <wp:positionH relativeFrom="margin">
            <wp:posOffset>-43180</wp:posOffset>
          </wp:positionH>
          <wp:positionV relativeFrom="paragraph">
            <wp:posOffset>32385</wp:posOffset>
          </wp:positionV>
          <wp:extent cx="1028700" cy="122461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30363" cy="1226597"/>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550526282"/>
        <w:docPartObj>
          <w:docPartGallery w:val="Page Numbers (Margins)"/>
          <w:docPartUnique/>
        </w:docPartObj>
      </w:sdtPr>
      <w:sdtContent>
        <w:r w:rsidR="00470578" w:rsidRPr="00932419">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97C3574" wp14:editId="2D1B8A52">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F21999"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3574"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951527444"/>
                          <w:docPartObj>
                            <w:docPartGallery w:val="Page Numbers (Margins)"/>
                            <w:docPartUnique/>
                          </w:docPartObj>
                        </w:sdtPr>
                        <w:sdtContent>
                          <w:p w14:paraId="0BF975A9" w14:textId="77777777" w:rsidR="00000000" w:rsidRPr="00932419" w:rsidRDefault="00470578">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527AF6">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470578">
      <w:rPr>
        <w:rFonts w:ascii="Century Gothic" w:hAnsi="Century Gothic"/>
      </w:rPr>
      <w:t xml:space="preserve"> </w:t>
    </w:r>
  </w:p>
  <w:p w14:paraId="67BD888A" w14:textId="0BBC7802" w:rsidR="00F21999" w:rsidRPr="00A46BD3" w:rsidRDefault="00470578" w:rsidP="00A46BD3">
    <w:pPr>
      <w:pStyle w:val="Encabezado"/>
      <w:rPr>
        <w:rFonts w:ascii="Century Gothic" w:hAnsi="Century Gothic"/>
        <w:b/>
      </w:rPr>
    </w:pPr>
    <w:r>
      <w:rPr>
        <w:rFonts w:ascii="Century Gothic" w:hAnsi="Century Gothic"/>
        <w:b/>
      </w:rPr>
      <w:tab/>
    </w:r>
    <w:r>
      <w:rPr>
        <w:rFonts w:ascii="Century Gothic" w:hAnsi="Century Gothic"/>
        <w:b/>
      </w:rPr>
      <w:tab/>
    </w:r>
  </w:p>
  <w:p w14:paraId="6D2C0E51" w14:textId="750E91ED" w:rsidR="00F21999" w:rsidRPr="00A46BD3" w:rsidRDefault="00470578" w:rsidP="00A46BD3">
    <w:pPr>
      <w:pStyle w:val="Encabezado"/>
      <w:rPr>
        <w:rFonts w:ascii="Century Gothic" w:hAnsi="Century Gothic"/>
      </w:rPr>
    </w:pPr>
    <w:r w:rsidRPr="00A46BD3">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E4FE" w14:textId="77777777" w:rsidR="00C705FE" w:rsidRDefault="00C70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0E53"/>
    <w:multiLevelType w:val="hybridMultilevel"/>
    <w:tmpl w:val="A3661BB8"/>
    <w:lvl w:ilvl="0" w:tplc="298C5A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CA66F5"/>
    <w:multiLevelType w:val="hybridMultilevel"/>
    <w:tmpl w:val="B7720728"/>
    <w:lvl w:ilvl="0" w:tplc="3656CB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6B3176F6"/>
    <w:multiLevelType w:val="hybridMultilevel"/>
    <w:tmpl w:val="59183E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9A253D"/>
    <w:multiLevelType w:val="hybridMultilevel"/>
    <w:tmpl w:val="900ED268"/>
    <w:lvl w:ilvl="0" w:tplc="5B26516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6483656">
    <w:abstractNumId w:val="3"/>
  </w:num>
  <w:num w:numId="2" w16cid:durableId="1565023646">
    <w:abstractNumId w:val="2"/>
  </w:num>
  <w:num w:numId="3" w16cid:durableId="1463886489">
    <w:abstractNumId w:val="1"/>
  </w:num>
  <w:num w:numId="4" w16cid:durableId="71932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6"/>
    <w:rsid w:val="000120C7"/>
    <w:rsid w:val="00012C88"/>
    <w:rsid w:val="00036942"/>
    <w:rsid w:val="00045A4A"/>
    <w:rsid w:val="000534E3"/>
    <w:rsid w:val="00056894"/>
    <w:rsid w:val="00077D29"/>
    <w:rsid w:val="00136065"/>
    <w:rsid w:val="001C11F1"/>
    <w:rsid w:val="001C705E"/>
    <w:rsid w:val="00255901"/>
    <w:rsid w:val="00275298"/>
    <w:rsid w:val="00275349"/>
    <w:rsid w:val="003A78C5"/>
    <w:rsid w:val="003D1032"/>
    <w:rsid w:val="00462FE9"/>
    <w:rsid w:val="00470578"/>
    <w:rsid w:val="00476344"/>
    <w:rsid w:val="00492C1D"/>
    <w:rsid w:val="00552DD9"/>
    <w:rsid w:val="005733ED"/>
    <w:rsid w:val="005C3041"/>
    <w:rsid w:val="005D1C3A"/>
    <w:rsid w:val="00627A41"/>
    <w:rsid w:val="00633938"/>
    <w:rsid w:val="00642748"/>
    <w:rsid w:val="00652D46"/>
    <w:rsid w:val="006656EB"/>
    <w:rsid w:val="006B2DFC"/>
    <w:rsid w:val="006F3271"/>
    <w:rsid w:val="00750887"/>
    <w:rsid w:val="00772511"/>
    <w:rsid w:val="008654A6"/>
    <w:rsid w:val="008919F7"/>
    <w:rsid w:val="008F5980"/>
    <w:rsid w:val="009115F7"/>
    <w:rsid w:val="00961FA6"/>
    <w:rsid w:val="00986FAE"/>
    <w:rsid w:val="009C2F1D"/>
    <w:rsid w:val="009D7801"/>
    <w:rsid w:val="00A81C4C"/>
    <w:rsid w:val="00AA22B3"/>
    <w:rsid w:val="00AB7714"/>
    <w:rsid w:val="00AF13B5"/>
    <w:rsid w:val="00AF2681"/>
    <w:rsid w:val="00AF4E36"/>
    <w:rsid w:val="00B02C37"/>
    <w:rsid w:val="00B10F57"/>
    <w:rsid w:val="00B14755"/>
    <w:rsid w:val="00B601B6"/>
    <w:rsid w:val="00BD7EC5"/>
    <w:rsid w:val="00BE193B"/>
    <w:rsid w:val="00C465DD"/>
    <w:rsid w:val="00C705FE"/>
    <w:rsid w:val="00CE588D"/>
    <w:rsid w:val="00D156B1"/>
    <w:rsid w:val="00D1717C"/>
    <w:rsid w:val="00D26994"/>
    <w:rsid w:val="00D412F6"/>
    <w:rsid w:val="00D42224"/>
    <w:rsid w:val="00D530CB"/>
    <w:rsid w:val="00E46BA9"/>
    <w:rsid w:val="00E80107"/>
    <w:rsid w:val="00F15029"/>
    <w:rsid w:val="00F21999"/>
    <w:rsid w:val="00F379CE"/>
    <w:rsid w:val="00F7152F"/>
    <w:rsid w:val="00FA3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3126"/>
  <w15:chartTrackingRefBased/>
  <w15:docId w15:val="{9E7AF44F-E0D8-4D5A-BCD5-FD8DDD65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2F6"/>
  </w:style>
  <w:style w:type="paragraph" w:styleId="Prrafodelista">
    <w:name w:val="List Paragraph"/>
    <w:basedOn w:val="Normal"/>
    <w:uiPriority w:val="34"/>
    <w:qFormat/>
    <w:rsid w:val="00D412F6"/>
    <w:pPr>
      <w:ind w:left="720"/>
      <w:contextualSpacing/>
    </w:pPr>
  </w:style>
  <w:style w:type="table" w:styleId="Tablaconcuadrcula">
    <w:name w:val="Table Grid"/>
    <w:basedOn w:val="Tablanormal"/>
    <w:uiPriority w:val="39"/>
    <w:rsid w:val="00D4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412F6"/>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412F6"/>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D412F6"/>
    <w:rPr>
      <w:vertAlign w:val="superscript"/>
    </w:rPr>
  </w:style>
  <w:style w:type="character" w:styleId="Hipervnculo">
    <w:name w:val="Hyperlink"/>
    <w:basedOn w:val="Fuentedeprrafopredeter"/>
    <w:uiPriority w:val="99"/>
    <w:unhideWhenUsed/>
    <w:rsid w:val="00AB7714"/>
    <w:rPr>
      <w:color w:val="0563C1" w:themeColor="hyperlink"/>
      <w:u w:val="single"/>
    </w:rPr>
  </w:style>
  <w:style w:type="character" w:styleId="Mencinsinresolver">
    <w:name w:val="Unresolved Mention"/>
    <w:basedOn w:val="Fuentedeprrafopredeter"/>
    <w:uiPriority w:val="99"/>
    <w:semiHidden/>
    <w:unhideWhenUsed/>
    <w:rsid w:val="00AB7714"/>
    <w:rPr>
      <w:color w:val="605E5C"/>
      <w:shd w:val="clear" w:color="auto" w:fill="E1DFDD"/>
    </w:rPr>
  </w:style>
  <w:style w:type="paragraph" w:styleId="Textodeglobo">
    <w:name w:val="Balloon Text"/>
    <w:basedOn w:val="Normal"/>
    <w:link w:val="TextodegloboCar"/>
    <w:uiPriority w:val="99"/>
    <w:semiHidden/>
    <w:unhideWhenUsed/>
    <w:rsid w:val="00B10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F5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E193B"/>
    <w:pPr>
      <w:spacing w:after="0" w:line="240" w:lineRule="auto"/>
      <w:jc w:val="both"/>
    </w:pPr>
    <w:rPr>
      <w:vertAlign w:val="superscript"/>
    </w:rPr>
  </w:style>
  <w:style w:type="paragraph" w:styleId="Sinespaciado">
    <w:name w:val="No Spacing"/>
    <w:uiPriority w:val="1"/>
    <w:qFormat/>
    <w:rsid w:val="00FA35B0"/>
    <w:pPr>
      <w:spacing w:after="0" w:line="240" w:lineRule="auto"/>
    </w:pPr>
  </w:style>
  <w:style w:type="paragraph" w:styleId="Piedepgina">
    <w:name w:val="footer"/>
    <w:basedOn w:val="Normal"/>
    <w:link w:val="PiedepginaCar"/>
    <w:uiPriority w:val="99"/>
    <w:unhideWhenUsed/>
    <w:rsid w:val="00FA35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1200780853">
      <w:bodyDiv w:val="1"/>
      <w:marLeft w:val="0"/>
      <w:marRight w:val="0"/>
      <w:marTop w:val="0"/>
      <w:marBottom w:val="0"/>
      <w:divBdr>
        <w:top w:val="none" w:sz="0" w:space="0" w:color="auto"/>
        <w:left w:val="none" w:sz="0" w:space="0" w:color="auto"/>
        <w:bottom w:val="none" w:sz="0" w:space="0" w:color="auto"/>
        <w:right w:val="none" w:sz="0" w:space="0" w:color="auto"/>
      </w:divBdr>
      <w:divsChild>
        <w:div w:id="77767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5A49-F471-44B5-BB8C-1BBD72AA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Miroslava Rocha</cp:lastModifiedBy>
  <cp:revision>3</cp:revision>
  <cp:lastPrinted>2021-05-17T20:51:00Z</cp:lastPrinted>
  <dcterms:created xsi:type="dcterms:W3CDTF">2024-05-06T18:22:00Z</dcterms:created>
  <dcterms:modified xsi:type="dcterms:W3CDTF">2024-05-06T18:23:00Z</dcterms:modified>
</cp:coreProperties>
</file>