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62926" w14:textId="16F463DA" w:rsidR="00B5147C" w:rsidRPr="00796B37" w:rsidRDefault="00E96762" w:rsidP="009D2311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796B37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513E92" wp14:editId="3C5653A2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2994660" cy="224790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B8BDF" w14:textId="6A546890" w:rsidR="0016476C" w:rsidRDefault="0016476C" w:rsidP="0016476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6476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Recurso de </w:t>
                            </w:r>
                            <w:r w:rsidR="00F03E8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Apelación</w:t>
                            </w:r>
                            <w:r w:rsidRPr="0016476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1DEFDC5" w14:textId="2677511D" w:rsidR="00796B37" w:rsidRPr="0016476C" w:rsidRDefault="0016476C" w:rsidP="0016476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6476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Expediente: </w:t>
                            </w:r>
                            <w:r w:rsidRPr="0016476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TEEA-R</w:t>
                            </w:r>
                            <w:r w:rsidR="00F03E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P-00</w:t>
                            </w:r>
                            <w:r w:rsidR="00F03E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Pr="0016476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/2020</w:t>
                            </w:r>
                          </w:p>
                          <w:p w14:paraId="12BA6A47" w14:textId="10256962" w:rsidR="00796B37" w:rsidRPr="005C5936" w:rsidRDefault="00796B37" w:rsidP="00796B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="0016476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6476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C.</w:t>
                            </w:r>
                            <w:r w:rsidR="00D25C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6476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Fernando Alférez Barbosa. </w:t>
                            </w:r>
                          </w:p>
                          <w:p w14:paraId="148BD513" w14:textId="5DEB6609" w:rsidR="00796B37" w:rsidRPr="005C5936" w:rsidRDefault="00796B37" w:rsidP="00796B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7D2B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6476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Secretaría Ejecutiva </w:t>
                            </w:r>
                            <w:r w:rsidR="007D2B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</w:t>
                            </w:r>
                            <w:r w:rsidR="0016476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 Instituto Estatal Electoral de Aguascalientes.</w:t>
                            </w:r>
                          </w:p>
                          <w:p w14:paraId="673972B4" w14:textId="2F50E397" w:rsidR="003F7D71" w:rsidRPr="009D2311" w:rsidRDefault="003F7D71" w:rsidP="009D2311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13E9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4.6pt;margin-top:.05pt;width:235.8pt;height:17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" stroked="f">
                <v:textbox>
                  <w:txbxContent>
                    <w:p w14:paraId="717B8BDF" w14:textId="6A546890" w:rsidR="0016476C" w:rsidRDefault="0016476C" w:rsidP="0016476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6476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Recurso de </w:t>
                      </w:r>
                      <w:r w:rsidR="00F03E8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Apelación</w:t>
                      </w:r>
                      <w:r w:rsidRPr="0016476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1DEFDC5" w14:textId="2677511D" w:rsidR="00796B37" w:rsidRPr="0016476C" w:rsidRDefault="0016476C" w:rsidP="0016476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6476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Expediente: </w:t>
                      </w:r>
                      <w:r w:rsidRPr="0016476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TEEA-R</w:t>
                      </w:r>
                      <w:r w:rsidR="00F03E86"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P-00</w:t>
                      </w:r>
                      <w:r w:rsidR="00F03E86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Pr="0016476C">
                        <w:rPr>
                          <w:rFonts w:ascii="Arial" w:hAnsi="Arial" w:cs="Arial"/>
                          <w:sz w:val="24"/>
                          <w:szCs w:val="24"/>
                        </w:rPr>
                        <w:t>/2020</w:t>
                      </w:r>
                    </w:p>
                    <w:p w14:paraId="12BA6A47" w14:textId="10256962" w:rsidR="00796B37" w:rsidRPr="005C5936" w:rsidRDefault="00796B37" w:rsidP="00796B37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="0016476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16476C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C.</w:t>
                      </w:r>
                      <w:r w:rsidR="00D25C5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16476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Fernando Alférez Barbosa. </w:t>
                      </w:r>
                    </w:p>
                    <w:p w14:paraId="148BD513" w14:textId="5DEB6609" w:rsidR="00796B37" w:rsidRPr="005C5936" w:rsidRDefault="00796B37" w:rsidP="00796B37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7D2B4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16476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Secretaría Ejecutiva </w:t>
                      </w:r>
                      <w:r w:rsidR="007D2B46">
                        <w:rPr>
                          <w:rFonts w:ascii="Arial" w:hAnsi="Arial" w:cs="Arial"/>
                          <w:sz w:val="24"/>
                          <w:szCs w:val="24"/>
                        </w:rPr>
                        <w:t>d</w:t>
                      </w:r>
                      <w:r w:rsidR="0016476C">
                        <w:rPr>
                          <w:rFonts w:ascii="Arial" w:hAnsi="Arial" w:cs="Arial"/>
                          <w:sz w:val="24"/>
                          <w:szCs w:val="24"/>
                        </w:rPr>
                        <w:t>el Instituto Estatal Electoral de Aguascalientes.</w:t>
                      </w:r>
                    </w:p>
                    <w:p w14:paraId="673972B4" w14:textId="2F50E397" w:rsidR="003F7D71" w:rsidRPr="009D2311" w:rsidRDefault="003F7D71" w:rsidP="009D2311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459EA7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AE42C47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E83A82A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BD71D36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688852C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E69B9AE" w14:textId="77777777" w:rsidR="00B5147C" w:rsidRPr="00796B37" w:rsidRDefault="00B5147C" w:rsidP="009D231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9053A1A" w14:textId="77777777" w:rsidR="00B5147C" w:rsidRPr="00796B37" w:rsidRDefault="00B5147C" w:rsidP="009D231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6D4CDA4B" w14:textId="77777777" w:rsidR="0054481A" w:rsidRDefault="0054481A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62DEC02" w14:textId="1818221A" w:rsidR="009A1EF4" w:rsidRDefault="009A1EF4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El Secretario G</w:t>
      </w:r>
      <w:r w:rsidR="00F658EA">
        <w:rPr>
          <w:rFonts w:ascii="Arial" w:eastAsia="Times New Roman" w:hAnsi="Arial" w:cs="Arial"/>
          <w:bCs/>
          <w:sz w:val="24"/>
          <w:szCs w:val="24"/>
          <w:lang w:eastAsia="es-MX"/>
        </w:rPr>
        <w:t>eneral en Funciones</w:t>
      </w:r>
      <w:r w:rsidR="009E0AE0">
        <w:rPr>
          <w:rFonts w:ascii="Arial" w:eastAsia="Times New Roman" w:hAnsi="Arial" w:cs="Arial"/>
          <w:bCs/>
          <w:sz w:val="24"/>
          <w:szCs w:val="24"/>
          <w:lang w:eastAsia="es-MX"/>
        </w:rPr>
        <w:t>, da cuenta a la Magistrada Presidenta, Claudia Eloisa Díaz de León González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547DD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con el </w:t>
      </w:r>
      <w:r w:rsidR="00F766B5">
        <w:rPr>
          <w:rFonts w:ascii="Arial" w:eastAsia="Times New Roman" w:hAnsi="Arial" w:cs="Arial"/>
          <w:bCs/>
          <w:sz w:val="24"/>
          <w:szCs w:val="24"/>
          <w:lang w:eastAsia="es-MX"/>
        </w:rPr>
        <w:t>Acuerdo Plenario de Reencauzamiento</w:t>
      </w:r>
      <w:r w:rsidR="00547DD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F766B5">
        <w:rPr>
          <w:rFonts w:ascii="Arial" w:eastAsia="Times New Roman" w:hAnsi="Arial" w:cs="Arial"/>
          <w:bCs/>
          <w:sz w:val="24"/>
          <w:szCs w:val="24"/>
          <w:lang w:eastAsia="es-MX"/>
        </w:rPr>
        <w:t>de</w:t>
      </w:r>
      <w:r w:rsidR="00682B32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F766B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Recurso de Revisión de Procedimiento Especial Sancionador, </w:t>
      </w:r>
      <w:r w:rsidR="00547DD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 fecha </w:t>
      </w:r>
      <w:r w:rsidR="00F766B5">
        <w:rPr>
          <w:rFonts w:ascii="Arial" w:eastAsia="Times New Roman" w:hAnsi="Arial" w:cs="Arial"/>
          <w:bCs/>
          <w:sz w:val="24"/>
          <w:szCs w:val="24"/>
          <w:lang w:eastAsia="es-MX"/>
        </w:rPr>
        <w:t>diez</w:t>
      </w:r>
      <w:r w:rsidR="00547DD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</w:t>
      </w:r>
      <w:r w:rsidR="0016476C">
        <w:rPr>
          <w:rFonts w:ascii="Arial" w:eastAsia="Times New Roman" w:hAnsi="Arial" w:cs="Arial"/>
          <w:bCs/>
          <w:sz w:val="24"/>
          <w:szCs w:val="24"/>
          <w:lang w:eastAsia="es-MX"/>
        </w:rPr>
        <w:t>noviembre</w:t>
      </w:r>
      <w:r w:rsidR="00547DD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dos mil veinte </w:t>
      </w:r>
      <w:r w:rsidR="00F766B5">
        <w:rPr>
          <w:rFonts w:ascii="Arial" w:eastAsia="Times New Roman" w:hAnsi="Arial" w:cs="Arial"/>
          <w:bCs/>
          <w:sz w:val="24"/>
          <w:szCs w:val="24"/>
          <w:lang w:eastAsia="es-MX"/>
        </w:rPr>
        <w:t>dictado por el Pleno de este órgano jurisdiccional</w:t>
      </w:r>
      <w:r w:rsidR="00547DDF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14:paraId="58D13D79" w14:textId="77777777" w:rsidR="00547DDF" w:rsidRPr="00796B37" w:rsidRDefault="00547DDF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AC3DD18" w14:textId="44B21DF7" w:rsidR="00DB3CF1" w:rsidRPr="00796B37" w:rsidRDefault="002946B2" w:rsidP="00DB3CF1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Aguascalientes, Aguascalientes, a </w:t>
      </w:r>
      <w:r w:rsidR="000B48A3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once</w:t>
      </w:r>
      <w:r w:rsidR="009774CB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</w:t>
      </w:r>
      <w:r w:rsidR="00A5001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noviembre</w:t>
      </w:r>
      <w:r w:rsidR="00781D5D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dos mil veinte</w:t>
      </w: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</w:p>
    <w:p w14:paraId="5705CFCA" w14:textId="38E87C09" w:rsidR="00493231" w:rsidRPr="00796B37" w:rsidRDefault="00493231" w:rsidP="001F424B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796B37">
        <w:rPr>
          <w:rFonts w:ascii="Arial" w:hAnsi="Arial" w:cs="Arial"/>
          <w:sz w:val="24"/>
          <w:szCs w:val="24"/>
        </w:rPr>
        <w:t>Vist</w:t>
      </w:r>
      <w:r w:rsidR="00F92EEF">
        <w:rPr>
          <w:rFonts w:ascii="Arial" w:hAnsi="Arial" w:cs="Arial"/>
          <w:sz w:val="24"/>
          <w:szCs w:val="24"/>
        </w:rPr>
        <w:t>a</w:t>
      </w:r>
      <w:r w:rsidR="009A1EF4" w:rsidRPr="00796B37">
        <w:rPr>
          <w:rFonts w:ascii="Arial" w:hAnsi="Arial" w:cs="Arial"/>
          <w:sz w:val="24"/>
          <w:szCs w:val="24"/>
        </w:rPr>
        <w:t xml:space="preserve"> </w:t>
      </w:r>
      <w:r w:rsidR="00F92EEF">
        <w:rPr>
          <w:rFonts w:ascii="Arial" w:hAnsi="Arial" w:cs="Arial"/>
          <w:sz w:val="24"/>
          <w:szCs w:val="24"/>
        </w:rPr>
        <w:t>la cuenta,</w:t>
      </w:r>
      <w:r w:rsidR="009A1EF4" w:rsidRPr="00796B37">
        <w:rPr>
          <w:rFonts w:ascii="Arial" w:hAnsi="Arial" w:cs="Arial"/>
          <w:sz w:val="24"/>
          <w:szCs w:val="24"/>
        </w:rPr>
        <w:t xml:space="preserve"> con fundamento 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en los a</w:t>
      </w:r>
      <w:r w:rsidR="004C7B0A">
        <w:rPr>
          <w:rFonts w:ascii="Arial" w:eastAsia="Times New Roman" w:hAnsi="Arial" w:cs="Arial"/>
          <w:bCs/>
          <w:sz w:val="24"/>
          <w:szCs w:val="24"/>
          <w:lang w:eastAsia="es-MX"/>
        </w:rPr>
        <w:t>rtículos 298, 299, 300, 301, 353</w:t>
      </w:r>
      <w:r w:rsidR="00497D7B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 </w:t>
      </w:r>
      <w:r w:rsidR="004C7B0A">
        <w:rPr>
          <w:rFonts w:ascii="Arial" w:eastAsia="Times New Roman" w:hAnsi="Arial" w:cs="Arial"/>
          <w:bCs/>
          <w:sz w:val="24"/>
          <w:szCs w:val="24"/>
          <w:lang w:eastAsia="es-MX"/>
        </w:rPr>
        <w:t>354</w:t>
      </w:r>
      <w:r w:rsidR="00497D7B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Código Electoral del Estado de Aguascalientes;</w:t>
      </w:r>
      <w:r w:rsidR="0060246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6165D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9, </w:t>
      </w:r>
      <w:r w:rsidR="00497D7B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8, fracción </w:t>
      </w:r>
      <w:r w:rsidR="00497D7B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X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III</w:t>
      </w:r>
      <w:r w:rsidR="00497D7B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 XV</w:t>
      </w:r>
      <w:r w:rsidR="005E03E7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0B48A3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109 </w:t>
      </w:r>
      <w:r w:rsidR="00D13046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y</w:t>
      </w:r>
      <w:r w:rsidR="004C7B0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111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, del Reglamento Interior del Tribunal Electoral del Estado de Aguascalientes</w:t>
      </w:r>
      <w:r w:rsidR="0082784E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;</w:t>
      </w:r>
      <w:r w:rsidR="004C7B0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82784E" w:rsidRPr="00796B37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se</w:t>
      </w:r>
      <w:r w:rsidR="0082784E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acuerda</w:t>
      </w:r>
      <w:r w:rsidR="00497720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:</w:t>
      </w:r>
    </w:p>
    <w:p w14:paraId="1CE2120D" w14:textId="557F597A" w:rsidR="00784EE2" w:rsidRPr="002262AA" w:rsidRDefault="00DB032B" w:rsidP="009A1EF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PRIMERO. </w:t>
      </w:r>
      <w:r w:rsidR="000B48A3">
        <w:rPr>
          <w:rFonts w:ascii="Arial" w:eastAsia="Times New Roman" w:hAnsi="Arial" w:cs="Arial"/>
          <w:b/>
          <w:sz w:val="24"/>
          <w:szCs w:val="24"/>
          <w:lang w:eastAsia="es-MX"/>
        </w:rPr>
        <w:t>Asignación de nueva nomenclatura por cambio de vía</w:t>
      </w:r>
      <w:r w:rsidR="002262AA" w:rsidRPr="0021101E">
        <w:rPr>
          <w:rFonts w:ascii="Arial" w:eastAsia="Times New Roman" w:hAnsi="Arial" w:cs="Arial"/>
          <w:b/>
          <w:sz w:val="24"/>
          <w:szCs w:val="24"/>
          <w:lang w:eastAsia="es-MX"/>
        </w:rPr>
        <w:t>.</w:t>
      </w:r>
      <w:r w:rsidR="002262AA" w:rsidRPr="002262A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</w:t>
      </w:r>
      <w:r w:rsidR="00682B3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</w:t>
      </w:r>
      <w:r w:rsidR="002262AA" w:rsidRPr="002262A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0B48A3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en cumplimiento a lo ordenado por el Acuerdo Plenario </w:t>
      </w:r>
      <w:r w:rsidR="00682B3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 Reencauzamiento, previa copia certificada, se ordena </w:t>
      </w:r>
      <w:r w:rsidR="002262AA" w:rsidRPr="002262AA">
        <w:rPr>
          <w:rFonts w:ascii="Arial" w:eastAsia="Times New Roman" w:hAnsi="Arial" w:cs="Arial"/>
          <w:bCs/>
          <w:sz w:val="24"/>
          <w:szCs w:val="24"/>
          <w:lang w:eastAsia="es-MX"/>
        </w:rPr>
        <w:t>int</w:t>
      </w:r>
      <w:r w:rsidR="00682B32">
        <w:rPr>
          <w:rFonts w:ascii="Arial" w:eastAsia="Times New Roman" w:hAnsi="Arial" w:cs="Arial"/>
          <w:bCs/>
          <w:sz w:val="24"/>
          <w:szCs w:val="24"/>
          <w:lang w:eastAsia="es-MX"/>
        </w:rPr>
        <w:t>egrar</w:t>
      </w:r>
      <w:r w:rsidR="002262AA" w:rsidRPr="002262A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el expediente respectivo y reg</w:t>
      </w:r>
      <w:r w:rsidR="00682B32">
        <w:rPr>
          <w:rFonts w:ascii="Arial" w:eastAsia="Times New Roman" w:hAnsi="Arial" w:cs="Arial"/>
          <w:bCs/>
          <w:sz w:val="24"/>
          <w:szCs w:val="24"/>
          <w:lang w:eastAsia="es-MX"/>
        </w:rPr>
        <w:t>i</w:t>
      </w:r>
      <w:r w:rsidR="002262AA" w:rsidRPr="002262AA">
        <w:rPr>
          <w:rFonts w:ascii="Arial" w:eastAsia="Times New Roman" w:hAnsi="Arial" w:cs="Arial"/>
          <w:bCs/>
          <w:sz w:val="24"/>
          <w:szCs w:val="24"/>
          <w:lang w:eastAsia="es-MX"/>
        </w:rPr>
        <w:t>str</w:t>
      </w:r>
      <w:r w:rsidR="00682B32">
        <w:rPr>
          <w:rFonts w:ascii="Arial" w:eastAsia="Times New Roman" w:hAnsi="Arial" w:cs="Arial"/>
          <w:bCs/>
          <w:sz w:val="24"/>
          <w:szCs w:val="24"/>
          <w:lang w:eastAsia="es-MX"/>
        </w:rPr>
        <w:t>ar</w:t>
      </w:r>
      <w:r w:rsidR="002262AA" w:rsidRPr="002262A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se en el Libro de Gobierno con la clave </w:t>
      </w:r>
      <w:r w:rsidR="00A50016">
        <w:rPr>
          <w:rFonts w:ascii="Arial" w:eastAsia="Times New Roman" w:hAnsi="Arial" w:cs="Arial"/>
          <w:b/>
          <w:sz w:val="24"/>
          <w:szCs w:val="24"/>
          <w:lang w:eastAsia="es-MX"/>
        </w:rPr>
        <w:t>TEEA-R</w:t>
      </w:r>
      <w:r w:rsidR="000B48A3">
        <w:rPr>
          <w:rFonts w:ascii="Arial" w:eastAsia="Times New Roman" w:hAnsi="Arial" w:cs="Arial"/>
          <w:b/>
          <w:sz w:val="24"/>
          <w:szCs w:val="24"/>
          <w:lang w:eastAsia="es-MX"/>
        </w:rPr>
        <w:t>A</w:t>
      </w:r>
      <w:r w:rsidR="00A50016">
        <w:rPr>
          <w:rFonts w:ascii="Arial" w:eastAsia="Times New Roman" w:hAnsi="Arial" w:cs="Arial"/>
          <w:b/>
          <w:sz w:val="24"/>
          <w:szCs w:val="24"/>
          <w:lang w:eastAsia="es-MX"/>
        </w:rPr>
        <w:t>P-002</w:t>
      </w:r>
      <w:r w:rsidR="002262AA" w:rsidRPr="0021101E">
        <w:rPr>
          <w:rFonts w:ascii="Arial" w:eastAsia="Times New Roman" w:hAnsi="Arial" w:cs="Arial"/>
          <w:b/>
          <w:sz w:val="24"/>
          <w:szCs w:val="24"/>
          <w:lang w:eastAsia="es-MX"/>
        </w:rPr>
        <w:t>/2020.</w:t>
      </w:r>
      <w:r w:rsidR="002262A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</w:p>
    <w:p w14:paraId="6DC211A1" w14:textId="548CED32" w:rsidR="0003592A" w:rsidRPr="00682B32" w:rsidRDefault="002262AA" w:rsidP="009A1EF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lastRenderedPageBreak/>
        <w:t>SEGUNDO</w:t>
      </w:r>
      <w:r w:rsidR="0082784E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="009A1EF4" w:rsidRPr="0021101E">
        <w:rPr>
          <w:rFonts w:ascii="Arial" w:eastAsia="Times New Roman" w:hAnsi="Arial" w:cs="Arial"/>
          <w:b/>
          <w:sz w:val="24"/>
          <w:szCs w:val="24"/>
          <w:lang w:eastAsia="es-MX"/>
        </w:rPr>
        <w:t>Turno</w:t>
      </w:r>
      <w:r w:rsidR="0082784E" w:rsidRPr="0021101E">
        <w:rPr>
          <w:rFonts w:ascii="Arial" w:eastAsia="Times New Roman" w:hAnsi="Arial" w:cs="Arial"/>
          <w:b/>
          <w:sz w:val="24"/>
          <w:szCs w:val="24"/>
          <w:lang w:eastAsia="es-MX"/>
        </w:rPr>
        <w:t>.</w:t>
      </w:r>
      <w:r w:rsidR="0082784E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DB032B" w:rsidRPr="00796B37">
        <w:rPr>
          <w:rFonts w:ascii="Arial" w:eastAsia="Times New Roman" w:hAnsi="Arial" w:cs="Arial"/>
          <w:sz w:val="24"/>
          <w:szCs w:val="24"/>
          <w:lang w:eastAsia="es-MX"/>
        </w:rPr>
        <w:t>En virtud de lo anterior</w:t>
      </w:r>
      <w:r w:rsidR="00DB032B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 p</w:t>
      </w:r>
      <w:r w:rsidR="003649C0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ara los efectos previstos en los artículos 357, fracción VIII, inciso e), del Código Electoral</w:t>
      </w:r>
      <w:r w:rsidR="000B48A3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; </w:t>
      </w:r>
      <w:r w:rsidR="003649C0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102</w:t>
      </w:r>
      <w:r w:rsidR="000B48A3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682B3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y </w:t>
      </w:r>
      <w:r w:rsidR="000B48A3">
        <w:rPr>
          <w:rFonts w:ascii="Arial" w:eastAsia="Times New Roman" w:hAnsi="Arial" w:cs="Arial"/>
          <w:bCs/>
          <w:sz w:val="24"/>
          <w:szCs w:val="24"/>
          <w:lang w:eastAsia="es-MX"/>
        </w:rPr>
        <w:t>109</w:t>
      </w:r>
      <w:r w:rsidR="003649C0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Reglamento Interior del Tribunal Electoral del Estado de Aguascalientes, </w:t>
      </w:r>
      <w:r w:rsidR="00682B32">
        <w:rPr>
          <w:rFonts w:ascii="Arial" w:eastAsia="Times New Roman" w:hAnsi="Arial" w:cs="Arial"/>
          <w:bCs/>
          <w:sz w:val="24"/>
          <w:szCs w:val="24"/>
          <w:lang w:eastAsia="es-MX"/>
        </w:rPr>
        <w:t>se conserva el turno de</w:t>
      </w:r>
      <w:r w:rsidR="003649C0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los autos </w:t>
      </w:r>
      <w:r w:rsidR="00682B32">
        <w:rPr>
          <w:rFonts w:ascii="Arial" w:eastAsia="Times New Roman" w:hAnsi="Arial" w:cs="Arial"/>
          <w:bCs/>
          <w:sz w:val="24"/>
          <w:szCs w:val="24"/>
          <w:lang w:eastAsia="es-MX"/>
        </w:rPr>
        <w:t>en</w:t>
      </w:r>
      <w:r w:rsidR="003649C0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la Ponencia</w:t>
      </w:r>
      <w:r w:rsidR="003649C0" w:rsidRPr="00796B37">
        <w:rPr>
          <w:rFonts w:ascii="Arial" w:eastAsia="Times New Roman" w:hAnsi="Arial" w:cs="Arial"/>
          <w:sz w:val="24"/>
          <w:szCs w:val="24"/>
          <w:lang w:eastAsia="es-MX"/>
        </w:rPr>
        <w:t xml:space="preserve"> de</w:t>
      </w:r>
      <w:r w:rsidR="00D25C5A">
        <w:rPr>
          <w:rFonts w:ascii="Arial" w:eastAsia="Times New Roman" w:hAnsi="Arial" w:cs="Arial"/>
          <w:sz w:val="24"/>
          <w:szCs w:val="24"/>
          <w:lang w:eastAsia="es-MX"/>
        </w:rPr>
        <w:t xml:space="preserve">l </w:t>
      </w:r>
      <w:r w:rsidR="006165DF">
        <w:rPr>
          <w:rFonts w:ascii="Arial" w:eastAsia="Times New Roman" w:hAnsi="Arial" w:cs="Arial"/>
          <w:b/>
          <w:sz w:val="24"/>
          <w:szCs w:val="24"/>
          <w:lang w:eastAsia="es-MX"/>
        </w:rPr>
        <w:t>M</w:t>
      </w:r>
      <w:r w:rsidR="00D25C5A" w:rsidRPr="00D25C5A">
        <w:rPr>
          <w:rFonts w:ascii="Arial" w:eastAsia="Times New Roman" w:hAnsi="Arial" w:cs="Arial"/>
          <w:b/>
          <w:sz w:val="24"/>
          <w:szCs w:val="24"/>
          <w:lang w:eastAsia="es-MX"/>
        </w:rPr>
        <w:t>agistrado</w:t>
      </w:r>
      <w:r w:rsidR="00D25C5A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D063B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Héctor Salvador Hernández </w:t>
      </w:r>
      <w:r w:rsidR="00682B3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Gallegos, </w:t>
      </w:r>
      <w:r w:rsidR="00682B32">
        <w:rPr>
          <w:rFonts w:ascii="Arial" w:eastAsia="Times New Roman" w:hAnsi="Arial" w:cs="Arial"/>
          <w:sz w:val="24"/>
          <w:szCs w:val="24"/>
          <w:lang w:eastAsia="es-MX"/>
        </w:rPr>
        <w:t xml:space="preserve">en virtud de ser éste, quien propuso el cambio de vía. </w:t>
      </w:r>
    </w:p>
    <w:p w14:paraId="492B3424" w14:textId="77777777" w:rsidR="001F424B" w:rsidRPr="00796B37" w:rsidRDefault="00DB3CF1" w:rsidP="001F424B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Hágase la publicación del presente acuerdo en los estrados físicos y electrónicos de este Tribunal.</w:t>
      </w:r>
    </w:p>
    <w:p w14:paraId="197C1D3A" w14:textId="77777777" w:rsidR="001F424B" w:rsidRPr="00796B37" w:rsidRDefault="008C7554" w:rsidP="009D231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NOTIFÍQUESE. </w:t>
      </w:r>
    </w:p>
    <w:p w14:paraId="4979ECDF" w14:textId="39B73AEB" w:rsidR="00DB3CF1" w:rsidRPr="00796B37" w:rsidRDefault="007D2B46" w:rsidP="009D231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la</w:t>
      </w:r>
      <w:r w:rsidR="00DB3CF1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Magistrada Presidenta de este Tribunal Electoral,</w:t>
      </w:r>
      <w:r w:rsidRPr="007D2B46">
        <w:t xml:space="preserve"> </w:t>
      </w:r>
      <w:r w:rsidRPr="007D2B46"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="00DB3CF1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, ante e</w:t>
      </w:r>
      <w:r w:rsidR="00D11A8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 Secretario General </w:t>
      </w:r>
      <w:r w:rsidR="00682B32">
        <w:rPr>
          <w:rFonts w:ascii="Arial" w:eastAsia="Times New Roman" w:hAnsi="Arial" w:cs="Arial"/>
          <w:bCs/>
          <w:sz w:val="24"/>
          <w:szCs w:val="24"/>
          <w:lang w:eastAsia="es-MX"/>
        </w:rPr>
        <w:t>de Acuerdos</w:t>
      </w:r>
      <w:r w:rsidR="00DB3CF1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que autoriza y da fe.</w:t>
      </w:r>
    </w:p>
    <w:p w14:paraId="21EAB2C8" w14:textId="77777777" w:rsidR="00DB3CF1" w:rsidRDefault="00DB3CF1" w:rsidP="00DB3C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6F765DAB" w14:textId="77777777" w:rsidR="00F658EA" w:rsidRDefault="00F658EA" w:rsidP="00DB3C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AF4491B" w14:textId="77777777" w:rsidR="00F658EA" w:rsidRDefault="00F658EA" w:rsidP="00DB3C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78A55E82" w14:textId="77777777" w:rsidR="00F658EA" w:rsidRPr="00796B37" w:rsidRDefault="00F658EA" w:rsidP="00DB3C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3D96D82" w14:textId="5D9BDC4D" w:rsidR="00DB3CF1" w:rsidRPr="00796B37" w:rsidRDefault="007D2B46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Magistrada Presidenta</w:t>
      </w:r>
    </w:p>
    <w:p w14:paraId="074AFFAD" w14:textId="77777777" w:rsidR="00DB3CF1" w:rsidRPr="00796B37" w:rsidRDefault="00DB3CF1" w:rsidP="00DB3CF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633F5574" w14:textId="11875641" w:rsidR="00DB3CF1" w:rsidRPr="00796B37" w:rsidRDefault="007D2B46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7D2B46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Claudia Eloisa Díaz de León González</w:t>
      </w: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.</w:t>
      </w:r>
      <w:r w:rsidR="00DB3CF1" w:rsidRPr="00796B3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</w:t>
      </w:r>
    </w:p>
    <w:p w14:paraId="0FBE3988" w14:textId="77777777" w:rsidR="00DB3CF1" w:rsidRPr="00796B37" w:rsidRDefault="00DB3CF1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0FB1C996" w14:textId="77777777" w:rsidR="00DB3CF1" w:rsidRPr="00796B37" w:rsidRDefault="00DB3CF1" w:rsidP="007D2B46">
      <w:pPr>
        <w:spacing w:after="0" w:line="360" w:lineRule="auto"/>
        <w:ind w:left="284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28F354B" w14:textId="77777777" w:rsidR="00DB3CF1" w:rsidRDefault="00DB3CF1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1196EA76" w14:textId="042D1ADA" w:rsidR="007D2B46" w:rsidRDefault="007D2B46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516BC641" w14:textId="2EA19A22" w:rsidR="00682B32" w:rsidRDefault="00682B32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08A2E11F" w14:textId="3DF37E68" w:rsidR="00682B32" w:rsidRPr="00796B37" w:rsidRDefault="00682B32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Secretario General de Acuerdos </w:t>
      </w:r>
    </w:p>
    <w:p w14:paraId="3AFC41C2" w14:textId="1DD4B4E9" w:rsidR="00DB3CF1" w:rsidRPr="00796B37" w:rsidRDefault="00682B32" w:rsidP="007D2B46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p w14:paraId="7A737C33" w14:textId="4A867218" w:rsidR="009D2311" w:rsidRPr="00796B37" w:rsidRDefault="009D2311" w:rsidP="007D2B46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6D38C7AE" w14:textId="77777777" w:rsidR="00676D1A" w:rsidRPr="00796B37" w:rsidRDefault="00676D1A" w:rsidP="00DB3CF1">
      <w:pPr>
        <w:ind w:firstLine="284"/>
        <w:jc w:val="both"/>
        <w:rPr>
          <w:sz w:val="24"/>
          <w:szCs w:val="24"/>
        </w:rPr>
      </w:pPr>
    </w:p>
    <w:sectPr w:rsidR="00676D1A" w:rsidRPr="00796B37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5D29E" w14:textId="77777777" w:rsidR="00CF6F81" w:rsidRDefault="00CF6F81">
      <w:pPr>
        <w:spacing w:after="0" w:line="240" w:lineRule="auto"/>
      </w:pPr>
      <w:r>
        <w:separator/>
      </w:r>
    </w:p>
  </w:endnote>
  <w:endnote w:type="continuationSeparator" w:id="0">
    <w:p w14:paraId="20FEABEA" w14:textId="77777777" w:rsidR="00CF6F81" w:rsidRDefault="00CF6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13E7B" w14:textId="77777777" w:rsidR="00F71849" w:rsidRDefault="00682B32">
    <w:pPr>
      <w:pStyle w:val="Piedepgina"/>
      <w:jc w:val="right"/>
    </w:pPr>
  </w:p>
  <w:p w14:paraId="1496D0B3" w14:textId="77777777" w:rsidR="00F71849" w:rsidRDefault="00682B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C1F4C" w14:textId="77777777" w:rsidR="00CF6F81" w:rsidRDefault="00CF6F81">
      <w:pPr>
        <w:spacing w:after="0" w:line="240" w:lineRule="auto"/>
      </w:pPr>
      <w:r>
        <w:separator/>
      </w:r>
    </w:p>
  </w:footnote>
  <w:footnote w:type="continuationSeparator" w:id="0">
    <w:p w14:paraId="6E5658C2" w14:textId="77777777" w:rsidR="00CF6F81" w:rsidRDefault="00CF6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217AD" w14:textId="77777777"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E8F0A3F" wp14:editId="0088F98B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1D9F748" wp14:editId="41F037F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3F003B4" w14:textId="77777777"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C44CE3" w:rsidRPr="00C44CE3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D9F748"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MeK&#10;I/u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13F003B4" w14:textId="77777777"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C44CE3" w:rsidRPr="00C44CE3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0AF33FA9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30DDFAE1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4EEE6453" w14:textId="77777777"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2A8BB525" w14:textId="77777777"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4CB122FC" w14:textId="77777777"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3F1CDD">
      <w:rPr>
        <w:rFonts w:ascii="Century Gothic" w:hAnsi="Century Gothic"/>
        <w:b/>
      </w:rPr>
      <w:t>turno</w:t>
    </w:r>
    <w:r>
      <w:rPr>
        <w:rFonts w:ascii="Century Gothic" w:hAnsi="Century Gothic"/>
        <w:b/>
      </w:rPr>
      <w:t xml:space="preserve"> de Presidencia</w:t>
    </w:r>
  </w:p>
  <w:p w14:paraId="4297EF85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59CC9037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17C57216" w14:textId="2B8A245E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6DA1FC58" w14:textId="77777777" w:rsidR="00D063B8" w:rsidRDefault="00D063B8" w:rsidP="00286141">
    <w:pPr>
      <w:pStyle w:val="Encabezado"/>
      <w:jc w:val="right"/>
      <w:rPr>
        <w:rFonts w:ascii="Century Gothic" w:hAnsi="Century Gothic"/>
      </w:rPr>
    </w:pPr>
  </w:p>
  <w:p w14:paraId="6D5459D5" w14:textId="77777777" w:rsidR="00D063B8" w:rsidRDefault="00D063B8" w:rsidP="00286141">
    <w:pPr>
      <w:pStyle w:val="Encabezado"/>
      <w:jc w:val="right"/>
      <w:rPr>
        <w:rFonts w:ascii="Century Gothic" w:hAnsi="Century Gothic"/>
      </w:rPr>
    </w:pPr>
  </w:p>
  <w:p w14:paraId="0CB6833F" w14:textId="77777777"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F6498"/>
    <w:multiLevelType w:val="hybridMultilevel"/>
    <w:tmpl w:val="E918C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4316B"/>
    <w:multiLevelType w:val="hybridMultilevel"/>
    <w:tmpl w:val="E9F26B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10219"/>
    <w:rsid w:val="0003592A"/>
    <w:rsid w:val="00050489"/>
    <w:rsid w:val="00065810"/>
    <w:rsid w:val="00070DC9"/>
    <w:rsid w:val="000817D9"/>
    <w:rsid w:val="00083145"/>
    <w:rsid w:val="00090F2E"/>
    <w:rsid w:val="00091705"/>
    <w:rsid w:val="000A64C2"/>
    <w:rsid w:val="000B48A3"/>
    <w:rsid w:val="000E2D19"/>
    <w:rsid w:val="00146964"/>
    <w:rsid w:val="00155C10"/>
    <w:rsid w:val="001632AF"/>
    <w:rsid w:val="0016476C"/>
    <w:rsid w:val="001F424B"/>
    <w:rsid w:val="0021101E"/>
    <w:rsid w:val="002262AA"/>
    <w:rsid w:val="00231871"/>
    <w:rsid w:val="0028679B"/>
    <w:rsid w:val="00287805"/>
    <w:rsid w:val="0028791F"/>
    <w:rsid w:val="002946B2"/>
    <w:rsid w:val="002C1E08"/>
    <w:rsid w:val="002D7870"/>
    <w:rsid w:val="002F2C19"/>
    <w:rsid w:val="002F340F"/>
    <w:rsid w:val="002F5044"/>
    <w:rsid w:val="00301C90"/>
    <w:rsid w:val="00325C6E"/>
    <w:rsid w:val="003649C0"/>
    <w:rsid w:val="0037153B"/>
    <w:rsid w:val="0037568D"/>
    <w:rsid w:val="0038520B"/>
    <w:rsid w:val="00397ED5"/>
    <w:rsid w:val="003B0497"/>
    <w:rsid w:val="003F1CDD"/>
    <w:rsid w:val="003F7D71"/>
    <w:rsid w:val="0042213B"/>
    <w:rsid w:val="00426C3E"/>
    <w:rsid w:val="00432BAF"/>
    <w:rsid w:val="00466D6A"/>
    <w:rsid w:val="00493171"/>
    <w:rsid w:val="00493231"/>
    <w:rsid w:val="00497720"/>
    <w:rsid w:val="00497D7B"/>
    <w:rsid w:val="004A291B"/>
    <w:rsid w:val="004A70E3"/>
    <w:rsid w:val="004B472D"/>
    <w:rsid w:val="004C7B0A"/>
    <w:rsid w:val="004D1BF0"/>
    <w:rsid w:val="004D2709"/>
    <w:rsid w:val="0054481A"/>
    <w:rsid w:val="00547DDF"/>
    <w:rsid w:val="005749E4"/>
    <w:rsid w:val="005756D0"/>
    <w:rsid w:val="005775A6"/>
    <w:rsid w:val="005804B4"/>
    <w:rsid w:val="0058764C"/>
    <w:rsid w:val="005901EF"/>
    <w:rsid w:val="00594AC9"/>
    <w:rsid w:val="005C5DC5"/>
    <w:rsid w:val="005E03E7"/>
    <w:rsid w:val="005F0007"/>
    <w:rsid w:val="00602461"/>
    <w:rsid w:val="00602AE3"/>
    <w:rsid w:val="00603086"/>
    <w:rsid w:val="006156E0"/>
    <w:rsid w:val="006165DF"/>
    <w:rsid w:val="0063770E"/>
    <w:rsid w:val="006522E0"/>
    <w:rsid w:val="00652670"/>
    <w:rsid w:val="006622AC"/>
    <w:rsid w:val="00676D1A"/>
    <w:rsid w:val="00682B32"/>
    <w:rsid w:val="006C6472"/>
    <w:rsid w:val="006C7181"/>
    <w:rsid w:val="006D5128"/>
    <w:rsid w:val="006F1040"/>
    <w:rsid w:val="006F245E"/>
    <w:rsid w:val="0070212E"/>
    <w:rsid w:val="00702F75"/>
    <w:rsid w:val="007122B7"/>
    <w:rsid w:val="007133FC"/>
    <w:rsid w:val="00716C01"/>
    <w:rsid w:val="00722519"/>
    <w:rsid w:val="007367AC"/>
    <w:rsid w:val="007729BD"/>
    <w:rsid w:val="00781D5D"/>
    <w:rsid w:val="00782B8F"/>
    <w:rsid w:val="00784EE2"/>
    <w:rsid w:val="007969B5"/>
    <w:rsid w:val="00796B37"/>
    <w:rsid w:val="007D2B46"/>
    <w:rsid w:val="007D695A"/>
    <w:rsid w:val="007E71DD"/>
    <w:rsid w:val="007F575B"/>
    <w:rsid w:val="007F5F5E"/>
    <w:rsid w:val="0081616B"/>
    <w:rsid w:val="00821E86"/>
    <w:rsid w:val="0082784E"/>
    <w:rsid w:val="00840142"/>
    <w:rsid w:val="00845E4F"/>
    <w:rsid w:val="00854D24"/>
    <w:rsid w:val="008B0161"/>
    <w:rsid w:val="008C093A"/>
    <w:rsid w:val="008C4385"/>
    <w:rsid w:val="008C7554"/>
    <w:rsid w:val="008D27A2"/>
    <w:rsid w:val="008E2598"/>
    <w:rsid w:val="008F38E6"/>
    <w:rsid w:val="00911B33"/>
    <w:rsid w:val="0097354E"/>
    <w:rsid w:val="00974172"/>
    <w:rsid w:val="00975D15"/>
    <w:rsid w:val="009774CB"/>
    <w:rsid w:val="00981632"/>
    <w:rsid w:val="00983A5F"/>
    <w:rsid w:val="00983C2C"/>
    <w:rsid w:val="009A16B2"/>
    <w:rsid w:val="009A1C81"/>
    <w:rsid w:val="009A1EF4"/>
    <w:rsid w:val="009A3A62"/>
    <w:rsid w:val="009D2311"/>
    <w:rsid w:val="009D2E1D"/>
    <w:rsid w:val="009D2FD2"/>
    <w:rsid w:val="009E0AE0"/>
    <w:rsid w:val="009F6F17"/>
    <w:rsid w:val="00A148A3"/>
    <w:rsid w:val="00A50016"/>
    <w:rsid w:val="00A778A7"/>
    <w:rsid w:val="00A90401"/>
    <w:rsid w:val="00A94AA8"/>
    <w:rsid w:val="00A97A65"/>
    <w:rsid w:val="00AA7971"/>
    <w:rsid w:val="00AD6106"/>
    <w:rsid w:val="00AE6367"/>
    <w:rsid w:val="00AF39EA"/>
    <w:rsid w:val="00AF73B8"/>
    <w:rsid w:val="00B20BC8"/>
    <w:rsid w:val="00B23C9A"/>
    <w:rsid w:val="00B3086A"/>
    <w:rsid w:val="00B36853"/>
    <w:rsid w:val="00B5147C"/>
    <w:rsid w:val="00B82C4B"/>
    <w:rsid w:val="00BA4907"/>
    <w:rsid w:val="00BA791C"/>
    <w:rsid w:val="00BC2D7A"/>
    <w:rsid w:val="00BC678C"/>
    <w:rsid w:val="00BD4738"/>
    <w:rsid w:val="00BE65DA"/>
    <w:rsid w:val="00BF4063"/>
    <w:rsid w:val="00C44CE3"/>
    <w:rsid w:val="00C5594E"/>
    <w:rsid w:val="00C96129"/>
    <w:rsid w:val="00C97D07"/>
    <w:rsid w:val="00C97FCA"/>
    <w:rsid w:val="00CD3479"/>
    <w:rsid w:val="00CD4202"/>
    <w:rsid w:val="00CF3066"/>
    <w:rsid w:val="00CF6F81"/>
    <w:rsid w:val="00D063B8"/>
    <w:rsid w:val="00D11A84"/>
    <w:rsid w:val="00D13046"/>
    <w:rsid w:val="00D25C5A"/>
    <w:rsid w:val="00D32AAC"/>
    <w:rsid w:val="00D44114"/>
    <w:rsid w:val="00D56EFB"/>
    <w:rsid w:val="00D72F30"/>
    <w:rsid w:val="00D80F82"/>
    <w:rsid w:val="00D840AB"/>
    <w:rsid w:val="00D916B7"/>
    <w:rsid w:val="00DA2980"/>
    <w:rsid w:val="00DB032B"/>
    <w:rsid w:val="00DB3CF1"/>
    <w:rsid w:val="00DD3990"/>
    <w:rsid w:val="00E01424"/>
    <w:rsid w:val="00E44495"/>
    <w:rsid w:val="00E510E4"/>
    <w:rsid w:val="00E51AFC"/>
    <w:rsid w:val="00E82BB5"/>
    <w:rsid w:val="00E87C65"/>
    <w:rsid w:val="00E9474E"/>
    <w:rsid w:val="00E96762"/>
    <w:rsid w:val="00EA044B"/>
    <w:rsid w:val="00EB6FFF"/>
    <w:rsid w:val="00EC05E7"/>
    <w:rsid w:val="00EE05BB"/>
    <w:rsid w:val="00EF59E8"/>
    <w:rsid w:val="00F03E86"/>
    <w:rsid w:val="00F37E67"/>
    <w:rsid w:val="00F63C79"/>
    <w:rsid w:val="00F658EA"/>
    <w:rsid w:val="00F658EC"/>
    <w:rsid w:val="00F766B5"/>
    <w:rsid w:val="00F92EEF"/>
    <w:rsid w:val="00FA0149"/>
    <w:rsid w:val="00FA30F3"/>
    <w:rsid w:val="00FA5F85"/>
    <w:rsid w:val="00FC2B30"/>
    <w:rsid w:val="00FD061C"/>
    <w:rsid w:val="00FE739D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515CAB3"/>
  <w15:docId w15:val="{EE70FE6F-1111-4FDB-921D-15A89CAA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F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BA481-1D08-43B5-A221-B5EAF39A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Secretario Gral</dc:creator>
  <cp:lastModifiedBy>Secretario Gral</cp:lastModifiedBy>
  <cp:revision>5</cp:revision>
  <cp:lastPrinted>2020-11-09T15:53:00Z</cp:lastPrinted>
  <dcterms:created xsi:type="dcterms:W3CDTF">2020-11-07T17:51:00Z</dcterms:created>
  <dcterms:modified xsi:type="dcterms:W3CDTF">2020-11-11T20:09:00Z</dcterms:modified>
</cp:coreProperties>
</file>