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36EB" w14:textId="256D301A" w:rsidR="009C1068" w:rsidRPr="00A62343" w:rsidRDefault="00340835" w:rsidP="001F54E1">
      <w:pPr>
        <w:widowControl w:val="0"/>
        <w:autoSpaceDE w:val="0"/>
        <w:autoSpaceDN w:val="0"/>
        <w:adjustRightInd w:val="0"/>
        <w:spacing w:before="100" w:beforeAutospacing="1" w:after="100" w:afterAutospacing="1"/>
        <w:ind w:left="3544"/>
        <w:jc w:val="both"/>
        <w:rPr>
          <w:rFonts w:ascii="Verdana" w:hAnsi="Verdana" w:cs="Arial"/>
          <w:b/>
          <w:bCs/>
          <w:sz w:val="22"/>
          <w:szCs w:val="22"/>
        </w:rPr>
      </w:pPr>
      <w:r w:rsidRPr="00A62343">
        <w:rPr>
          <w:rFonts w:ascii="Verdana" w:hAnsi="Verdana" w:cs="Arial"/>
          <w:b/>
          <w:bCs/>
          <w:sz w:val="22"/>
          <w:szCs w:val="22"/>
        </w:rPr>
        <w:t>RECURSOS DE APELACIÓN Y JUICIOS PARA LA PROTECCIÓN DE LOS DERECHOS POLÍTICO-ELECTORALES DE</w:t>
      </w:r>
      <w:r w:rsidR="00471463" w:rsidRPr="00A62343">
        <w:rPr>
          <w:rFonts w:ascii="Verdana" w:hAnsi="Verdana" w:cs="Arial"/>
          <w:b/>
          <w:bCs/>
          <w:sz w:val="22"/>
          <w:szCs w:val="22"/>
        </w:rPr>
        <w:t xml:space="preserve"> LA</w:t>
      </w:r>
      <w:r w:rsidRPr="00A62343">
        <w:rPr>
          <w:rFonts w:ascii="Verdana" w:hAnsi="Verdana" w:cs="Arial"/>
          <w:b/>
          <w:bCs/>
          <w:sz w:val="22"/>
          <w:szCs w:val="22"/>
        </w:rPr>
        <w:t xml:space="preserve"> CIUDADAN</w:t>
      </w:r>
      <w:r w:rsidR="00471463" w:rsidRPr="00A62343">
        <w:rPr>
          <w:rFonts w:ascii="Verdana" w:hAnsi="Verdana" w:cs="Arial"/>
          <w:b/>
          <w:bCs/>
          <w:sz w:val="22"/>
          <w:szCs w:val="22"/>
        </w:rPr>
        <w:t>ÍA</w:t>
      </w:r>
    </w:p>
    <w:p w14:paraId="607E96A2" w14:textId="4752E4A7" w:rsidR="009C1068" w:rsidRPr="00A62343" w:rsidRDefault="009C1068" w:rsidP="001F54E1">
      <w:pPr>
        <w:widowControl w:val="0"/>
        <w:autoSpaceDE w:val="0"/>
        <w:autoSpaceDN w:val="0"/>
        <w:adjustRightInd w:val="0"/>
        <w:spacing w:before="100" w:beforeAutospacing="1" w:after="100" w:afterAutospacing="1"/>
        <w:ind w:left="3544"/>
        <w:jc w:val="both"/>
        <w:rPr>
          <w:rFonts w:ascii="Verdana" w:hAnsi="Verdana" w:cs="Arial"/>
          <w:sz w:val="22"/>
          <w:szCs w:val="22"/>
        </w:rPr>
      </w:pPr>
      <w:r w:rsidRPr="00A62343">
        <w:rPr>
          <w:rFonts w:ascii="Verdana" w:hAnsi="Verdana" w:cs="Arial"/>
          <w:b/>
          <w:sz w:val="22"/>
          <w:szCs w:val="22"/>
        </w:rPr>
        <w:t>EXPEDIENTE</w:t>
      </w:r>
      <w:r w:rsidR="00D65F39" w:rsidRPr="00A62343">
        <w:rPr>
          <w:rFonts w:ascii="Verdana" w:hAnsi="Verdana" w:cs="Arial"/>
          <w:b/>
          <w:sz w:val="22"/>
          <w:szCs w:val="22"/>
        </w:rPr>
        <w:t>S</w:t>
      </w:r>
      <w:r w:rsidRPr="00A62343">
        <w:rPr>
          <w:rFonts w:ascii="Verdana" w:hAnsi="Verdana" w:cs="Arial"/>
          <w:b/>
          <w:sz w:val="22"/>
          <w:szCs w:val="22"/>
        </w:rPr>
        <w:t xml:space="preserve">: </w:t>
      </w:r>
      <w:r w:rsidRPr="00A62343">
        <w:rPr>
          <w:rFonts w:ascii="Verdana" w:eastAsia="Arial" w:hAnsi="Verdana" w:cs="Arial"/>
          <w:sz w:val="22"/>
          <w:szCs w:val="22"/>
        </w:rPr>
        <w:t>TEEA-</w:t>
      </w:r>
      <w:r w:rsidR="00CA54D4" w:rsidRPr="00A62343">
        <w:rPr>
          <w:rFonts w:ascii="Verdana" w:eastAsia="Arial" w:hAnsi="Verdana" w:cs="Arial"/>
          <w:sz w:val="22"/>
          <w:szCs w:val="22"/>
        </w:rPr>
        <w:t>RAP</w:t>
      </w:r>
      <w:r w:rsidRPr="00A62343">
        <w:rPr>
          <w:rFonts w:ascii="Verdana" w:eastAsia="Arial" w:hAnsi="Verdana" w:cs="Arial"/>
          <w:sz w:val="22"/>
          <w:szCs w:val="22"/>
        </w:rPr>
        <w:t>-0</w:t>
      </w:r>
      <w:r w:rsidR="00D65F39" w:rsidRPr="00A62343">
        <w:rPr>
          <w:rFonts w:ascii="Verdana" w:eastAsia="Arial" w:hAnsi="Verdana" w:cs="Arial"/>
          <w:sz w:val="22"/>
          <w:szCs w:val="22"/>
        </w:rPr>
        <w:t>12</w:t>
      </w:r>
      <w:r w:rsidRPr="00A62343">
        <w:rPr>
          <w:rFonts w:ascii="Verdana" w:eastAsia="Arial" w:hAnsi="Verdana" w:cs="Arial"/>
          <w:sz w:val="22"/>
          <w:szCs w:val="22"/>
        </w:rPr>
        <w:t>/2023</w:t>
      </w:r>
      <w:r w:rsidR="00D65F39" w:rsidRPr="00A62343">
        <w:rPr>
          <w:rFonts w:ascii="Verdana" w:eastAsia="Arial" w:hAnsi="Verdana" w:cs="Arial"/>
          <w:sz w:val="22"/>
          <w:szCs w:val="22"/>
        </w:rPr>
        <w:t xml:space="preserve"> </w:t>
      </w:r>
      <w:r w:rsidR="00471463" w:rsidRPr="00A62343">
        <w:rPr>
          <w:rFonts w:ascii="Verdana" w:eastAsia="Arial" w:hAnsi="Verdana" w:cs="Arial"/>
          <w:sz w:val="22"/>
          <w:szCs w:val="22"/>
        </w:rPr>
        <w:t>Y ACUMULADOS</w:t>
      </w:r>
      <w:r w:rsidR="00D65F39" w:rsidRPr="00A62343">
        <w:rPr>
          <w:rFonts w:ascii="Verdana" w:eastAsia="Arial" w:hAnsi="Verdana" w:cs="Arial"/>
          <w:sz w:val="22"/>
          <w:szCs w:val="22"/>
        </w:rPr>
        <w:t>.</w:t>
      </w:r>
    </w:p>
    <w:p w14:paraId="1B2FA0E7" w14:textId="521AB57B" w:rsidR="00CA54D4" w:rsidRPr="00A62343" w:rsidRDefault="009C1068" w:rsidP="001F54E1">
      <w:pPr>
        <w:widowControl w:val="0"/>
        <w:autoSpaceDE w:val="0"/>
        <w:autoSpaceDN w:val="0"/>
        <w:adjustRightInd w:val="0"/>
        <w:spacing w:before="100" w:beforeAutospacing="1" w:after="100" w:afterAutospacing="1"/>
        <w:ind w:left="3544"/>
        <w:jc w:val="both"/>
        <w:rPr>
          <w:rFonts w:ascii="Verdana" w:eastAsia="Arial" w:hAnsi="Verdana" w:cs="Arial"/>
          <w:bCs/>
          <w:sz w:val="22"/>
          <w:szCs w:val="22"/>
          <w:lang w:val="es-MX"/>
        </w:rPr>
      </w:pPr>
      <w:r w:rsidRPr="00A62343">
        <w:rPr>
          <w:rFonts w:ascii="Verdana" w:hAnsi="Verdana" w:cs="Arial"/>
          <w:b/>
          <w:bCs/>
          <w:sz w:val="22"/>
          <w:szCs w:val="22"/>
          <w:lang w:val="es-ES_tradnl"/>
        </w:rPr>
        <w:t>PARTE</w:t>
      </w:r>
      <w:r w:rsidR="00F90F89" w:rsidRPr="00A62343">
        <w:rPr>
          <w:rFonts w:ascii="Verdana" w:hAnsi="Verdana" w:cs="Arial"/>
          <w:b/>
          <w:bCs/>
          <w:sz w:val="22"/>
          <w:szCs w:val="22"/>
          <w:lang w:val="es-ES_tradnl"/>
        </w:rPr>
        <w:t xml:space="preserve"> </w:t>
      </w:r>
      <w:r w:rsidR="0024548D" w:rsidRPr="00A62343">
        <w:rPr>
          <w:rFonts w:ascii="Verdana" w:hAnsi="Verdana" w:cs="Arial"/>
          <w:b/>
          <w:bCs/>
          <w:sz w:val="22"/>
          <w:szCs w:val="22"/>
          <w:lang w:val="es-ES_tradnl"/>
        </w:rPr>
        <w:t>RECURRENTE</w:t>
      </w:r>
      <w:r w:rsidRPr="00A62343">
        <w:rPr>
          <w:rFonts w:ascii="Verdana" w:hAnsi="Verdana" w:cs="Arial"/>
          <w:b/>
          <w:bCs/>
          <w:sz w:val="22"/>
          <w:szCs w:val="22"/>
          <w:lang w:val="es-ES_tradnl"/>
        </w:rPr>
        <w:t>:</w:t>
      </w:r>
      <w:r w:rsidR="00AA74E1" w:rsidRPr="00A62343">
        <w:rPr>
          <w:rFonts w:ascii="Verdana" w:hAnsi="Verdana" w:cs="Arial"/>
          <w:b/>
          <w:bCs/>
          <w:sz w:val="22"/>
          <w:szCs w:val="22"/>
          <w:lang w:val="es-ES_tradnl"/>
        </w:rPr>
        <w:t xml:space="preserve"> </w:t>
      </w:r>
      <w:r w:rsidR="00AA74E1" w:rsidRPr="00A62343">
        <w:rPr>
          <w:rFonts w:ascii="Verdana" w:hAnsi="Verdana" w:cs="Arial"/>
          <w:sz w:val="22"/>
          <w:szCs w:val="22"/>
          <w:lang w:val="es-ES_tradnl"/>
        </w:rPr>
        <w:t xml:space="preserve">Partido Acción Nacional </w:t>
      </w:r>
      <w:r w:rsidR="00D65F39" w:rsidRPr="00A62343">
        <w:rPr>
          <w:rFonts w:ascii="Verdana" w:hAnsi="Verdana" w:cs="Arial"/>
          <w:sz w:val="22"/>
          <w:szCs w:val="22"/>
          <w:lang w:val="es-ES_tradnl"/>
        </w:rPr>
        <w:t>y otro</w:t>
      </w:r>
      <w:r w:rsidR="00340835" w:rsidRPr="00A62343">
        <w:rPr>
          <w:rFonts w:ascii="Verdana" w:hAnsi="Verdana" w:cs="Arial"/>
          <w:sz w:val="22"/>
          <w:szCs w:val="22"/>
          <w:lang w:val="es-ES_tradnl"/>
        </w:rPr>
        <w:t>s</w:t>
      </w:r>
      <w:r w:rsidR="00D65F39" w:rsidRPr="00A62343">
        <w:rPr>
          <w:rFonts w:ascii="Verdana" w:hAnsi="Verdana" w:cs="Arial"/>
          <w:sz w:val="22"/>
          <w:szCs w:val="22"/>
          <w:lang w:val="es-ES_tradnl"/>
        </w:rPr>
        <w:t>.</w:t>
      </w:r>
    </w:p>
    <w:p w14:paraId="1DB95023" w14:textId="6040D8C3" w:rsidR="009C1068" w:rsidRPr="00A62343" w:rsidRDefault="009C1068" w:rsidP="001F54E1">
      <w:pPr>
        <w:widowControl w:val="0"/>
        <w:autoSpaceDE w:val="0"/>
        <w:autoSpaceDN w:val="0"/>
        <w:adjustRightInd w:val="0"/>
        <w:spacing w:before="100" w:beforeAutospacing="1" w:after="100" w:afterAutospacing="1"/>
        <w:ind w:left="3544"/>
        <w:jc w:val="both"/>
        <w:rPr>
          <w:rFonts w:ascii="Verdana" w:eastAsia="Arial" w:hAnsi="Verdana" w:cs="Arial"/>
          <w:sz w:val="22"/>
          <w:szCs w:val="22"/>
        </w:rPr>
      </w:pPr>
      <w:r w:rsidRPr="00A62343">
        <w:rPr>
          <w:rFonts w:ascii="Verdana" w:hAnsi="Verdana" w:cs="Arial"/>
          <w:b/>
          <w:bCs/>
          <w:sz w:val="22"/>
          <w:szCs w:val="22"/>
          <w:lang w:val="es-ES_tradnl"/>
        </w:rPr>
        <w:t>AUTORIDAD RESPONSABLE:</w:t>
      </w:r>
      <w:r w:rsidRPr="00A62343">
        <w:rPr>
          <w:rFonts w:ascii="Verdana" w:hAnsi="Verdana" w:cs="Arial"/>
          <w:sz w:val="22"/>
          <w:szCs w:val="22"/>
          <w:lang w:val="es-ES_tradnl"/>
        </w:rPr>
        <w:t xml:space="preserve"> </w:t>
      </w:r>
      <w:r w:rsidR="00AF2130" w:rsidRPr="00A62343">
        <w:rPr>
          <w:rFonts w:ascii="Verdana" w:eastAsia="Arial" w:hAnsi="Verdana" w:cs="Arial"/>
          <w:bCs/>
          <w:sz w:val="22"/>
          <w:szCs w:val="22"/>
        </w:rPr>
        <w:t>Consejo General del Instituto Estatal Electoral de Aguascalientes.</w:t>
      </w:r>
    </w:p>
    <w:p w14:paraId="69441538" w14:textId="7A8569BE" w:rsidR="009C1068" w:rsidRPr="00A62343" w:rsidRDefault="009C1068" w:rsidP="001F54E1">
      <w:pPr>
        <w:widowControl w:val="0"/>
        <w:autoSpaceDE w:val="0"/>
        <w:autoSpaceDN w:val="0"/>
        <w:adjustRightInd w:val="0"/>
        <w:spacing w:before="100" w:beforeAutospacing="1" w:after="100" w:afterAutospacing="1"/>
        <w:ind w:left="3544"/>
        <w:jc w:val="both"/>
        <w:rPr>
          <w:rFonts w:ascii="Verdana" w:hAnsi="Verdana" w:cs="Tahoma"/>
          <w:sz w:val="22"/>
          <w:szCs w:val="22"/>
          <w:lang w:val="es-MX"/>
        </w:rPr>
      </w:pPr>
      <w:r w:rsidRPr="00A62343">
        <w:rPr>
          <w:rFonts w:ascii="Verdana" w:hAnsi="Verdana" w:cs="Tahoma"/>
          <w:b/>
          <w:bCs/>
          <w:sz w:val="22"/>
          <w:szCs w:val="22"/>
          <w:lang w:val="es-ES_tradnl"/>
        </w:rPr>
        <w:t>MAGISTRATURA PONENTE</w:t>
      </w:r>
      <w:r w:rsidRPr="00A62343">
        <w:rPr>
          <w:rFonts w:ascii="Verdana" w:hAnsi="Verdana" w:cs="Tahoma"/>
          <w:bCs/>
          <w:sz w:val="22"/>
          <w:szCs w:val="22"/>
          <w:lang w:val="es-ES_tradnl"/>
        </w:rPr>
        <w:t>:</w:t>
      </w:r>
      <w:r w:rsidRPr="00A62343">
        <w:rPr>
          <w:rFonts w:ascii="Verdana" w:hAnsi="Verdana" w:cs="Tahoma"/>
          <w:b/>
          <w:bCs/>
          <w:sz w:val="22"/>
          <w:szCs w:val="22"/>
          <w:lang w:val="es-ES_tradnl"/>
        </w:rPr>
        <w:t xml:space="preserve"> </w:t>
      </w:r>
      <w:r w:rsidR="00AA74E1" w:rsidRPr="00A62343">
        <w:rPr>
          <w:rFonts w:ascii="Verdana" w:hAnsi="Verdana" w:cs="Tahoma"/>
          <w:sz w:val="22"/>
          <w:szCs w:val="22"/>
          <w:lang w:val="es-MX"/>
        </w:rPr>
        <w:t>Héctor Salvador Hernández Gallegos</w:t>
      </w:r>
      <w:r w:rsidR="00446AC7" w:rsidRPr="00A62343">
        <w:rPr>
          <w:rFonts w:ascii="Verdana" w:hAnsi="Verdana" w:cs="Tahoma"/>
          <w:sz w:val="22"/>
          <w:szCs w:val="22"/>
          <w:lang w:val="es-MX"/>
        </w:rPr>
        <w:t>.</w:t>
      </w:r>
    </w:p>
    <w:p w14:paraId="66522222" w14:textId="64119247" w:rsidR="009C1068" w:rsidRPr="00A62343" w:rsidRDefault="009C1068" w:rsidP="001F54E1">
      <w:pPr>
        <w:widowControl w:val="0"/>
        <w:autoSpaceDE w:val="0"/>
        <w:autoSpaceDN w:val="0"/>
        <w:adjustRightInd w:val="0"/>
        <w:spacing w:before="100" w:beforeAutospacing="1" w:after="100" w:afterAutospacing="1"/>
        <w:ind w:left="3544"/>
        <w:jc w:val="both"/>
        <w:rPr>
          <w:rFonts w:ascii="Verdana" w:hAnsi="Verdana" w:cs="Tahoma"/>
          <w:sz w:val="22"/>
          <w:szCs w:val="22"/>
        </w:rPr>
      </w:pPr>
      <w:r w:rsidRPr="00A62343">
        <w:rPr>
          <w:rFonts w:ascii="Verdana" w:hAnsi="Verdana" w:cs="Tahoma"/>
          <w:b/>
          <w:bCs/>
          <w:caps/>
          <w:sz w:val="22"/>
          <w:szCs w:val="22"/>
        </w:rPr>
        <w:t>Secretar</w:t>
      </w:r>
      <w:r w:rsidR="00B11444" w:rsidRPr="00A62343">
        <w:rPr>
          <w:rFonts w:ascii="Verdana" w:hAnsi="Verdana" w:cs="Tahoma"/>
          <w:b/>
          <w:bCs/>
          <w:caps/>
          <w:sz w:val="22"/>
          <w:szCs w:val="22"/>
        </w:rPr>
        <w:t>IADO DE ESTUDIO</w:t>
      </w:r>
      <w:r w:rsidRPr="00A62343">
        <w:rPr>
          <w:rFonts w:ascii="Verdana" w:hAnsi="Verdana" w:cs="Tahoma"/>
          <w:b/>
          <w:bCs/>
          <w:caps/>
          <w:sz w:val="22"/>
          <w:szCs w:val="22"/>
        </w:rPr>
        <w:t xml:space="preserve">: </w:t>
      </w:r>
      <w:r w:rsidR="00340835" w:rsidRPr="00A62343">
        <w:rPr>
          <w:rFonts w:ascii="Verdana" w:hAnsi="Verdana" w:cs="Tahoma"/>
          <w:sz w:val="22"/>
          <w:szCs w:val="22"/>
        </w:rPr>
        <w:t>Daniela Vega Rangel</w:t>
      </w:r>
      <w:r w:rsidR="00AA74E1" w:rsidRPr="00A62343">
        <w:rPr>
          <w:rFonts w:ascii="Verdana" w:hAnsi="Verdana" w:cs="Tahoma"/>
          <w:sz w:val="22"/>
          <w:szCs w:val="22"/>
        </w:rPr>
        <w:t>.</w:t>
      </w:r>
      <w:r w:rsidRPr="00A62343">
        <w:rPr>
          <w:rFonts w:ascii="Verdana" w:hAnsi="Verdana" w:cs="Tahoma"/>
          <w:sz w:val="22"/>
          <w:szCs w:val="22"/>
        </w:rPr>
        <w:t xml:space="preserve"> </w:t>
      </w:r>
    </w:p>
    <w:p w14:paraId="2E2ED518" w14:textId="19BA544A" w:rsidR="00D65F39" w:rsidRPr="00A62343" w:rsidRDefault="00B31B13" w:rsidP="001F54E1">
      <w:pPr>
        <w:widowControl w:val="0"/>
        <w:autoSpaceDE w:val="0"/>
        <w:autoSpaceDN w:val="0"/>
        <w:adjustRightInd w:val="0"/>
        <w:spacing w:before="100" w:beforeAutospacing="1" w:after="100" w:afterAutospacing="1"/>
        <w:ind w:left="3544"/>
        <w:jc w:val="both"/>
        <w:rPr>
          <w:rFonts w:ascii="Verdana" w:hAnsi="Verdana" w:cs="Tahoma"/>
          <w:sz w:val="22"/>
          <w:szCs w:val="22"/>
        </w:rPr>
      </w:pPr>
      <w:r w:rsidRPr="00A62343">
        <w:rPr>
          <w:rFonts w:ascii="Verdana" w:hAnsi="Verdana" w:cs="Tahoma"/>
          <w:b/>
          <w:bCs/>
          <w:sz w:val="22"/>
          <w:szCs w:val="22"/>
        </w:rPr>
        <w:t>COLABORÓ</w:t>
      </w:r>
      <w:r w:rsidR="00D65F39" w:rsidRPr="00A62343">
        <w:rPr>
          <w:rFonts w:ascii="Verdana" w:hAnsi="Verdana" w:cs="Tahoma"/>
          <w:b/>
          <w:bCs/>
          <w:sz w:val="22"/>
          <w:szCs w:val="22"/>
        </w:rPr>
        <w:t xml:space="preserve">: </w:t>
      </w:r>
      <w:proofErr w:type="spellStart"/>
      <w:r w:rsidR="00D65F39" w:rsidRPr="00A62343">
        <w:rPr>
          <w:rFonts w:ascii="Verdana" w:hAnsi="Verdana" w:cs="Tahoma"/>
          <w:sz w:val="22"/>
          <w:szCs w:val="22"/>
        </w:rPr>
        <w:t>Ericka</w:t>
      </w:r>
      <w:proofErr w:type="spellEnd"/>
      <w:r w:rsidR="00D65F39" w:rsidRPr="00A62343">
        <w:rPr>
          <w:rFonts w:ascii="Verdana" w:hAnsi="Verdana" w:cs="Tahoma"/>
          <w:sz w:val="22"/>
          <w:szCs w:val="22"/>
        </w:rPr>
        <w:t xml:space="preserve"> Ivette Rodríguez Martínez</w:t>
      </w:r>
      <w:r w:rsidR="00340835" w:rsidRPr="00A62343">
        <w:rPr>
          <w:rFonts w:ascii="Verdana" w:hAnsi="Verdana" w:cs="Tahoma"/>
          <w:sz w:val="22"/>
          <w:szCs w:val="22"/>
        </w:rPr>
        <w:t xml:space="preserve"> y Diego Felipe Valadez Gómez</w:t>
      </w:r>
      <w:r w:rsidR="00D65F39" w:rsidRPr="00A62343">
        <w:rPr>
          <w:rFonts w:ascii="Verdana" w:hAnsi="Verdana" w:cs="Tahoma"/>
          <w:sz w:val="22"/>
          <w:szCs w:val="22"/>
        </w:rPr>
        <w:t>.</w:t>
      </w:r>
    </w:p>
    <w:p w14:paraId="43BC4020" w14:textId="77777777" w:rsidR="00340835" w:rsidRPr="00A62343" w:rsidRDefault="00340835" w:rsidP="001F54E1">
      <w:pPr>
        <w:spacing w:before="100" w:beforeAutospacing="1" w:after="100" w:afterAutospacing="1" w:line="360" w:lineRule="auto"/>
        <w:jc w:val="both"/>
        <w:rPr>
          <w:rFonts w:ascii="Verdana" w:hAnsi="Verdana"/>
          <w:b/>
          <w:sz w:val="22"/>
          <w:szCs w:val="22"/>
        </w:rPr>
      </w:pPr>
    </w:p>
    <w:p w14:paraId="77F45F4B" w14:textId="2047108C" w:rsidR="009C1068" w:rsidRPr="00A62343" w:rsidRDefault="009C1068" w:rsidP="001F54E1">
      <w:pPr>
        <w:spacing w:before="100" w:beforeAutospacing="1" w:after="100" w:afterAutospacing="1" w:line="360" w:lineRule="auto"/>
        <w:jc w:val="both"/>
        <w:rPr>
          <w:rFonts w:ascii="Verdana" w:hAnsi="Verdana"/>
          <w:b/>
          <w:sz w:val="22"/>
          <w:szCs w:val="22"/>
        </w:rPr>
      </w:pPr>
      <w:r w:rsidRPr="00A62343">
        <w:rPr>
          <w:rFonts w:ascii="Verdana" w:hAnsi="Verdana"/>
          <w:b/>
          <w:sz w:val="22"/>
          <w:szCs w:val="22"/>
        </w:rPr>
        <w:t xml:space="preserve">Aguascalientes, Aguascalientes, a </w:t>
      </w:r>
      <w:r w:rsidR="00A62343">
        <w:rPr>
          <w:rFonts w:ascii="Verdana" w:hAnsi="Verdana"/>
          <w:b/>
          <w:sz w:val="22"/>
          <w:szCs w:val="22"/>
        </w:rPr>
        <w:t>veinticuatro</w:t>
      </w:r>
      <w:r w:rsidR="00AF2130" w:rsidRPr="00A62343">
        <w:rPr>
          <w:rFonts w:ascii="Verdana" w:hAnsi="Verdana"/>
          <w:b/>
          <w:sz w:val="22"/>
          <w:szCs w:val="22"/>
        </w:rPr>
        <w:t xml:space="preserve"> </w:t>
      </w:r>
      <w:r w:rsidRPr="00A62343">
        <w:rPr>
          <w:rFonts w:ascii="Verdana" w:hAnsi="Verdana"/>
          <w:b/>
          <w:sz w:val="22"/>
          <w:szCs w:val="22"/>
        </w:rPr>
        <w:t xml:space="preserve">de </w:t>
      </w:r>
      <w:r w:rsidR="00AA74E1" w:rsidRPr="00A62343">
        <w:rPr>
          <w:rFonts w:ascii="Verdana" w:hAnsi="Verdana"/>
          <w:b/>
          <w:sz w:val="22"/>
          <w:szCs w:val="22"/>
        </w:rPr>
        <w:t>noviembre</w:t>
      </w:r>
      <w:r w:rsidR="00AF2130" w:rsidRPr="00A62343">
        <w:rPr>
          <w:rFonts w:ascii="Verdana" w:hAnsi="Verdana"/>
          <w:b/>
          <w:sz w:val="22"/>
          <w:szCs w:val="22"/>
        </w:rPr>
        <w:t xml:space="preserve"> </w:t>
      </w:r>
      <w:r w:rsidRPr="00A62343">
        <w:rPr>
          <w:rFonts w:ascii="Verdana" w:hAnsi="Verdana"/>
          <w:b/>
          <w:sz w:val="22"/>
          <w:szCs w:val="22"/>
        </w:rPr>
        <w:t>de</w:t>
      </w:r>
      <w:r w:rsidR="00B776F4" w:rsidRPr="00A62343">
        <w:rPr>
          <w:rFonts w:ascii="Verdana" w:hAnsi="Verdana"/>
          <w:b/>
          <w:sz w:val="22"/>
          <w:szCs w:val="22"/>
        </w:rPr>
        <w:t>l</w:t>
      </w:r>
      <w:r w:rsidRPr="00A62343">
        <w:rPr>
          <w:rFonts w:ascii="Verdana" w:hAnsi="Verdana"/>
          <w:b/>
          <w:sz w:val="22"/>
          <w:szCs w:val="22"/>
        </w:rPr>
        <w:t xml:space="preserve"> dos mil veintitrés.</w:t>
      </w:r>
    </w:p>
    <w:p w14:paraId="7A90DD6B" w14:textId="61A7E403" w:rsidR="00B66DCC" w:rsidRPr="00A62343" w:rsidRDefault="007466BA" w:rsidP="001F54E1">
      <w:pPr>
        <w:spacing w:before="100" w:beforeAutospacing="1" w:after="100" w:afterAutospacing="1" w:line="360" w:lineRule="auto"/>
        <w:jc w:val="both"/>
        <w:rPr>
          <w:rFonts w:ascii="Verdana" w:hAnsi="Verdana"/>
          <w:bCs/>
          <w:sz w:val="22"/>
          <w:szCs w:val="22"/>
        </w:rPr>
      </w:pPr>
      <w:r w:rsidRPr="00A62343">
        <w:rPr>
          <w:rFonts w:ascii="Verdana" w:hAnsi="Verdana"/>
          <w:b/>
          <w:sz w:val="22"/>
          <w:szCs w:val="22"/>
        </w:rPr>
        <w:t>Sentencia</w:t>
      </w:r>
      <w:r w:rsidR="009C1068" w:rsidRPr="00A62343">
        <w:rPr>
          <w:rFonts w:ascii="Verdana" w:hAnsi="Verdana"/>
          <w:bCs/>
          <w:sz w:val="22"/>
          <w:szCs w:val="22"/>
        </w:rPr>
        <w:t xml:space="preserve"> que</w:t>
      </w:r>
      <w:r w:rsidR="00D15003" w:rsidRPr="00A62343">
        <w:rPr>
          <w:rFonts w:ascii="Verdana" w:hAnsi="Verdana"/>
          <w:b/>
          <w:sz w:val="22"/>
          <w:szCs w:val="22"/>
        </w:rPr>
        <w:t xml:space="preserve"> </w:t>
      </w:r>
      <w:r w:rsidR="002B21D4" w:rsidRPr="00A62343">
        <w:rPr>
          <w:rFonts w:ascii="Verdana" w:hAnsi="Verdana"/>
          <w:b/>
          <w:sz w:val="22"/>
          <w:szCs w:val="22"/>
        </w:rPr>
        <w:t>MODIFICA</w:t>
      </w:r>
      <w:r w:rsidR="002423A2" w:rsidRPr="00A62343">
        <w:rPr>
          <w:rFonts w:ascii="Verdana" w:hAnsi="Verdana"/>
          <w:bCs/>
          <w:sz w:val="22"/>
          <w:szCs w:val="22"/>
        </w:rPr>
        <w:t xml:space="preserve"> </w:t>
      </w:r>
      <w:r w:rsidR="00D65F39" w:rsidRPr="00A62343">
        <w:rPr>
          <w:rFonts w:ascii="Verdana" w:hAnsi="Verdana"/>
          <w:bCs/>
          <w:sz w:val="22"/>
          <w:szCs w:val="22"/>
        </w:rPr>
        <w:t xml:space="preserve">en lo que fue materia de impugnación, </w:t>
      </w:r>
      <w:r w:rsidR="00AA74E1" w:rsidRPr="00A62343">
        <w:rPr>
          <w:rFonts w:ascii="Verdana" w:hAnsi="Verdana"/>
          <w:bCs/>
          <w:sz w:val="22"/>
          <w:szCs w:val="22"/>
        </w:rPr>
        <w:t>el</w:t>
      </w:r>
      <w:r w:rsidR="00BA0F30" w:rsidRPr="00A62343">
        <w:rPr>
          <w:rFonts w:ascii="Verdana" w:hAnsi="Verdana"/>
          <w:bCs/>
          <w:sz w:val="22"/>
          <w:szCs w:val="22"/>
        </w:rPr>
        <w:t xml:space="preserve"> </w:t>
      </w:r>
      <w:r w:rsidR="00AA74E1" w:rsidRPr="00A62343">
        <w:rPr>
          <w:rFonts w:ascii="Verdana" w:hAnsi="Verdana"/>
          <w:bCs/>
          <w:sz w:val="22"/>
          <w:szCs w:val="22"/>
        </w:rPr>
        <w:t xml:space="preserve">acuerdo </w:t>
      </w:r>
      <w:r w:rsidR="00BA0F30" w:rsidRPr="00A62343">
        <w:rPr>
          <w:rFonts w:ascii="Verdana" w:hAnsi="Verdana"/>
          <w:bCs/>
          <w:sz w:val="22"/>
          <w:szCs w:val="22"/>
        </w:rPr>
        <w:t>CG-</w:t>
      </w:r>
      <w:r w:rsidR="00AA74E1" w:rsidRPr="00A62343">
        <w:rPr>
          <w:rFonts w:ascii="Verdana" w:hAnsi="Verdana"/>
          <w:bCs/>
          <w:sz w:val="22"/>
          <w:szCs w:val="22"/>
        </w:rPr>
        <w:t>A</w:t>
      </w:r>
      <w:r w:rsidR="00BA0F30" w:rsidRPr="00A62343">
        <w:rPr>
          <w:rFonts w:ascii="Verdana" w:hAnsi="Verdana"/>
          <w:bCs/>
          <w:sz w:val="22"/>
          <w:szCs w:val="22"/>
        </w:rPr>
        <w:t>-</w:t>
      </w:r>
      <w:r w:rsidR="00AA74E1" w:rsidRPr="00A62343">
        <w:rPr>
          <w:rFonts w:ascii="Verdana" w:hAnsi="Verdana"/>
          <w:bCs/>
          <w:sz w:val="22"/>
          <w:szCs w:val="22"/>
        </w:rPr>
        <w:t>47</w:t>
      </w:r>
      <w:r w:rsidR="00BA0F30" w:rsidRPr="00A62343">
        <w:rPr>
          <w:rFonts w:ascii="Verdana" w:hAnsi="Verdana"/>
          <w:bCs/>
          <w:sz w:val="22"/>
          <w:szCs w:val="22"/>
        </w:rPr>
        <w:t xml:space="preserve">/23, de fecha </w:t>
      </w:r>
      <w:r w:rsidR="00AA74E1" w:rsidRPr="00A62343">
        <w:rPr>
          <w:rFonts w:ascii="Verdana" w:hAnsi="Verdana"/>
          <w:bCs/>
          <w:sz w:val="22"/>
          <w:szCs w:val="22"/>
        </w:rPr>
        <w:t>veintisiete de octubre</w:t>
      </w:r>
      <w:r w:rsidR="00BA0F30" w:rsidRPr="00A62343">
        <w:rPr>
          <w:rFonts w:ascii="Verdana" w:hAnsi="Verdana"/>
          <w:bCs/>
          <w:sz w:val="22"/>
          <w:szCs w:val="22"/>
        </w:rPr>
        <w:t xml:space="preserve"> del dos mil veintitrés, </w:t>
      </w:r>
      <w:r w:rsidR="006E4C71" w:rsidRPr="00A62343">
        <w:rPr>
          <w:rFonts w:ascii="Verdana" w:hAnsi="Verdana"/>
          <w:bCs/>
          <w:sz w:val="22"/>
          <w:szCs w:val="22"/>
        </w:rPr>
        <w:t>emitido por</w:t>
      </w:r>
      <w:r w:rsidR="00BA0F30" w:rsidRPr="00A62343">
        <w:rPr>
          <w:rFonts w:ascii="Verdana" w:hAnsi="Verdana"/>
          <w:bCs/>
          <w:sz w:val="22"/>
          <w:szCs w:val="22"/>
        </w:rPr>
        <w:t xml:space="preserve"> el Consejo General del Instituto Estatal Electoral de Aguascalientes (</w:t>
      </w:r>
      <w:r w:rsidR="00BA0F30" w:rsidRPr="00A62343">
        <w:rPr>
          <w:rFonts w:ascii="Verdana" w:hAnsi="Verdana"/>
          <w:bCs/>
          <w:smallCaps/>
          <w:sz w:val="22"/>
          <w:szCs w:val="22"/>
        </w:rPr>
        <w:t>Autoridad Responsable</w:t>
      </w:r>
      <w:r w:rsidR="00BA0F30" w:rsidRPr="00A62343">
        <w:rPr>
          <w:rFonts w:ascii="Verdana" w:hAnsi="Verdana"/>
          <w:bCs/>
          <w:sz w:val="22"/>
          <w:szCs w:val="22"/>
        </w:rPr>
        <w:t xml:space="preserve">), </w:t>
      </w:r>
      <w:r w:rsidR="006E4C71" w:rsidRPr="00A62343">
        <w:rPr>
          <w:rFonts w:ascii="Verdana" w:hAnsi="Verdana"/>
          <w:bCs/>
          <w:sz w:val="22"/>
          <w:szCs w:val="22"/>
        </w:rPr>
        <w:t xml:space="preserve">mediante el cual </w:t>
      </w:r>
      <w:r w:rsidR="00471463" w:rsidRPr="00A62343">
        <w:rPr>
          <w:rFonts w:ascii="Verdana" w:hAnsi="Verdana"/>
          <w:bCs/>
          <w:sz w:val="22"/>
          <w:szCs w:val="22"/>
        </w:rPr>
        <w:t xml:space="preserve">se </w:t>
      </w:r>
      <w:r w:rsidR="006E4C71" w:rsidRPr="00A62343">
        <w:rPr>
          <w:rFonts w:ascii="Verdana" w:hAnsi="Verdana"/>
          <w:bCs/>
          <w:sz w:val="22"/>
          <w:szCs w:val="22"/>
        </w:rPr>
        <w:t>apr</w:t>
      </w:r>
      <w:r w:rsidR="005E319C" w:rsidRPr="00A62343">
        <w:rPr>
          <w:rFonts w:ascii="Verdana" w:hAnsi="Verdana"/>
          <w:bCs/>
          <w:sz w:val="22"/>
          <w:szCs w:val="22"/>
        </w:rPr>
        <w:t>obaron</w:t>
      </w:r>
      <w:r w:rsidR="006E4C71" w:rsidRPr="00A62343">
        <w:rPr>
          <w:rFonts w:ascii="Verdana" w:hAnsi="Verdana"/>
          <w:bCs/>
          <w:sz w:val="22"/>
          <w:szCs w:val="22"/>
        </w:rPr>
        <w:t xml:space="preserve"> </w:t>
      </w:r>
      <w:r w:rsidR="005277A5" w:rsidRPr="00A62343">
        <w:rPr>
          <w:rFonts w:ascii="Verdana" w:hAnsi="Verdana"/>
          <w:bCs/>
          <w:sz w:val="22"/>
          <w:szCs w:val="22"/>
        </w:rPr>
        <w:t>los</w:t>
      </w:r>
      <w:r w:rsidR="00AA74E1" w:rsidRPr="00A62343">
        <w:rPr>
          <w:rFonts w:ascii="Verdana" w:hAnsi="Verdana"/>
          <w:bCs/>
          <w:sz w:val="22"/>
          <w:szCs w:val="22"/>
        </w:rPr>
        <w:t xml:space="preserve"> </w:t>
      </w:r>
      <w:r w:rsidR="005277A5" w:rsidRPr="00A62343">
        <w:rPr>
          <w:rFonts w:ascii="Verdana" w:hAnsi="Verdana"/>
          <w:bCs/>
          <w:sz w:val="22"/>
          <w:szCs w:val="22"/>
        </w:rPr>
        <w:t>L</w:t>
      </w:r>
      <w:r w:rsidR="00AA74E1" w:rsidRPr="00A62343">
        <w:rPr>
          <w:rFonts w:ascii="Verdana" w:hAnsi="Verdana"/>
          <w:bCs/>
          <w:sz w:val="22"/>
          <w:szCs w:val="22"/>
        </w:rPr>
        <w:t>ineamientos para la implementación de acciones afirmativas en favor de los grupos de atención prioritaria en la postulación de candidaturas, en el proceso electoral concurren</w:t>
      </w:r>
      <w:r w:rsidR="00B66DCC" w:rsidRPr="00A62343">
        <w:rPr>
          <w:rFonts w:ascii="Verdana" w:hAnsi="Verdana"/>
          <w:bCs/>
          <w:sz w:val="22"/>
          <w:szCs w:val="22"/>
        </w:rPr>
        <w:t>te 2023-2024 en Aguascalientes</w:t>
      </w:r>
      <w:r w:rsidR="006E4C71" w:rsidRPr="00A62343">
        <w:rPr>
          <w:rFonts w:ascii="Verdana" w:hAnsi="Verdana"/>
          <w:bCs/>
          <w:i/>
          <w:iCs/>
          <w:sz w:val="22"/>
          <w:szCs w:val="22"/>
        </w:rPr>
        <w:t xml:space="preserve"> </w:t>
      </w:r>
      <w:r w:rsidR="00D65F39" w:rsidRPr="00A62343">
        <w:rPr>
          <w:rFonts w:ascii="Verdana" w:hAnsi="Verdana"/>
          <w:bCs/>
          <w:sz w:val="22"/>
          <w:szCs w:val="22"/>
        </w:rPr>
        <w:t>(</w:t>
      </w:r>
      <w:r w:rsidR="00D65F39" w:rsidRPr="00A62343">
        <w:rPr>
          <w:rFonts w:ascii="Verdana" w:hAnsi="Verdana"/>
          <w:bCs/>
          <w:smallCaps/>
          <w:sz w:val="22"/>
          <w:szCs w:val="22"/>
        </w:rPr>
        <w:t xml:space="preserve">Acto </w:t>
      </w:r>
      <w:r w:rsidR="00383758" w:rsidRPr="00A62343">
        <w:rPr>
          <w:rFonts w:ascii="Verdana" w:hAnsi="Verdana"/>
          <w:bCs/>
          <w:smallCaps/>
          <w:sz w:val="22"/>
          <w:szCs w:val="22"/>
        </w:rPr>
        <w:t>Impugnado</w:t>
      </w:r>
      <w:r w:rsidR="005E319C" w:rsidRPr="00A62343">
        <w:rPr>
          <w:rFonts w:ascii="Verdana" w:hAnsi="Verdana"/>
          <w:bCs/>
          <w:smallCaps/>
          <w:sz w:val="22"/>
          <w:szCs w:val="22"/>
        </w:rPr>
        <w:t>/Reclamado</w:t>
      </w:r>
      <w:r w:rsidR="00D65F39" w:rsidRPr="00A62343">
        <w:rPr>
          <w:rFonts w:ascii="Verdana" w:hAnsi="Verdana"/>
          <w:bCs/>
          <w:sz w:val="22"/>
          <w:szCs w:val="22"/>
        </w:rPr>
        <w:t xml:space="preserve">), impugnado por el </w:t>
      </w:r>
      <w:r w:rsidR="00471463" w:rsidRPr="00A62343">
        <w:rPr>
          <w:rFonts w:ascii="Verdana" w:hAnsi="Verdana"/>
          <w:bCs/>
          <w:sz w:val="22"/>
          <w:szCs w:val="22"/>
        </w:rPr>
        <w:t>P</w:t>
      </w:r>
      <w:r w:rsidR="00D65F39" w:rsidRPr="00A62343">
        <w:rPr>
          <w:rFonts w:ascii="Verdana" w:hAnsi="Verdana"/>
          <w:bCs/>
          <w:sz w:val="22"/>
          <w:szCs w:val="22"/>
        </w:rPr>
        <w:t xml:space="preserve">artido </w:t>
      </w:r>
      <w:r w:rsidR="00471463" w:rsidRPr="00A62343">
        <w:rPr>
          <w:rFonts w:ascii="Verdana" w:hAnsi="Verdana"/>
          <w:bCs/>
          <w:sz w:val="22"/>
          <w:szCs w:val="22"/>
        </w:rPr>
        <w:t>Político Acción Nacional</w:t>
      </w:r>
      <w:r w:rsidR="005D797B" w:rsidRPr="00A62343">
        <w:rPr>
          <w:rFonts w:ascii="Verdana" w:hAnsi="Verdana"/>
          <w:bCs/>
          <w:sz w:val="22"/>
          <w:szCs w:val="22"/>
        </w:rPr>
        <w:t xml:space="preserve"> </w:t>
      </w:r>
      <w:r w:rsidR="00E4255E" w:rsidRPr="00A62343">
        <w:rPr>
          <w:rFonts w:ascii="Verdana" w:hAnsi="Verdana"/>
          <w:bCs/>
          <w:sz w:val="22"/>
          <w:szCs w:val="22"/>
        </w:rPr>
        <w:t>y otros</w:t>
      </w:r>
      <w:r w:rsidR="005D797B" w:rsidRPr="00A62343">
        <w:rPr>
          <w:rFonts w:ascii="Verdana" w:hAnsi="Verdana"/>
          <w:bCs/>
          <w:sz w:val="22"/>
          <w:szCs w:val="22"/>
        </w:rPr>
        <w:t>.</w:t>
      </w:r>
    </w:p>
    <w:p w14:paraId="3F5470AA" w14:textId="09A1B062" w:rsidR="00303A8B" w:rsidRPr="00A62343" w:rsidRDefault="009C1068" w:rsidP="001F54E1">
      <w:pPr>
        <w:spacing w:before="100" w:beforeAutospacing="1" w:after="100" w:afterAutospacing="1" w:line="360" w:lineRule="auto"/>
        <w:jc w:val="both"/>
        <w:rPr>
          <w:rFonts w:ascii="Verdana" w:hAnsi="Verdana"/>
          <w:bCs/>
          <w:sz w:val="22"/>
          <w:szCs w:val="22"/>
          <w:lang w:val="es-MX"/>
        </w:rPr>
      </w:pPr>
      <w:r w:rsidRPr="00A62343">
        <w:rPr>
          <w:rFonts w:ascii="Verdana" w:hAnsi="Verdana"/>
          <w:sz w:val="22"/>
          <w:szCs w:val="22"/>
        </w:rPr>
        <w:t>Las fechas enunciadas deben entenderse referidas al año dos mil veintitrés, salvo señalamiento expreso en contrario.</w:t>
      </w:r>
    </w:p>
    <w:p w14:paraId="6DB5D462" w14:textId="78950F79" w:rsidR="00303A8B" w:rsidRPr="00A62343" w:rsidRDefault="00BA63AD" w:rsidP="001F54E1">
      <w:pPr>
        <w:spacing w:before="100" w:beforeAutospacing="1" w:after="100" w:afterAutospacing="1" w:line="360" w:lineRule="auto"/>
        <w:jc w:val="center"/>
        <w:rPr>
          <w:rFonts w:ascii="Verdana" w:hAnsi="Verdana" w:cs="Arial"/>
          <w:b/>
          <w:bCs/>
          <w:sz w:val="22"/>
          <w:szCs w:val="22"/>
        </w:rPr>
      </w:pPr>
      <w:r w:rsidRPr="00A62343">
        <w:rPr>
          <w:rFonts w:ascii="Verdana" w:hAnsi="Verdana" w:cs="Arial"/>
          <w:b/>
          <w:bCs/>
          <w:sz w:val="22"/>
          <w:szCs w:val="22"/>
        </w:rPr>
        <w:t xml:space="preserve">I. </w:t>
      </w:r>
      <w:r w:rsidR="009C1068" w:rsidRPr="00A62343">
        <w:rPr>
          <w:rFonts w:ascii="Verdana" w:hAnsi="Verdana" w:cs="Arial"/>
          <w:b/>
          <w:bCs/>
          <w:sz w:val="22"/>
          <w:szCs w:val="22"/>
        </w:rPr>
        <w:t>ANTECEDENTES</w:t>
      </w:r>
    </w:p>
    <w:p w14:paraId="3C29DA9E" w14:textId="41F545E8" w:rsidR="00AA74E1" w:rsidRPr="00A62343" w:rsidRDefault="006E4C71" w:rsidP="001F54E1">
      <w:pPr>
        <w:spacing w:before="100" w:beforeAutospacing="1" w:after="100" w:afterAutospacing="1" w:line="360" w:lineRule="auto"/>
        <w:jc w:val="both"/>
        <w:rPr>
          <w:rFonts w:ascii="Verdana" w:hAnsi="Verdana"/>
          <w:bCs/>
          <w:sz w:val="22"/>
          <w:szCs w:val="22"/>
        </w:rPr>
      </w:pPr>
      <w:r w:rsidRPr="00A62343">
        <w:rPr>
          <w:rFonts w:ascii="Verdana" w:eastAsia="Arial" w:hAnsi="Verdana" w:cs="Arial"/>
          <w:bCs/>
          <w:color w:val="000000"/>
          <w:sz w:val="22"/>
          <w:szCs w:val="22"/>
          <w:lang w:val="es-MX"/>
        </w:rPr>
        <w:t xml:space="preserve">De las constancias de autos y de las afirmaciones realizadas </w:t>
      </w:r>
      <w:r w:rsidR="00303A8B" w:rsidRPr="00A62343">
        <w:rPr>
          <w:rFonts w:ascii="Verdana" w:eastAsia="Arial" w:hAnsi="Verdana" w:cs="Arial"/>
          <w:bCs/>
          <w:color w:val="000000"/>
          <w:sz w:val="22"/>
          <w:szCs w:val="22"/>
          <w:lang w:val="es-MX"/>
        </w:rPr>
        <w:t>por</w:t>
      </w:r>
      <w:r w:rsidR="00745C2A" w:rsidRPr="00A62343">
        <w:rPr>
          <w:rFonts w:ascii="Verdana" w:eastAsia="Arial" w:hAnsi="Verdana" w:cs="Arial"/>
          <w:bCs/>
          <w:color w:val="000000"/>
          <w:sz w:val="22"/>
          <w:szCs w:val="22"/>
          <w:lang w:val="es-MX"/>
        </w:rPr>
        <w:t xml:space="preserve"> </w:t>
      </w:r>
      <w:r w:rsidR="00340835" w:rsidRPr="00A62343">
        <w:rPr>
          <w:rFonts w:ascii="Verdana" w:eastAsia="Arial" w:hAnsi="Verdana" w:cs="Arial"/>
          <w:bCs/>
          <w:color w:val="000000"/>
          <w:sz w:val="22"/>
          <w:szCs w:val="22"/>
          <w:lang w:val="es-MX"/>
        </w:rPr>
        <w:t>la</w:t>
      </w:r>
      <w:r w:rsidR="00DA46F9" w:rsidRPr="00A62343">
        <w:rPr>
          <w:rFonts w:ascii="Verdana" w:eastAsia="Arial" w:hAnsi="Verdana" w:cs="Arial"/>
          <w:bCs/>
          <w:color w:val="000000"/>
          <w:sz w:val="22"/>
          <w:szCs w:val="22"/>
          <w:lang w:val="es-MX"/>
        </w:rPr>
        <w:t>s</w:t>
      </w:r>
      <w:r w:rsidR="00340835" w:rsidRPr="00A62343">
        <w:rPr>
          <w:rFonts w:ascii="Verdana" w:eastAsia="Arial" w:hAnsi="Verdana" w:cs="Arial"/>
          <w:bCs/>
          <w:color w:val="000000"/>
          <w:sz w:val="22"/>
          <w:szCs w:val="22"/>
          <w:lang w:val="es-MX"/>
        </w:rPr>
        <w:t xml:space="preserve"> </w:t>
      </w:r>
      <w:r w:rsidR="00374FD2" w:rsidRPr="00A62343">
        <w:rPr>
          <w:rFonts w:ascii="Verdana" w:hAnsi="Verdana"/>
          <w:bCs/>
          <w:sz w:val="22"/>
          <w:szCs w:val="22"/>
        </w:rPr>
        <w:t>p</w:t>
      </w:r>
      <w:r w:rsidR="00DA46F9" w:rsidRPr="00A62343">
        <w:rPr>
          <w:rFonts w:ascii="Verdana" w:hAnsi="Verdana"/>
          <w:bCs/>
          <w:sz w:val="22"/>
          <w:szCs w:val="22"/>
        </w:rPr>
        <w:t xml:space="preserve">artes </w:t>
      </w:r>
      <w:r w:rsidR="00374FD2" w:rsidRPr="00A62343">
        <w:rPr>
          <w:rFonts w:ascii="Verdana" w:hAnsi="Verdana"/>
          <w:bCs/>
          <w:sz w:val="22"/>
          <w:szCs w:val="22"/>
        </w:rPr>
        <w:t>p</w:t>
      </w:r>
      <w:r w:rsidR="00DA46F9" w:rsidRPr="00A62343">
        <w:rPr>
          <w:rFonts w:ascii="Verdana" w:hAnsi="Verdana"/>
          <w:bCs/>
          <w:sz w:val="22"/>
          <w:szCs w:val="22"/>
        </w:rPr>
        <w:t>romoventes</w:t>
      </w:r>
      <w:r w:rsidR="00303A8B" w:rsidRPr="00A62343">
        <w:rPr>
          <w:rFonts w:ascii="Verdana" w:eastAsia="Arial" w:hAnsi="Verdana" w:cs="Arial"/>
          <w:bCs/>
          <w:color w:val="000000"/>
          <w:sz w:val="22"/>
          <w:szCs w:val="22"/>
          <w:lang w:val="es-MX"/>
        </w:rPr>
        <w:t>, se advierten los siguientes hechos relevantes:</w:t>
      </w:r>
    </w:p>
    <w:p w14:paraId="142914B4" w14:textId="77777777" w:rsidR="00E4255E" w:rsidRPr="00A62343" w:rsidRDefault="008D690F" w:rsidP="001F54E1">
      <w:pPr>
        <w:spacing w:before="100" w:beforeAutospacing="1" w:after="100" w:afterAutospacing="1" w:line="360" w:lineRule="auto"/>
        <w:jc w:val="both"/>
        <w:rPr>
          <w:rFonts w:ascii="Verdana" w:eastAsia="Verdana" w:hAnsi="Verdana" w:cs="Verdana"/>
          <w:sz w:val="22"/>
          <w:szCs w:val="22"/>
        </w:rPr>
      </w:pPr>
      <w:r w:rsidRPr="00A62343">
        <w:rPr>
          <w:rFonts w:ascii="Verdana" w:eastAsia="Arial" w:hAnsi="Verdana"/>
          <w:b/>
          <w:bCs/>
          <w:sz w:val="22"/>
          <w:szCs w:val="22"/>
        </w:rPr>
        <w:t>1</w:t>
      </w:r>
      <w:r w:rsidR="00303A8B" w:rsidRPr="00A62343">
        <w:rPr>
          <w:rFonts w:ascii="Verdana" w:eastAsia="Arial" w:hAnsi="Verdana"/>
          <w:b/>
          <w:bCs/>
          <w:sz w:val="22"/>
          <w:szCs w:val="22"/>
        </w:rPr>
        <w:t xml:space="preserve">. </w:t>
      </w:r>
      <w:r w:rsidR="00E4255E" w:rsidRPr="00A62343">
        <w:rPr>
          <w:rFonts w:ascii="Verdana" w:eastAsia="Verdana" w:hAnsi="Verdana" w:cs="Verdana"/>
          <w:b/>
          <w:sz w:val="22"/>
          <w:szCs w:val="22"/>
        </w:rPr>
        <w:t>Proceso Electoral Local 2023-2024.</w:t>
      </w:r>
      <w:r w:rsidR="00E4255E" w:rsidRPr="00A62343">
        <w:rPr>
          <w:rFonts w:ascii="Verdana" w:eastAsia="Verdana" w:hAnsi="Verdana" w:cs="Verdana"/>
          <w:sz w:val="22"/>
          <w:szCs w:val="22"/>
        </w:rPr>
        <w:t xml:space="preserve"> </w:t>
      </w:r>
    </w:p>
    <w:p w14:paraId="070BE734" w14:textId="77777777" w:rsidR="00E4255E" w:rsidRPr="00A62343" w:rsidRDefault="00E4255E" w:rsidP="001F54E1">
      <w:pPr>
        <w:spacing w:before="100" w:beforeAutospacing="1" w:after="100" w:afterAutospacing="1" w:line="360" w:lineRule="auto"/>
        <w:jc w:val="both"/>
        <w:rPr>
          <w:rFonts w:ascii="Verdana" w:eastAsia="Verdana" w:hAnsi="Verdana" w:cs="Verdana"/>
          <w:sz w:val="22"/>
          <w:szCs w:val="22"/>
        </w:rPr>
      </w:pPr>
      <w:r w:rsidRPr="00A62343">
        <w:rPr>
          <w:rFonts w:ascii="Verdana" w:eastAsia="Verdana" w:hAnsi="Verdana" w:cs="Verdana"/>
          <w:sz w:val="22"/>
          <w:szCs w:val="22"/>
        </w:rPr>
        <w:lastRenderedPageBreak/>
        <w:t>El cuatro de octubre, inició el Proceso Electoral Concurrente 2023-2024 en el Estado de Aguascalientes, en el que se renovarán 27 Diputaciones y 11 Ayuntamientos.</w:t>
      </w:r>
      <w:r w:rsidRPr="00A62343">
        <w:rPr>
          <w:rStyle w:val="Refdenotaalpie"/>
          <w:rFonts w:ascii="Verdana" w:eastAsia="Verdana" w:hAnsi="Verdana" w:cs="Verdana"/>
          <w:sz w:val="22"/>
          <w:szCs w:val="22"/>
        </w:rPr>
        <w:footnoteReference w:id="1"/>
      </w:r>
    </w:p>
    <w:p w14:paraId="289D85A1" w14:textId="5D5B92E0" w:rsidR="00E4255E" w:rsidRPr="00A62343" w:rsidRDefault="00AA74E1" w:rsidP="001F54E1">
      <w:pPr>
        <w:spacing w:before="100" w:beforeAutospacing="1" w:after="100" w:afterAutospacing="1" w:line="360" w:lineRule="auto"/>
        <w:jc w:val="both"/>
        <w:rPr>
          <w:rFonts w:ascii="Verdana" w:eastAsia="Arial" w:hAnsi="Verdana"/>
          <w:b/>
          <w:bCs/>
          <w:sz w:val="22"/>
          <w:szCs w:val="22"/>
        </w:rPr>
      </w:pPr>
      <w:r w:rsidRPr="00A62343">
        <w:rPr>
          <w:rFonts w:ascii="Verdana" w:eastAsia="Arial" w:hAnsi="Verdana"/>
          <w:b/>
          <w:bCs/>
          <w:sz w:val="22"/>
          <w:szCs w:val="22"/>
        </w:rPr>
        <w:t xml:space="preserve">2. </w:t>
      </w:r>
      <w:r w:rsidR="00E4255E" w:rsidRPr="00A62343">
        <w:rPr>
          <w:rFonts w:ascii="Verdana" w:eastAsia="Verdana" w:hAnsi="Verdana" w:cs="Verdana"/>
          <w:b/>
          <w:sz w:val="22"/>
          <w:szCs w:val="22"/>
        </w:rPr>
        <w:t>Acuerdo CG-A-47/23</w:t>
      </w:r>
      <w:r w:rsidRPr="00A62343">
        <w:rPr>
          <w:rFonts w:ascii="Verdana" w:eastAsia="Arial" w:hAnsi="Verdana"/>
          <w:b/>
          <w:bCs/>
          <w:sz w:val="22"/>
          <w:szCs w:val="22"/>
        </w:rPr>
        <w:t>.</w:t>
      </w:r>
      <w:r w:rsidR="000826D3" w:rsidRPr="00A62343">
        <w:rPr>
          <w:rFonts w:ascii="Verdana" w:eastAsia="Arial" w:hAnsi="Verdana"/>
          <w:b/>
          <w:bCs/>
          <w:sz w:val="22"/>
          <w:szCs w:val="22"/>
        </w:rPr>
        <w:t xml:space="preserve"> </w:t>
      </w:r>
    </w:p>
    <w:p w14:paraId="3F063F52" w14:textId="430BDC60" w:rsidR="00AA74E1" w:rsidRPr="00A62343" w:rsidRDefault="000826D3" w:rsidP="001F54E1">
      <w:pPr>
        <w:spacing w:before="100" w:beforeAutospacing="1" w:after="100" w:afterAutospacing="1" w:line="360" w:lineRule="auto"/>
        <w:jc w:val="both"/>
        <w:rPr>
          <w:rFonts w:ascii="Verdana" w:eastAsia="Arial" w:hAnsi="Verdana"/>
          <w:sz w:val="22"/>
          <w:szCs w:val="22"/>
        </w:rPr>
      </w:pPr>
      <w:r w:rsidRPr="00A62343">
        <w:rPr>
          <w:rFonts w:ascii="Verdana" w:eastAsia="Arial" w:hAnsi="Verdana"/>
          <w:sz w:val="22"/>
          <w:szCs w:val="22"/>
        </w:rPr>
        <w:t>El veintisiete de octubre</w:t>
      </w:r>
      <w:r w:rsidR="00D011D9" w:rsidRPr="00A62343">
        <w:rPr>
          <w:rFonts w:ascii="Verdana" w:eastAsia="Arial" w:hAnsi="Verdana"/>
          <w:sz w:val="22"/>
          <w:szCs w:val="22"/>
        </w:rPr>
        <w:t>,</w:t>
      </w:r>
      <w:r w:rsidRPr="00A62343">
        <w:rPr>
          <w:rFonts w:ascii="Verdana" w:eastAsia="Arial" w:hAnsi="Verdana"/>
          <w:sz w:val="22"/>
          <w:szCs w:val="22"/>
        </w:rPr>
        <w:t xml:space="preserve"> la </w:t>
      </w:r>
      <w:r w:rsidRPr="00A62343">
        <w:rPr>
          <w:rFonts w:ascii="Verdana" w:hAnsi="Verdana"/>
          <w:bCs/>
          <w:smallCaps/>
          <w:sz w:val="22"/>
          <w:szCs w:val="22"/>
        </w:rPr>
        <w:t xml:space="preserve">Autoridad Responsable </w:t>
      </w:r>
      <w:r w:rsidR="005A1A99" w:rsidRPr="00A62343">
        <w:rPr>
          <w:rFonts w:ascii="Verdana" w:eastAsia="Arial" w:hAnsi="Verdana"/>
          <w:sz w:val="22"/>
          <w:szCs w:val="22"/>
          <w:lang w:val="es-MX"/>
        </w:rPr>
        <w:t xml:space="preserve">emitió el </w:t>
      </w:r>
      <w:r w:rsidR="00D011D9" w:rsidRPr="00A62343">
        <w:rPr>
          <w:rFonts w:ascii="Verdana" w:eastAsia="Arial" w:hAnsi="Verdana"/>
          <w:sz w:val="22"/>
          <w:szCs w:val="22"/>
          <w:lang w:val="es-MX"/>
        </w:rPr>
        <w:t>A</w:t>
      </w:r>
      <w:r w:rsidRPr="00A62343">
        <w:rPr>
          <w:rFonts w:ascii="Verdana" w:eastAsia="Arial" w:hAnsi="Verdana"/>
          <w:sz w:val="22"/>
          <w:szCs w:val="22"/>
          <w:lang w:val="es-MX"/>
        </w:rPr>
        <w:t>cuerdo</w:t>
      </w:r>
      <w:r w:rsidR="00D011D9" w:rsidRPr="00A62343">
        <w:rPr>
          <w:rFonts w:ascii="Verdana" w:eastAsia="Arial" w:hAnsi="Verdana"/>
          <w:sz w:val="22"/>
          <w:szCs w:val="22"/>
          <w:lang w:val="es-MX"/>
        </w:rPr>
        <w:t xml:space="preserve"> identificado con la clave</w:t>
      </w:r>
      <w:r w:rsidRPr="00A62343">
        <w:rPr>
          <w:rFonts w:ascii="Verdana" w:eastAsia="Arial" w:hAnsi="Verdana"/>
          <w:sz w:val="22"/>
          <w:szCs w:val="22"/>
          <w:lang w:val="es-MX"/>
        </w:rPr>
        <w:t xml:space="preserve"> </w:t>
      </w:r>
      <w:r w:rsidRPr="00A62343">
        <w:rPr>
          <w:rFonts w:ascii="Verdana" w:eastAsia="Arial" w:hAnsi="Verdana"/>
          <w:sz w:val="22"/>
          <w:szCs w:val="22"/>
        </w:rPr>
        <w:t xml:space="preserve">CG-A-47/23, mediante </w:t>
      </w:r>
      <w:r w:rsidRPr="00A62343">
        <w:rPr>
          <w:rFonts w:ascii="Verdana" w:eastAsia="Arial" w:hAnsi="Verdana"/>
          <w:sz w:val="22"/>
          <w:szCs w:val="22"/>
          <w:lang w:val="es-MX"/>
        </w:rPr>
        <w:t xml:space="preserve">el cual </w:t>
      </w:r>
      <w:r w:rsidR="00C517D3" w:rsidRPr="00A62343">
        <w:rPr>
          <w:rFonts w:ascii="Verdana" w:eastAsia="Arial" w:hAnsi="Verdana"/>
          <w:sz w:val="22"/>
          <w:szCs w:val="22"/>
        </w:rPr>
        <w:t xml:space="preserve">se </w:t>
      </w:r>
      <w:r w:rsidR="00C517D3" w:rsidRPr="00A62343">
        <w:rPr>
          <w:rFonts w:ascii="Verdana" w:hAnsi="Verdana"/>
          <w:bCs/>
          <w:sz w:val="22"/>
          <w:szCs w:val="22"/>
        </w:rPr>
        <w:t xml:space="preserve">aprobaron </w:t>
      </w:r>
      <w:r w:rsidRPr="00A62343">
        <w:rPr>
          <w:rFonts w:ascii="Verdana" w:hAnsi="Verdana"/>
          <w:bCs/>
          <w:sz w:val="22"/>
          <w:szCs w:val="22"/>
        </w:rPr>
        <w:t xml:space="preserve">los </w:t>
      </w:r>
      <w:r w:rsidR="005A1A99" w:rsidRPr="00A62343">
        <w:rPr>
          <w:rFonts w:ascii="Verdana" w:hAnsi="Verdana"/>
          <w:bCs/>
          <w:sz w:val="22"/>
          <w:szCs w:val="22"/>
        </w:rPr>
        <w:t>l</w:t>
      </w:r>
      <w:r w:rsidRPr="00A62343">
        <w:rPr>
          <w:rFonts w:ascii="Verdana" w:hAnsi="Verdana"/>
          <w:bCs/>
          <w:sz w:val="22"/>
          <w:szCs w:val="22"/>
        </w:rPr>
        <w:t>ineamientos para la implementación de acciones afirmativas en favor de los grupos de atención prioritaria en la postulación de candidaturas, en el proceso electoral concurrente 2023-2024 en Aguascalientes</w:t>
      </w:r>
      <w:r w:rsidR="00AA74E1" w:rsidRPr="00A62343">
        <w:rPr>
          <w:rFonts w:ascii="Verdana" w:eastAsia="Arial" w:hAnsi="Verdana"/>
          <w:sz w:val="22"/>
          <w:szCs w:val="22"/>
        </w:rPr>
        <w:t>.</w:t>
      </w:r>
      <w:r w:rsidR="00D011D9" w:rsidRPr="00A62343">
        <w:rPr>
          <w:rStyle w:val="Refdenotaalpie"/>
          <w:rFonts w:ascii="Verdana" w:eastAsia="Arial" w:hAnsi="Verdana"/>
          <w:sz w:val="22"/>
          <w:szCs w:val="22"/>
        </w:rPr>
        <w:footnoteReference w:id="2"/>
      </w:r>
    </w:p>
    <w:p w14:paraId="6DF85294" w14:textId="77777777" w:rsidR="00D011D9" w:rsidRPr="00A62343" w:rsidRDefault="0037035A" w:rsidP="001F54E1">
      <w:pPr>
        <w:spacing w:before="100" w:beforeAutospacing="1" w:after="100" w:afterAutospacing="1" w:line="360" w:lineRule="auto"/>
        <w:jc w:val="both"/>
        <w:rPr>
          <w:rFonts w:ascii="Verdana" w:eastAsia="Arial" w:hAnsi="Verdana" w:cs="Arial"/>
          <w:b/>
          <w:color w:val="000000"/>
          <w:sz w:val="22"/>
          <w:szCs w:val="22"/>
        </w:rPr>
      </w:pPr>
      <w:r w:rsidRPr="00A62343">
        <w:rPr>
          <w:rFonts w:ascii="Verdana" w:eastAsia="Arial" w:hAnsi="Verdana"/>
          <w:b/>
          <w:bCs/>
          <w:sz w:val="22"/>
          <w:szCs w:val="22"/>
        </w:rPr>
        <w:t>3</w:t>
      </w:r>
      <w:r w:rsidR="00AE1C85" w:rsidRPr="00A62343">
        <w:rPr>
          <w:rFonts w:ascii="Verdana" w:eastAsia="Arial" w:hAnsi="Verdana"/>
          <w:b/>
          <w:bCs/>
          <w:sz w:val="22"/>
          <w:szCs w:val="22"/>
        </w:rPr>
        <w:t>.</w:t>
      </w:r>
      <w:r w:rsidR="008D690F" w:rsidRPr="00A62343">
        <w:rPr>
          <w:rFonts w:ascii="Verdana" w:eastAsia="Arial" w:hAnsi="Verdana"/>
          <w:b/>
          <w:bCs/>
          <w:sz w:val="22"/>
          <w:szCs w:val="22"/>
        </w:rPr>
        <w:t xml:space="preserve"> </w:t>
      </w:r>
      <w:r w:rsidR="00AE1C85" w:rsidRPr="00A62343">
        <w:rPr>
          <w:rFonts w:ascii="Verdana" w:eastAsia="Arial" w:hAnsi="Verdana" w:cs="Arial"/>
          <w:b/>
          <w:color w:val="000000"/>
          <w:sz w:val="22"/>
          <w:szCs w:val="22"/>
        </w:rPr>
        <w:t>Recurso</w:t>
      </w:r>
      <w:r w:rsidRPr="00A62343">
        <w:rPr>
          <w:rFonts w:ascii="Verdana" w:eastAsia="Arial" w:hAnsi="Verdana" w:cs="Arial"/>
          <w:b/>
          <w:color w:val="000000"/>
          <w:sz w:val="22"/>
          <w:szCs w:val="22"/>
        </w:rPr>
        <w:t>s</w:t>
      </w:r>
      <w:r w:rsidR="00AE1C85" w:rsidRPr="00A62343">
        <w:rPr>
          <w:rFonts w:ascii="Verdana" w:eastAsia="Arial" w:hAnsi="Verdana" w:cs="Arial"/>
          <w:b/>
          <w:color w:val="000000"/>
          <w:sz w:val="22"/>
          <w:szCs w:val="22"/>
        </w:rPr>
        <w:t xml:space="preserve"> de Apelación. </w:t>
      </w:r>
    </w:p>
    <w:p w14:paraId="1E5176C8" w14:textId="2F0B791F" w:rsidR="002F6225" w:rsidRPr="00A62343" w:rsidRDefault="00D011D9" w:rsidP="001F54E1">
      <w:pPr>
        <w:spacing w:before="100" w:beforeAutospacing="1" w:after="100" w:afterAutospacing="1" w:line="360" w:lineRule="auto"/>
        <w:jc w:val="both"/>
        <w:rPr>
          <w:rFonts w:ascii="Verdana" w:hAnsi="Verdana"/>
          <w:color w:val="5B9BD5" w:themeColor="accent5"/>
          <w:sz w:val="22"/>
          <w:szCs w:val="22"/>
        </w:rPr>
      </w:pPr>
      <w:r w:rsidRPr="00A62343">
        <w:rPr>
          <w:rFonts w:ascii="Verdana" w:eastAsia="Arial" w:hAnsi="Verdana" w:cs="Arial"/>
          <w:bCs/>
          <w:color w:val="000000"/>
          <w:sz w:val="22"/>
          <w:szCs w:val="22"/>
        </w:rPr>
        <w:t xml:space="preserve">En fecha </w:t>
      </w:r>
      <w:r w:rsidRPr="00A62343">
        <w:rPr>
          <w:rFonts w:ascii="Verdana" w:eastAsia="Arial" w:hAnsi="Verdana" w:cs="Arial"/>
          <w:bCs/>
          <w:color w:val="000000"/>
          <w:sz w:val="22"/>
          <w:szCs w:val="22"/>
          <w:lang w:val="es-MX"/>
        </w:rPr>
        <w:t xml:space="preserve">treinta y uno de octubre, los Partidos Políticos Acción Nacional y Revolucionario Institucional </w:t>
      </w:r>
      <w:r w:rsidR="005D797B" w:rsidRPr="00A62343">
        <w:rPr>
          <w:rFonts w:ascii="Verdana" w:eastAsia="Arial" w:hAnsi="Verdana" w:cs="Arial"/>
          <w:bCs/>
          <w:color w:val="000000"/>
          <w:sz w:val="22"/>
          <w:szCs w:val="22"/>
          <w:lang w:val="es-MX"/>
        </w:rPr>
        <w:t>(</w:t>
      </w:r>
      <w:r w:rsidR="005D797B" w:rsidRPr="00A62343">
        <w:rPr>
          <w:rFonts w:ascii="Verdana" w:eastAsia="Arial" w:hAnsi="Verdana" w:cs="Arial"/>
          <w:bCs/>
          <w:smallCaps/>
          <w:color w:val="000000"/>
          <w:sz w:val="22"/>
          <w:szCs w:val="22"/>
          <w:lang w:val="es-MX"/>
        </w:rPr>
        <w:t>Partidos Recurrentes</w:t>
      </w:r>
      <w:r w:rsidR="005D797B" w:rsidRPr="00A62343">
        <w:rPr>
          <w:rFonts w:ascii="Verdana" w:eastAsia="Arial" w:hAnsi="Verdana" w:cs="Arial"/>
          <w:bCs/>
          <w:color w:val="000000"/>
          <w:sz w:val="22"/>
          <w:szCs w:val="22"/>
          <w:lang w:val="es-MX"/>
        </w:rPr>
        <w:t xml:space="preserve">) </w:t>
      </w:r>
      <w:r w:rsidR="00FF7090" w:rsidRPr="00A62343">
        <w:rPr>
          <w:rFonts w:ascii="Verdana" w:eastAsia="Arial" w:hAnsi="Verdana" w:cs="Arial"/>
          <w:color w:val="000000"/>
          <w:sz w:val="22"/>
          <w:szCs w:val="22"/>
        </w:rPr>
        <w:t>present</w:t>
      </w:r>
      <w:r w:rsidR="002C47A3" w:rsidRPr="00A62343">
        <w:rPr>
          <w:rFonts w:ascii="Verdana" w:eastAsia="Arial" w:hAnsi="Verdana" w:cs="Arial"/>
          <w:color w:val="000000"/>
          <w:sz w:val="22"/>
          <w:szCs w:val="22"/>
        </w:rPr>
        <w:t>aron</w:t>
      </w:r>
      <w:r w:rsidR="00FF7090" w:rsidRPr="00A62343">
        <w:rPr>
          <w:rFonts w:ascii="Verdana" w:eastAsia="Arial" w:hAnsi="Verdana" w:cs="Arial"/>
          <w:color w:val="000000"/>
          <w:sz w:val="22"/>
          <w:szCs w:val="22"/>
        </w:rPr>
        <w:t xml:space="preserve"> medio</w:t>
      </w:r>
      <w:r w:rsidR="002C47A3" w:rsidRPr="00A62343">
        <w:rPr>
          <w:rFonts w:ascii="Verdana" w:eastAsia="Arial" w:hAnsi="Verdana" w:cs="Arial"/>
          <w:color w:val="000000"/>
          <w:sz w:val="22"/>
          <w:szCs w:val="22"/>
        </w:rPr>
        <w:t>s</w:t>
      </w:r>
      <w:r w:rsidR="00FF7090" w:rsidRPr="00A62343">
        <w:rPr>
          <w:rFonts w:ascii="Verdana" w:eastAsia="Arial" w:hAnsi="Verdana" w:cs="Arial"/>
          <w:color w:val="000000"/>
          <w:sz w:val="22"/>
          <w:szCs w:val="22"/>
        </w:rPr>
        <w:t xml:space="preserve"> de impugnación en contra del </w:t>
      </w:r>
      <w:r w:rsidRPr="00A62343">
        <w:rPr>
          <w:rFonts w:ascii="Verdana" w:eastAsia="Arial" w:hAnsi="Verdana" w:cs="Arial"/>
          <w:color w:val="000000"/>
          <w:sz w:val="22"/>
          <w:szCs w:val="22"/>
        </w:rPr>
        <w:t>A</w:t>
      </w:r>
      <w:r w:rsidR="00FF7090" w:rsidRPr="00A62343">
        <w:rPr>
          <w:rFonts w:ascii="Verdana" w:eastAsia="Arial" w:hAnsi="Verdana" w:cs="Arial"/>
          <w:color w:val="000000"/>
          <w:sz w:val="22"/>
          <w:szCs w:val="22"/>
        </w:rPr>
        <w:t xml:space="preserve">cuerdo precisado en el </w:t>
      </w:r>
      <w:r w:rsidR="00FF7090" w:rsidRPr="00A62343">
        <w:rPr>
          <w:rFonts w:ascii="Verdana" w:eastAsia="Arial" w:hAnsi="Verdana" w:cs="Arial"/>
          <w:sz w:val="22"/>
          <w:szCs w:val="22"/>
        </w:rPr>
        <w:t>numeral anterior, en virtud de que, a su consideración, la</w:t>
      </w:r>
      <w:r w:rsidR="0047690A" w:rsidRPr="00A62343">
        <w:rPr>
          <w:rFonts w:ascii="Verdana" w:eastAsia="Arial" w:hAnsi="Verdana" w:cs="Arial"/>
          <w:sz w:val="22"/>
          <w:szCs w:val="22"/>
        </w:rPr>
        <w:t xml:space="preserve"> </w:t>
      </w:r>
      <w:r w:rsidR="0047690A" w:rsidRPr="00A62343">
        <w:rPr>
          <w:rFonts w:ascii="Verdana" w:hAnsi="Verdana"/>
          <w:bCs/>
          <w:smallCaps/>
          <w:sz w:val="22"/>
          <w:szCs w:val="22"/>
        </w:rPr>
        <w:t>Autoridad Responsable</w:t>
      </w:r>
      <w:r w:rsidR="00FF7090" w:rsidRPr="00A62343">
        <w:rPr>
          <w:rFonts w:ascii="Verdana" w:eastAsia="Arial" w:hAnsi="Verdana" w:cs="Arial"/>
          <w:sz w:val="22"/>
          <w:szCs w:val="22"/>
        </w:rPr>
        <w:t>:</w:t>
      </w:r>
      <w:r w:rsidR="0047690A" w:rsidRPr="00A62343">
        <w:rPr>
          <w:rFonts w:ascii="Verdana" w:eastAsia="Arial" w:hAnsi="Verdana" w:cs="Arial"/>
          <w:sz w:val="22"/>
          <w:szCs w:val="22"/>
        </w:rPr>
        <w:t xml:space="preserve"> </w:t>
      </w:r>
      <w:r w:rsidR="0037035A" w:rsidRPr="00A62343">
        <w:rPr>
          <w:rFonts w:ascii="Verdana" w:hAnsi="Verdana"/>
          <w:b/>
          <w:bCs/>
          <w:sz w:val="22"/>
          <w:szCs w:val="22"/>
        </w:rPr>
        <w:t>i)</w:t>
      </w:r>
      <w:r w:rsidR="002F6225" w:rsidRPr="00A62343">
        <w:rPr>
          <w:rFonts w:ascii="Verdana" w:hAnsi="Verdana"/>
          <w:sz w:val="22"/>
          <w:szCs w:val="22"/>
        </w:rPr>
        <w:t xml:space="preserve"> v</w:t>
      </w:r>
      <w:r w:rsidR="00FA56F7" w:rsidRPr="00A62343">
        <w:rPr>
          <w:rFonts w:ascii="Verdana" w:hAnsi="Verdana"/>
          <w:sz w:val="22"/>
          <w:szCs w:val="22"/>
        </w:rPr>
        <w:t>ulneró lo dispuesto por</w:t>
      </w:r>
      <w:r w:rsidR="002F6225" w:rsidRPr="00A62343">
        <w:rPr>
          <w:rFonts w:ascii="Verdana" w:hAnsi="Verdana"/>
          <w:sz w:val="22"/>
          <w:szCs w:val="22"/>
        </w:rPr>
        <w:t xml:space="preserve"> los artículos 14 y 16 de la Constitución </w:t>
      </w:r>
      <w:r w:rsidR="00FA56F7" w:rsidRPr="00A62343">
        <w:rPr>
          <w:rFonts w:ascii="Verdana" w:hAnsi="Verdana"/>
          <w:sz w:val="22"/>
          <w:szCs w:val="22"/>
        </w:rPr>
        <w:t>Política de los Estados Unidos Mexicanos (</w:t>
      </w:r>
      <w:r w:rsidR="00FA56F7" w:rsidRPr="00A62343">
        <w:rPr>
          <w:rFonts w:ascii="Verdana" w:hAnsi="Verdana"/>
          <w:smallCaps/>
          <w:sz w:val="22"/>
          <w:szCs w:val="22"/>
        </w:rPr>
        <w:t>Constitución Federal</w:t>
      </w:r>
      <w:r w:rsidR="00FA56F7" w:rsidRPr="00A62343">
        <w:rPr>
          <w:rFonts w:ascii="Verdana" w:hAnsi="Verdana"/>
          <w:sz w:val="22"/>
          <w:szCs w:val="22"/>
        </w:rPr>
        <w:t>)</w:t>
      </w:r>
      <w:r w:rsidR="002F6225" w:rsidRPr="00A62343">
        <w:rPr>
          <w:rFonts w:ascii="Verdana" w:hAnsi="Verdana"/>
          <w:sz w:val="22"/>
          <w:szCs w:val="22"/>
        </w:rPr>
        <w:t xml:space="preserve">, referente a que no se puede privar </w:t>
      </w:r>
      <w:r w:rsidR="00EB571C" w:rsidRPr="00A62343">
        <w:rPr>
          <w:rFonts w:ascii="Verdana" w:hAnsi="Verdana"/>
          <w:sz w:val="22"/>
          <w:szCs w:val="22"/>
        </w:rPr>
        <w:t xml:space="preserve">a su partido representado </w:t>
      </w:r>
      <w:r w:rsidR="002F6225" w:rsidRPr="00A62343">
        <w:rPr>
          <w:rFonts w:ascii="Verdana" w:hAnsi="Verdana"/>
          <w:sz w:val="22"/>
          <w:szCs w:val="22"/>
        </w:rPr>
        <w:t>de derecho alguno, sino solamente a través de un juicio seguido ante los tribunales y que el acto de molestia debe ser debidamente fundado y motivado y emitido por autoridad competente,</w:t>
      </w:r>
      <w:r w:rsidR="002C47A3" w:rsidRPr="00A62343">
        <w:rPr>
          <w:rFonts w:ascii="Verdana" w:hAnsi="Verdana"/>
          <w:sz w:val="22"/>
          <w:szCs w:val="22"/>
        </w:rPr>
        <w:t xml:space="preserve"> puesto que pretende atribuirse facultades reservadas al Congreso Local</w:t>
      </w:r>
      <w:r w:rsidR="009B797E" w:rsidRPr="00A62343">
        <w:rPr>
          <w:rFonts w:ascii="Verdana" w:hAnsi="Verdana"/>
          <w:sz w:val="22"/>
          <w:szCs w:val="22"/>
        </w:rPr>
        <w:t>;</w:t>
      </w:r>
      <w:r w:rsidR="002C47A3" w:rsidRPr="00A62343">
        <w:rPr>
          <w:rFonts w:ascii="Verdana" w:hAnsi="Verdana"/>
          <w:sz w:val="22"/>
          <w:szCs w:val="22"/>
        </w:rPr>
        <w:t xml:space="preserve"> </w:t>
      </w:r>
      <w:proofErr w:type="spellStart"/>
      <w:r w:rsidR="002F6225" w:rsidRPr="00A62343">
        <w:rPr>
          <w:rFonts w:ascii="Verdana" w:hAnsi="Verdana"/>
          <w:b/>
          <w:bCs/>
          <w:sz w:val="22"/>
          <w:szCs w:val="22"/>
        </w:rPr>
        <w:t>ii</w:t>
      </w:r>
      <w:proofErr w:type="spellEnd"/>
      <w:r w:rsidR="002F6225" w:rsidRPr="00A62343">
        <w:rPr>
          <w:rFonts w:ascii="Verdana" w:hAnsi="Verdana"/>
          <w:b/>
          <w:bCs/>
          <w:sz w:val="22"/>
          <w:szCs w:val="22"/>
        </w:rPr>
        <w:t>)</w:t>
      </w:r>
      <w:r w:rsidR="0037035A" w:rsidRPr="00A62343">
        <w:rPr>
          <w:rFonts w:ascii="Verdana" w:hAnsi="Verdana"/>
          <w:sz w:val="22"/>
          <w:szCs w:val="22"/>
        </w:rPr>
        <w:t xml:space="preserve"> </w:t>
      </w:r>
      <w:r w:rsidR="002F6225" w:rsidRPr="00A62343">
        <w:rPr>
          <w:rFonts w:ascii="Verdana" w:hAnsi="Verdana"/>
          <w:sz w:val="22"/>
          <w:szCs w:val="22"/>
        </w:rPr>
        <w:t>violenta los principios de autodeterminación</w:t>
      </w:r>
      <w:r w:rsidR="00FA56F7" w:rsidRPr="00A62343">
        <w:rPr>
          <w:rFonts w:ascii="Verdana" w:hAnsi="Verdana"/>
          <w:sz w:val="22"/>
          <w:szCs w:val="22"/>
        </w:rPr>
        <w:t xml:space="preserve"> y autoorganización</w:t>
      </w:r>
      <w:r w:rsidR="002F6225" w:rsidRPr="00A62343">
        <w:rPr>
          <w:rFonts w:ascii="Verdana" w:hAnsi="Verdana"/>
          <w:sz w:val="22"/>
          <w:szCs w:val="22"/>
        </w:rPr>
        <w:t xml:space="preserve"> de los partidos políticos</w:t>
      </w:r>
      <w:r w:rsidR="009B797E" w:rsidRPr="00A62343">
        <w:rPr>
          <w:rFonts w:ascii="Verdana" w:hAnsi="Verdana"/>
          <w:sz w:val="22"/>
          <w:szCs w:val="22"/>
        </w:rPr>
        <w:t>;</w:t>
      </w:r>
      <w:r w:rsidR="002F6225" w:rsidRPr="00A62343">
        <w:rPr>
          <w:rFonts w:ascii="Verdana" w:hAnsi="Verdana"/>
          <w:sz w:val="22"/>
          <w:szCs w:val="22"/>
        </w:rPr>
        <w:t xml:space="preserve"> </w:t>
      </w:r>
      <w:proofErr w:type="spellStart"/>
      <w:r w:rsidR="002C47A3" w:rsidRPr="00A62343">
        <w:rPr>
          <w:rFonts w:ascii="Verdana" w:hAnsi="Verdana"/>
          <w:b/>
          <w:bCs/>
          <w:sz w:val="22"/>
          <w:szCs w:val="22"/>
        </w:rPr>
        <w:t>iii</w:t>
      </w:r>
      <w:proofErr w:type="spellEnd"/>
      <w:r w:rsidR="002F6225" w:rsidRPr="00A62343">
        <w:rPr>
          <w:rFonts w:ascii="Verdana" w:hAnsi="Verdana"/>
          <w:b/>
          <w:bCs/>
          <w:sz w:val="22"/>
          <w:szCs w:val="22"/>
        </w:rPr>
        <w:t>)</w:t>
      </w:r>
      <w:r w:rsidR="002F6225" w:rsidRPr="00A62343">
        <w:rPr>
          <w:rFonts w:ascii="Verdana" w:hAnsi="Verdana"/>
          <w:sz w:val="22"/>
          <w:szCs w:val="22"/>
        </w:rPr>
        <w:t xml:space="preserve"> que el criterio adoptado es inconsistente, pues señala que la elección que habrá de tomarse en consideración para la postulación de las candidaturas a los grupos de atención prioritaria, lo es el proceso electoral concurrente ordinario 2020-2021</w:t>
      </w:r>
      <w:r w:rsidR="009B797E" w:rsidRPr="00A62343">
        <w:rPr>
          <w:rFonts w:ascii="Verdana" w:hAnsi="Verdana"/>
          <w:sz w:val="22"/>
          <w:szCs w:val="22"/>
        </w:rPr>
        <w:t>;</w:t>
      </w:r>
      <w:r w:rsidR="002C47A3" w:rsidRPr="00A62343">
        <w:rPr>
          <w:rFonts w:ascii="Verdana" w:hAnsi="Verdana"/>
          <w:sz w:val="22"/>
          <w:szCs w:val="22"/>
        </w:rPr>
        <w:t xml:space="preserve"> y</w:t>
      </w:r>
      <w:r w:rsidR="009B797E" w:rsidRPr="00A62343">
        <w:rPr>
          <w:rFonts w:ascii="Verdana" w:hAnsi="Verdana"/>
          <w:sz w:val="22"/>
          <w:szCs w:val="22"/>
        </w:rPr>
        <w:t>,</w:t>
      </w:r>
      <w:r w:rsidR="002C47A3" w:rsidRPr="00A62343">
        <w:rPr>
          <w:rFonts w:ascii="Verdana" w:hAnsi="Verdana"/>
          <w:sz w:val="22"/>
          <w:szCs w:val="22"/>
        </w:rPr>
        <w:t xml:space="preserve"> </w:t>
      </w:r>
      <w:proofErr w:type="spellStart"/>
      <w:r w:rsidR="002C47A3" w:rsidRPr="00A62343">
        <w:rPr>
          <w:rFonts w:ascii="Verdana" w:hAnsi="Verdana"/>
          <w:b/>
          <w:bCs/>
          <w:sz w:val="22"/>
          <w:szCs w:val="22"/>
        </w:rPr>
        <w:t>i</w:t>
      </w:r>
      <w:r w:rsidR="002F6225" w:rsidRPr="00A62343">
        <w:rPr>
          <w:rFonts w:ascii="Verdana" w:hAnsi="Verdana"/>
          <w:b/>
          <w:bCs/>
          <w:sz w:val="22"/>
          <w:szCs w:val="22"/>
        </w:rPr>
        <w:t>v</w:t>
      </w:r>
      <w:proofErr w:type="spellEnd"/>
      <w:r w:rsidR="002F6225" w:rsidRPr="00A62343">
        <w:rPr>
          <w:rFonts w:ascii="Verdana" w:hAnsi="Verdana"/>
          <w:b/>
          <w:bCs/>
          <w:sz w:val="22"/>
          <w:szCs w:val="22"/>
        </w:rPr>
        <w:t>)</w:t>
      </w:r>
      <w:r w:rsidR="002F6225" w:rsidRPr="00A62343">
        <w:rPr>
          <w:rFonts w:ascii="Verdana" w:hAnsi="Verdana"/>
          <w:sz w:val="22"/>
          <w:szCs w:val="22"/>
        </w:rPr>
        <w:t xml:space="preserve"> violenta principios constitucionales y de legalidad, al ser extemporáneo.</w:t>
      </w:r>
    </w:p>
    <w:p w14:paraId="62B53EC2" w14:textId="77777777" w:rsidR="00324DFB" w:rsidRPr="00A62343" w:rsidRDefault="005A1A99" w:rsidP="001F54E1">
      <w:pP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b/>
          <w:bCs/>
          <w:color w:val="000000"/>
          <w:sz w:val="22"/>
          <w:szCs w:val="22"/>
        </w:rPr>
        <w:t>4</w:t>
      </w:r>
      <w:r w:rsidR="002672C8" w:rsidRPr="00A62343">
        <w:rPr>
          <w:rFonts w:ascii="Verdana" w:eastAsia="Arial" w:hAnsi="Verdana" w:cs="Arial"/>
          <w:b/>
          <w:bCs/>
          <w:color w:val="000000"/>
          <w:sz w:val="22"/>
          <w:szCs w:val="22"/>
        </w:rPr>
        <w:t>.</w:t>
      </w:r>
      <w:r w:rsidR="00E26D4D" w:rsidRPr="00A62343">
        <w:rPr>
          <w:rFonts w:ascii="Verdana" w:eastAsia="Arial" w:hAnsi="Verdana" w:cs="Arial"/>
          <w:b/>
          <w:bCs/>
          <w:color w:val="000000"/>
          <w:sz w:val="22"/>
          <w:szCs w:val="22"/>
        </w:rPr>
        <w:t xml:space="preserve"> </w:t>
      </w:r>
      <w:r w:rsidR="002672C8" w:rsidRPr="00A62343">
        <w:rPr>
          <w:rFonts w:ascii="Verdana" w:eastAsia="Arial" w:hAnsi="Verdana" w:cs="Arial"/>
          <w:b/>
          <w:color w:val="000000"/>
          <w:sz w:val="22"/>
          <w:szCs w:val="22"/>
        </w:rPr>
        <w:t>Recepción,</w:t>
      </w:r>
      <w:r w:rsidR="00431D1F" w:rsidRPr="00A62343">
        <w:rPr>
          <w:rFonts w:ascii="Verdana" w:eastAsia="Arial" w:hAnsi="Verdana" w:cs="Arial"/>
          <w:b/>
          <w:color w:val="000000"/>
          <w:sz w:val="22"/>
          <w:szCs w:val="22"/>
        </w:rPr>
        <w:t xml:space="preserve"> </w:t>
      </w:r>
      <w:r w:rsidR="00431D1F" w:rsidRPr="00A62343">
        <w:rPr>
          <w:rFonts w:ascii="Verdana" w:eastAsia="Arial" w:hAnsi="Verdana" w:cs="Arial"/>
          <w:b/>
          <w:sz w:val="22"/>
          <w:szCs w:val="22"/>
        </w:rPr>
        <w:t>acumulación,</w:t>
      </w:r>
      <w:r w:rsidR="002672C8" w:rsidRPr="00A62343">
        <w:rPr>
          <w:rFonts w:ascii="Verdana" w:eastAsia="Arial" w:hAnsi="Verdana" w:cs="Arial"/>
          <w:b/>
          <w:sz w:val="22"/>
          <w:szCs w:val="22"/>
        </w:rPr>
        <w:t xml:space="preserve"> </w:t>
      </w:r>
      <w:r w:rsidR="002672C8" w:rsidRPr="00A62343">
        <w:rPr>
          <w:rFonts w:ascii="Verdana" w:eastAsia="Arial" w:hAnsi="Verdana" w:cs="Arial"/>
          <w:b/>
          <w:color w:val="000000"/>
          <w:sz w:val="22"/>
          <w:szCs w:val="22"/>
        </w:rPr>
        <w:t>turno y radicación de</w:t>
      </w:r>
      <w:r w:rsidR="0047690A" w:rsidRPr="00A62343">
        <w:rPr>
          <w:rFonts w:ascii="Verdana" w:eastAsia="Arial" w:hAnsi="Verdana" w:cs="Arial"/>
          <w:b/>
          <w:color w:val="000000"/>
          <w:sz w:val="22"/>
          <w:szCs w:val="22"/>
        </w:rPr>
        <w:t xml:space="preserve"> </w:t>
      </w:r>
      <w:r w:rsidR="002672C8" w:rsidRPr="00A62343">
        <w:rPr>
          <w:rFonts w:ascii="Verdana" w:eastAsia="Arial" w:hAnsi="Verdana" w:cs="Arial"/>
          <w:b/>
          <w:color w:val="000000"/>
          <w:sz w:val="22"/>
          <w:szCs w:val="22"/>
        </w:rPr>
        <w:t>l</w:t>
      </w:r>
      <w:r w:rsidR="0047690A" w:rsidRPr="00A62343">
        <w:rPr>
          <w:rFonts w:ascii="Verdana" w:eastAsia="Arial" w:hAnsi="Verdana" w:cs="Arial"/>
          <w:b/>
          <w:color w:val="000000"/>
          <w:sz w:val="22"/>
          <w:szCs w:val="22"/>
        </w:rPr>
        <w:t>os</w:t>
      </w:r>
      <w:r w:rsidR="002672C8" w:rsidRPr="00A62343">
        <w:rPr>
          <w:rFonts w:ascii="Verdana" w:eastAsia="Arial" w:hAnsi="Verdana" w:cs="Arial"/>
          <w:b/>
          <w:color w:val="000000"/>
          <w:sz w:val="22"/>
          <w:szCs w:val="22"/>
        </w:rPr>
        <w:t xml:space="preserve"> R</w:t>
      </w:r>
      <w:r w:rsidR="00D65B52" w:rsidRPr="00A62343">
        <w:rPr>
          <w:rFonts w:ascii="Verdana" w:eastAsia="Arial" w:hAnsi="Verdana" w:cs="Arial"/>
          <w:b/>
          <w:color w:val="000000"/>
          <w:sz w:val="22"/>
          <w:szCs w:val="22"/>
        </w:rPr>
        <w:t>ecurso</w:t>
      </w:r>
      <w:r w:rsidR="0047690A" w:rsidRPr="00A62343">
        <w:rPr>
          <w:rFonts w:ascii="Verdana" w:eastAsia="Arial" w:hAnsi="Verdana" w:cs="Arial"/>
          <w:b/>
          <w:color w:val="000000"/>
          <w:sz w:val="22"/>
          <w:szCs w:val="22"/>
        </w:rPr>
        <w:t>s</w:t>
      </w:r>
      <w:r w:rsidR="00D65B52" w:rsidRPr="00A62343">
        <w:rPr>
          <w:rFonts w:ascii="Verdana" w:eastAsia="Arial" w:hAnsi="Verdana" w:cs="Arial"/>
          <w:b/>
          <w:color w:val="000000"/>
          <w:sz w:val="22"/>
          <w:szCs w:val="22"/>
        </w:rPr>
        <w:t xml:space="preserve"> de Apelación (TEEA-RAP-0</w:t>
      </w:r>
      <w:r w:rsidR="00832BA7" w:rsidRPr="00A62343">
        <w:rPr>
          <w:rFonts w:ascii="Verdana" w:eastAsia="Arial" w:hAnsi="Verdana" w:cs="Arial"/>
          <w:b/>
          <w:color w:val="000000"/>
          <w:sz w:val="22"/>
          <w:szCs w:val="22"/>
        </w:rPr>
        <w:t>12</w:t>
      </w:r>
      <w:r w:rsidR="00D65B52" w:rsidRPr="00A62343">
        <w:rPr>
          <w:rFonts w:ascii="Verdana" w:eastAsia="Arial" w:hAnsi="Verdana" w:cs="Arial"/>
          <w:b/>
          <w:color w:val="000000"/>
          <w:sz w:val="22"/>
          <w:szCs w:val="22"/>
        </w:rPr>
        <w:t>/</w:t>
      </w:r>
      <w:r w:rsidR="002672C8" w:rsidRPr="00A62343">
        <w:rPr>
          <w:rFonts w:ascii="Verdana" w:eastAsia="Arial" w:hAnsi="Verdana" w:cs="Arial"/>
          <w:b/>
          <w:color w:val="000000"/>
          <w:sz w:val="22"/>
          <w:szCs w:val="22"/>
        </w:rPr>
        <w:t>2023</w:t>
      </w:r>
      <w:r w:rsidR="0047690A" w:rsidRPr="00A62343">
        <w:rPr>
          <w:rFonts w:ascii="Verdana" w:eastAsia="Arial" w:hAnsi="Verdana" w:cs="Arial"/>
          <w:b/>
          <w:color w:val="000000"/>
          <w:sz w:val="22"/>
          <w:szCs w:val="22"/>
        </w:rPr>
        <w:t xml:space="preserve"> y TEEA-RAP-0</w:t>
      </w:r>
      <w:r w:rsidR="00832BA7" w:rsidRPr="00A62343">
        <w:rPr>
          <w:rFonts w:ascii="Verdana" w:eastAsia="Arial" w:hAnsi="Verdana" w:cs="Arial"/>
          <w:b/>
          <w:color w:val="000000"/>
          <w:sz w:val="22"/>
          <w:szCs w:val="22"/>
        </w:rPr>
        <w:t>14</w:t>
      </w:r>
      <w:r w:rsidR="0047690A" w:rsidRPr="00A62343">
        <w:rPr>
          <w:rFonts w:ascii="Verdana" w:eastAsia="Arial" w:hAnsi="Verdana" w:cs="Arial"/>
          <w:b/>
          <w:color w:val="000000"/>
          <w:sz w:val="22"/>
          <w:szCs w:val="22"/>
        </w:rPr>
        <w:t>/2023</w:t>
      </w:r>
      <w:r w:rsidR="002672C8" w:rsidRPr="00A62343">
        <w:rPr>
          <w:rFonts w:ascii="Verdana" w:eastAsia="Arial" w:hAnsi="Verdana" w:cs="Arial"/>
          <w:b/>
          <w:color w:val="000000"/>
          <w:sz w:val="22"/>
          <w:szCs w:val="22"/>
        </w:rPr>
        <w:t>).</w:t>
      </w:r>
      <w:r w:rsidR="002672C8" w:rsidRPr="00A62343">
        <w:rPr>
          <w:rFonts w:ascii="Verdana" w:eastAsia="Arial" w:hAnsi="Verdana" w:cs="Arial"/>
          <w:color w:val="000000"/>
          <w:sz w:val="22"/>
          <w:szCs w:val="22"/>
        </w:rPr>
        <w:t xml:space="preserve"> </w:t>
      </w:r>
    </w:p>
    <w:p w14:paraId="2A7F9F33" w14:textId="2458F6C9" w:rsidR="00431D1F" w:rsidRPr="00A62343" w:rsidRDefault="002672C8" w:rsidP="001F54E1">
      <w:pPr>
        <w:spacing w:before="100" w:beforeAutospacing="1" w:after="100" w:afterAutospacing="1" w:line="360" w:lineRule="auto"/>
        <w:jc w:val="both"/>
        <w:rPr>
          <w:rFonts w:ascii="Verdana" w:eastAsia="Arial" w:hAnsi="Verdana" w:cs="Arial"/>
          <w:sz w:val="22"/>
          <w:szCs w:val="22"/>
        </w:rPr>
      </w:pPr>
      <w:r w:rsidRPr="00A62343">
        <w:rPr>
          <w:rFonts w:ascii="Verdana" w:eastAsia="Arial" w:hAnsi="Verdana" w:cs="Arial"/>
          <w:color w:val="000000"/>
          <w:sz w:val="22"/>
          <w:szCs w:val="22"/>
        </w:rPr>
        <w:t xml:space="preserve">El </w:t>
      </w:r>
      <w:r w:rsidR="00832BA7" w:rsidRPr="00A62343">
        <w:rPr>
          <w:rFonts w:ascii="Verdana" w:eastAsia="Arial" w:hAnsi="Verdana" w:cs="Arial"/>
          <w:sz w:val="22"/>
          <w:szCs w:val="22"/>
        </w:rPr>
        <w:t>tres</w:t>
      </w:r>
      <w:r w:rsidRPr="00A62343">
        <w:rPr>
          <w:rFonts w:ascii="Verdana" w:eastAsia="Arial" w:hAnsi="Verdana" w:cs="Arial"/>
          <w:color w:val="000000"/>
          <w:sz w:val="22"/>
          <w:szCs w:val="22"/>
        </w:rPr>
        <w:t xml:space="preserve"> de </w:t>
      </w:r>
      <w:r w:rsidR="0047690A" w:rsidRPr="00A62343">
        <w:rPr>
          <w:rFonts w:ascii="Verdana" w:eastAsia="Arial" w:hAnsi="Verdana" w:cs="Arial"/>
          <w:color w:val="000000"/>
          <w:sz w:val="22"/>
          <w:szCs w:val="22"/>
        </w:rPr>
        <w:t>noviembre</w:t>
      </w:r>
      <w:r w:rsidRPr="00A62343">
        <w:rPr>
          <w:rFonts w:ascii="Verdana" w:eastAsia="Arial" w:hAnsi="Verdana" w:cs="Arial"/>
          <w:color w:val="000000"/>
          <w:sz w:val="22"/>
          <w:szCs w:val="22"/>
        </w:rPr>
        <w:t xml:space="preserve">, la </w:t>
      </w:r>
      <w:r w:rsidRPr="00A62343">
        <w:rPr>
          <w:rFonts w:ascii="Verdana" w:eastAsia="Arial" w:hAnsi="Verdana" w:cs="Arial"/>
          <w:smallCaps/>
          <w:color w:val="000000"/>
          <w:sz w:val="22"/>
          <w:szCs w:val="22"/>
        </w:rPr>
        <w:t xml:space="preserve">Autoridad Responsable </w:t>
      </w:r>
      <w:r w:rsidRPr="00A62343">
        <w:rPr>
          <w:rFonts w:ascii="Verdana" w:eastAsia="Arial" w:hAnsi="Verdana" w:cs="Arial"/>
          <w:color w:val="000000"/>
          <w:sz w:val="22"/>
          <w:szCs w:val="22"/>
        </w:rPr>
        <w:t>remitió a este Tribunal Electoral del Estado de Aguascalientes (</w:t>
      </w:r>
      <w:r w:rsidRPr="00A62343">
        <w:rPr>
          <w:rFonts w:ascii="Verdana" w:eastAsia="Arial" w:hAnsi="Verdana" w:cs="Arial"/>
          <w:smallCaps/>
          <w:color w:val="000000"/>
          <w:sz w:val="22"/>
          <w:szCs w:val="22"/>
        </w:rPr>
        <w:t>Tribunal</w:t>
      </w:r>
      <w:r w:rsidR="003D285E" w:rsidRPr="00A62343">
        <w:rPr>
          <w:rFonts w:ascii="Verdana" w:eastAsia="Arial" w:hAnsi="Verdana" w:cs="Arial"/>
          <w:smallCaps/>
          <w:color w:val="000000"/>
          <w:sz w:val="22"/>
          <w:szCs w:val="22"/>
        </w:rPr>
        <w:t xml:space="preserve"> Electoral</w:t>
      </w:r>
      <w:r w:rsidRPr="00A62343">
        <w:rPr>
          <w:rFonts w:ascii="Verdana" w:eastAsia="Arial" w:hAnsi="Verdana" w:cs="Arial"/>
          <w:color w:val="000000"/>
          <w:sz w:val="22"/>
          <w:szCs w:val="22"/>
        </w:rPr>
        <w:t xml:space="preserve">) </w:t>
      </w:r>
      <w:r w:rsidR="0047690A" w:rsidRPr="00A62343">
        <w:rPr>
          <w:rFonts w:ascii="Verdana" w:eastAsia="Arial" w:hAnsi="Verdana" w:cs="Arial"/>
          <w:sz w:val="22"/>
          <w:szCs w:val="22"/>
        </w:rPr>
        <w:t xml:space="preserve">los </w:t>
      </w:r>
      <w:r w:rsidRPr="00A62343">
        <w:rPr>
          <w:rFonts w:ascii="Verdana" w:eastAsia="Arial" w:hAnsi="Verdana" w:cs="Arial"/>
          <w:sz w:val="22"/>
          <w:szCs w:val="22"/>
        </w:rPr>
        <w:t>Recurso</w:t>
      </w:r>
      <w:r w:rsidR="0047690A" w:rsidRPr="00A62343">
        <w:rPr>
          <w:rFonts w:ascii="Verdana" w:eastAsia="Arial" w:hAnsi="Verdana" w:cs="Arial"/>
          <w:sz w:val="22"/>
          <w:szCs w:val="22"/>
        </w:rPr>
        <w:t>s</w:t>
      </w:r>
      <w:r w:rsidRPr="00A62343">
        <w:rPr>
          <w:rFonts w:ascii="Verdana" w:eastAsia="Arial" w:hAnsi="Verdana" w:cs="Arial"/>
          <w:sz w:val="22"/>
          <w:szCs w:val="22"/>
        </w:rPr>
        <w:t xml:space="preserve"> de Apelación</w:t>
      </w:r>
      <w:r w:rsidRPr="00A62343">
        <w:rPr>
          <w:rFonts w:ascii="Verdana" w:eastAsia="Arial" w:hAnsi="Verdana" w:cs="Arial"/>
          <w:color w:val="000000"/>
          <w:sz w:val="22"/>
          <w:szCs w:val="22"/>
        </w:rPr>
        <w:t xml:space="preserve"> presentado</w:t>
      </w:r>
      <w:r w:rsidR="0047690A" w:rsidRPr="00A62343">
        <w:rPr>
          <w:rFonts w:ascii="Verdana" w:eastAsia="Arial" w:hAnsi="Verdana" w:cs="Arial"/>
          <w:color w:val="000000"/>
          <w:sz w:val="22"/>
          <w:szCs w:val="22"/>
        </w:rPr>
        <w:t>s</w:t>
      </w:r>
      <w:r w:rsidRPr="00A62343">
        <w:rPr>
          <w:rFonts w:ascii="Verdana" w:eastAsia="Arial" w:hAnsi="Verdana" w:cs="Arial"/>
          <w:color w:val="000000"/>
          <w:sz w:val="22"/>
          <w:szCs w:val="22"/>
        </w:rPr>
        <w:t xml:space="preserve"> por </w:t>
      </w:r>
      <w:r w:rsidR="00383758" w:rsidRPr="00A62343">
        <w:rPr>
          <w:rFonts w:ascii="Verdana" w:eastAsia="Arial" w:hAnsi="Verdana" w:cs="Arial"/>
          <w:color w:val="000000"/>
          <w:sz w:val="22"/>
          <w:szCs w:val="22"/>
        </w:rPr>
        <w:t xml:space="preserve">los Partidos Políticos </w:t>
      </w:r>
      <w:r w:rsidR="001047AC" w:rsidRPr="00A62343">
        <w:rPr>
          <w:rFonts w:ascii="Verdana" w:eastAsia="Arial" w:hAnsi="Verdana" w:cs="Arial"/>
          <w:bCs/>
          <w:color w:val="000000"/>
          <w:sz w:val="22"/>
          <w:szCs w:val="22"/>
          <w:lang w:val="es-MX"/>
        </w:rPr>
        <w:t>Acción Nacional (</w:t>
      </w:r>
      <w:r w:rsidR="00EB571C" w:rsidRPr="00A62343">
        <w:rPr>
          <w:rFonts w:ascii="Verdana" w:eastAsia="Arial" w:hAnsi="Verdana" w:cs="Arial"/>
          <w:color w:val="000000"/>
          <w:sz w:val="22"/>
          <w:szCs w:val="22"/>
        </w:rPr>
        <w:t>PAN</w:t>
      </w:r>
      <w:r w:rsidR="001047AC" w:rsidRPr="00A62343">
        <w:rPr>
          <w:rFonts w:ascii="Verdana" w:eastAsia="Arial" w:hAnsi="Verdana" w:cs="Arial"/>
          <w:color w:val="000000"/>
          <w:sz w:val="22"/>
          <w:szCs w:val="22"/>
        </w:rPr>
        <w:t>)</w:t>
      </w:r>
      <w:r w:rsidR="00383758" w:rsidRPr="00A62343">
        <w:rPr>
          <w:rFonts w:ascii="Verdana" w:eastAsia="Arial" w:hAnsi="Verdana" w:cs="Arial"/>
          <w:color w:val="000000"/>
          <w:sz w:val="22"/>
          <w:szCs w:val="22"/>
        </w:rPr>
        <w:t xml:space="preserve"> </w:t>
      </w:r>
      <w:r w:rsidR="00383758" w:rsidRPr="00A62343">
        <w:rPr>
          <w:rFonts w:ascii="Verdana" w:eastAsia="Arial" w:hAnsi="Verdana" w:cs="Arial"/>
          <w:color w:val="000000"/>
          <w:sz w:val="22"/>
          <w:szCs w:val="22"/>
        </w:rPr>
        <w:lastRenderedPageBreak/>
        <w:t>y Revolucionario Institucional</w:t>
      </w:r>
      <w:r w:rsidR="00EB571C" w:rsidRPr="00A62343">
        <w:rPr>
          <w:rFonts w:ascii="Verdana" w:eastAsia="Arial" w:hAnsi="Verdana" w:cs="Arial"/>
          <w:color w:val="000000"/>
          <w:sz w:val="22"/>
          <w:szCs w:val="22"/>
        </w:rPr>
        <w:t xml:space="preserve"> (</w:t>
      </w:r>
      <w:r w:rsidR="00EB571C" w:rsidRPr="00A62343">
        <w:rPr>
          <w:rFonts w:ascii="Verdana" w:eastAsia="Arial" w:hAnsi="Verdana" w:cs="Arial"/>
          <w:smallCaps/>
          <w:color w:val="000000"/>
          <w:sz w:val="22"/>
          <w:szCs w:val="22"/>
        </w:rPr>
        <w:t>PRI</w:t>
      </w:r>
      <w:r w:rsidR="00EB571C" w:rsidRPr="00A62343">
        <w:rPr>
          <w:rFonts w:ascii="Verdana" w:eastAsia="Arial" w:hAnsi="Verdana" w:cs="Arial"/>
          <w:color w:val="000000"/>
          <w:sz w:val="22"/>
          <w:szCs w:val="22"/>
        </w:rPr>
        <w:t>)</w:t>
      </w:r>
      <w:r w:rsidR="00383758" w:rsidRPr="00A62343">
        <w:rPr>
          <w:rFonts w:ascii="Verdana" w:eastAsia="Arial" w:hAnsi="Verdana" w:cs="Arial"/>
          <w:color w:val="000000"/>
          <w:sz w:val="22"/>
          <w:szCs w:val="22"/>
        </w:rPr>
        <w:t xml:space="preserve">, </w:t>
      </w:r>
      <w:r w:rsidRPr="00A62343">
        <w:rPr>
          <w:rFonts w:ascii="Verdana" w:eastAsia="Arial" w:hAnsi="Verdana" w:cs="Arial"/>
          <w:color w:val="000000"/>
          <w:sz w:val="22"/>
          <w:szCs w:val="22"/>
        </w:rPr>
        <w:t>así c</w:t>
      </w:r>
      <w:r w:rsidR="00AF5A65" w:rsidRPr="00A62343">
        <w:rPr>
          <w:rFonts w:ascii="Verdana" w:eastAsia="Arial" w:hAnsi="Verdana" w:cs="Arial"/>
          <w:color w:val="000000"/>
          <w:sz w:val="22"/>
          <w:szCs w:val="22"/>
        </w:rPr>
        <w:t>omo el informe circunstanciado</w:t>
      </w:r>
      <w:r w:rsidR="00832BA7" w:rsidRPr="00A62343">
        <w:rPr>
          <w:rFonts w:ascii="Verdana" w:eastAsia="Arial" w:hAnsi="Verdana" w:cs="Arial"/>
          <w:color w:val="000000"/>
          <w:sz w:val="22"/>
          <w:szCs w:val="22"/>
        </w:rPr>
        <w:t xml:space="preserve"> de los sendos recursos</w:t>
      </w:r>
      <w:r w:rsidR="00AF5A65" w:rsidRPr="00A62343">
        <w:rPr>
          <w:rFonts w:ascii="Verdana" w:eastAsia="Arial" w:hAnsi="Verdana" w:cs="Arial"/>
          <w:color w:val="000000"/>
          <w:sz w:val="22"/>
          <w:szCs w:val="22"/>
        </w:rPr>
        <w:t xml:space="preserve">, </w:t>
      </w:r>
      <w:r w:rsidR="00431D1F" w:rsidRPr="00A62343">
        <w:rPr>
          <w:rFonts w:ascii="Verdana" w:eastAsia="Arial" w:hAnsi="Verdana" w:cs="Arial"/>
          <w:bCs/>
          <w:color w:val="000000"/>
          <w:sz w:val="22"/>
          <w:szCs w:val="22"/>
          <w:lang w:val="es-MX"/>
        </w:rPr>
        <w:t xml:space="preserve">los cuales se registraron y tras advertir la identidad del </w:t>
      </w:r>
      <w:r w:rsidR="00383758" w:rsidRPr="00A62343">
        <w:rPr>
          <w:rFonts w:ascii="Verdana" w:eastAsia="Arial" w:hAnsi="Verdana" w:cs="Arial"/>
          <w:bCs/>
          <w:smallCaps/>
          <w:color w:val="000000"/>
          <w:sz w:val="22"/>
          <w:szCs w:val="22"/>
          <w:lang w:val="es-MX"/>
        </w:rPr>
        <w:t>Acto Impugnado</w:t>
      </w:r>
      <w:r w:rsidR="001A27FB" w:rsidRPr="00A62343">
        <w:rPr>
          <w:rFonts w:ascii="Verdana" w:eastAsia="Arial" w:hAnsi="Verdana" w:cs="Arial"/>
          <w:bCs/>
          <w:color w:val="000000"/>
          <w:sz w:val="22"/>
          <w:szCs w:val="22"/>
          <w:lang w:val="es-MX"/>
        </w:rPr>
        <w:t xml:space="preserve">, </w:t>
      </w:r>
      <w:r w:rsidR="00431D1F" w:rsidRPr="00A62343">
        <w:rPr>
          <w:rFonts w:ascii="Verdana" w:eastAsia="Arial" w:hAnsi="Verdana" w:cs="Arial"/>
          <w:bCs/>
          <w:color w:val="000000"/>
          <w:sz w:val="22"/>
          <w:szCs w:val="22"/>
          <w:lang w:val="es-MX"/>
        </w:rPr>
        <w:t>así como l</w:t>
      </w:r>
      <w:r w:rsidR="00AF5A65" w:rsidRPr="00A62343">
        <w:rPr>
          <w:rFonts w:ascii="Verdana" w:eastAsia="Arial" w:hAnsi="Verdana" w:cs="Arial"/>
          <w:bCs/>
          <w:color w:val="000000"/>
          <w:sz w:val="22"/>
          <w:szCs w:val="22"/>
          <w:lang w:val="es-MX"/>
        </w:rPr>
        <w:t>a pretensión de l</w:t>
      </w:r>
      <w:r w:rsidR="00383758" w:rsidRPr="00A62343">
        <w:rPr>
          <w:rFonts w:ascii="Verdana" w:eastAsia="Arial" w:hAnsi="Verdana" w:cs="Arial"/>
          <w:bCs/>
          <w:color w:val="000000"/>
          <w:sz w:val="22"/>
          <w:szCs w:val="22"/>
          <w:lang w:val="es-MX"/>
        </w:rPr>
        <w:t xml:space="preserve">os </w:t>
      </w:r>
      <w:r w:rsidR="00EB571C" w:rsidRPr="00A62343">
        <w:rPr>
          <w:rFonts w:ascii="Verdana" w:eastAsia="Arial" w:hAnsi="Verdana" w:cs="Arial"/>
          <w:bCs/>
          <w:smallCaps/>
          <w:color w:val="000000"/>
          <w:sz w:val="22"/>
          <w:szCs w:val="22"/>
          <w:lang w:val="es-MX"/>
        </w:rPr>
        <w:t>Partidos Recurrentes</w:t>
      </w:r>
      <w:r w:rsidR="00AF5A65" w:rsidRPr="00A62343">
        <w:rPr>
          <w:rFonts w:ascii="Verdana" w:eastAsia="Arial" w:hAnsi="Verdana" w:cs="Arial"/>
          <w:bCs/>
          <w:color w:val="000000"/>
          <w:sz w:val="22"/>
          <w:szCs w:val="22"/>
          <w:lang w:val="es-MX"/>
        </w:rPr>
        <w:t>,</w:t>
      </w:r>
      <w:r w:rsidR="00431D1F" w:rsidRPr="00A62343">
        <w:rPr>
          <w:rFonts w:ascii="Verdana" w:eastAsia="Arial" w:hAnsi="Verdana" w:cs="Arial"/>
          <w:bCs/>
          <w:color w:val="000000"/>
          <w:sz w:val="22"/>
          <w:szCs w:val="22"/>
          <w:lang w:val="es-MX"/>
        </w:rPr>
        <w:t xml:space="preserve"> </w:t>
      </w:r>
      <w:r w:rsidR="00505FE9" w:rsidRPr="00A62343">
        <w:rPr>
          <w:rFonts w:ascii="Verdana" w:eastAsia="Arial" w:hAnsi="Verdana" w:cs="Arial"/>
          <w:bCs/>
          <w:color w:val="000000"/>
          <w:sz w:val="22"/>
          <w:szCs w:val="22"/>
          <w:lang w:val="es-MX"/>
        </w:rPr>
        <w:t>se</w:t>
      </w:r>
      <w:r w:rsidR="00431D1F" w:rsidRPr="00A62343">
        <w:rPr>
          <w:rFonts w:ascii="Verdana" w:eastAsia="Arial" w:hAnsi="Verdana" w:cs="Arial"/>
          <w:bCs/>
          <w:sz w:val="22"/>
          <w:szCs w:val="22"/>
          <w:lang w:val="es-MX"/>
        </w:rPr>
        <w:t xml:space="preserve"> acordó su acumulación. </w:t>
      </w:r>
    </w:p>
    <w:p w14:paraId="46A6E572" w14:textId="57A30DAE" w:rsidR="002672C8" w:rsidRPr="00A62343" w:rsidRDefault="002672C8" w:rsidP="001F54E1">
      <w:pPr>
        <w:spacing w:before="100" w:beforeAutospacing="1" w:after="100" w:afterAutospacing="1" w:line="360" w:lineRule="auto"/>
        <w:jc w:val="both"/>
        <w:rPr>
          <w:rFonts w:ascii="Verdana" w:eastAsia="Arial" w:hAnsi="Verdana" w:cs="Arial"/>
          <w:sz w:val="22"/>
          <w:szCs w:val="22"/>
        </w:rPr>
      </w:pPr>
      <w:r w:rsidRPr="00A62343">
        <w:rPr>
          <w:rFonts w:ascii="Verdana" w:eastAsia="Arial" w:hAnsi="Verdana" w:cs="Arial"/>
          <w:sz w:val="22"/>
          <w:szCs w:val="22"/>
        </w:rPr>
        <w:t>En fecha</w:t>
      </w:r>
      <w:r w:rsidR="00C4444B" w:rsidRPr="00A62343">
        <w:rPr>
          <w:rFonts w:ascii="Verdana" w:eastAsia="Arial" w:hAnsi="Verdana" w:cs="Arial"/>
          <w:sz w:val="22"/>
          <w:szCs w:val="22"/>
        </w:rPr>
        <w:t xml:space="preserve"> </w:t>
      </w:r>
      <w:r w:rsidR="00832BA7" w:rsidRPr="00A62343">
        <w:rPr>
          <w:rFonts w:ascii="Verdana" w:eastAsia="Arial" w:hAnsi="Verdana" w:cs="Arial"/>
          <w:sz w:val="22"/>
          <w:szCs w:val="22"/>
        </w:rPr>
        <w:t>cuatro</w:t>
      </w:r>
      <w:r w:rsidR="00C4444B" w:rsidRPr="00A62343">
        <w:rPr>
          <w:rFonts w:ascii="Verdana" w:eastAsia="Arial" w:hAnsi="Verdana" w:cs="Arial"/>
          <w:sz w:val="22"/>
          <w:szCs w:val="22"/>
        </w:rPr>
        <w:t xml:space="preserve"> de </w:t>
      </w:r>
      <w:r w:rsidR="0047690A" w:rsidRPr="00A62343">
        <w:rPr>
          <w:rFonts w:ascii="Verdana" w:eastAsia="Arial" w:hAnsi="Verdana" w:cs="Arial"/>
          <w:sz w:val="22"/>
          <w:szCs w:val="22"/>
        </w:rPr>
        <w:t>noviembre, se turnaron los</w:t>
      </w:r>
      <w:r w:rsidRPr="00A62343">
        <w:rPr>
          <w:rFonts w:ascii="Verdana" w:eastAsia="Arial" w:hAnsi="Verdana" w:cs="Arial"/>
          <w:sz w:val="22"/>
          <w:szCs w:val="22"/>
        </w:rPr>
        <w:t xml:space="preserve"> medio</w:t>
      </w:r>
      <w:r w:rsidR="0047690A" w:rsidRPr="00A62343">
        <w:rPr>
          <w:rFonts w:ascii="Verdana" w:eastAsia="Arial" w:hAnsi="Verdana" w:cs="Arial"/>
          <w:sz w:val="22"/>
          <w:szCs w:val="22"/>
        </w:rPr>
        <w:t>s</w:t>
      </w:r>
      <w:r w:rsidRPr="00A62343">
        <w:rPr>
          <w:rFonts w:ascii="Verdana" w:eastAsia="Arial" w:hAnsi="Verdana" w:cs="Arial"/>
          <w:sz w:val="22"/>
          <w:szCs w:val="22"/>
        </w:rPr>
        <w:t xml:space="preserve"> de impugnación en cuestión</w:t>
      </w:r>
      <w:r w:rsidR="00674EBD" w:rsidRPr="00A62343">
        <w:rPr>
          <w:rFonts w:ascii="Verdana" w:eastAsia="Arial" w:hAnsi="Verdana" w:cs="Arial"/>
          <w:sz w:val="22"/>
          <w:szCs w:val="22"/>
        </w:rPr>
        <w:t>,</w:t>
      </w:r>
      <w:r w:rsidR="00AF5A65" w:rsidRPr="00A62343">
        <w:rPr>
          <w:rFonts w:ascii="Verdana" w:eastAsia="Arial" w:hAnsi="Verdana" w:cs="Arial"/>
          <w:sz w:val="22"/>
          <w:szCs w:val="22"/>
        </w:rPr>
        <w:t xml:space="preserve"> a la Ponencia del Magistrado</w:t>
      </w:r>
      <w:r w:rsidRPr="00A62343">
        <w:rPr>
          <w:rFonts w:ascii="Verdana" w:eastAsia="Arial" w:hAnsi="Verdana" w:cs="Arial"/>
          <w:sz w:val="22"/>
          <w:szCs w:val="22"/>
        </w:rPr>
        <w:t xml:space="preserve"> </w:t>
      </w:r>
      <w:proofErr w:type="gramStart"/>
      <w:r w:rsidR="00383758" w:rsidRPr="00A62343">
        <w:rPr>
          <w:rFonts w:ascii="Verdana" w:eastAsia="Arial" w:hAnsi="Verdana" w:cs="Arial"/>
          <w:sz w:val="22"/>
          <w:szCs w:val="22"/>
        </w:rPr>
        <w:t>P</w:t>
      </w:r>
      <w:r w:rsidR="00AF5A65" w:rsidRPr="00A62343">
        <w:rPr>
          <w:rFonts w:ascii="Verdana" w:eastAsia="Arial" w:hAnsi="Verdana" w:cs="Arial"/>
          <w:sz w:val="22"/>
          <w:szCs w:val="22"/>
        </w:rPr>
        <w:t>residente</w:t>
      </w:r>
      <w:proofErr w:type="gramEnd"/>
      <w:r w:rsidR="00383758" w:rsidRPr="00A62343">
        <w:rPr>
          <w:rFonts w:ascii="Verdana" w:eastAsia="Arial" w:hAnsi="Verdana" w:cs="Arial"/>
          <w:sz w:val="22"/>
          <w:szCs w:val="22"/>
        </w:rPr>
        <w:t>,</w:t>
      </w:r>
      <w:r w:rsidR="00AF5A65" w:rsidRPr="00A62343">
        <w:rPr>
          <w:rFonts w:ascii="Verdana" w:eastAsia="Arial" w:hAnsi="Verdana" w:cs="Arial"/>
          <w:sz w:val="22"/>
          <w:szCs w:val="22"/>
        </w:rPr>
        <w:t xml:space="preserve"> Héctor Salvador Hernández Gallegos</w:t>
      </w:r>
      <w:r w:rsidRPr="00A62343">
        <w:rPr>
          <w:rFonts w:ascii="Verdana" w:eastAsia="Arial" w:hAnsi="Verdana" w:cs="Arial"/>
          <w:sz w:val="22"/>
          <w:szCs w:val="22"/>
        </w:rPr>
        <w:t>,</w:t>
      </w:r>
      <w:r w:rsidR="006227F8" w:rsidRPr="00A62343">
        <w:rPr>
          <w:rStyle w:val="Refdenotaalpie"/>
          <w:rFonts w:ascii="Verdana" w:eastAsia="Arial" w:hAnsi="Verdana" w:cs="Arial"/>
          <w:sz w:val="22"/>
          <w:szCs w:val="22"/>
        </w:rPr>
        <w:footnoteReference w:id="3"/>
      </w:r>
      <w:r w:rsidRPr="00A62343">
        <w:rPr>
          <w:rFonts w:ascii="Verdana" w:eastAsia="Arial" w:hAnsi="Verdana" w:cs="Arial"/>
          <w:sz w:val="22"/>
          <w:szCs w:val="22"/>
        </w:rPr>
        <w:t xml:space="preserve"> radicándolo</w:t>
      </w:r>
      <w:r w:rsidR="00AF5A65" w:rsidRPr="00A62343">
        <w:rPr>
          <w:rFonts w:ascii="Verdana" w:eastAsia="Arial" w:hAnsi="Verdana" w:cs="Arial"/>
          <w:sz w:val="22"/>
          <w:szCs w:val="22"/>
        </w:rPr>
        <w:t>s</w:t>
      </w:r>
      <w:r w:rsidRPr="00A62343">
        <w:rPr>
          <w:rFonts w:ascii="Verdana" w:eastAsia="Arial" w:hAnsi="Verdana" w:cs="Arial"/>
          <w:sz w:val="22"/>
          <w:szCs w:val="22"/>
        </w:rPr>
        <w:t xml:space="preserve"> el </w:t>
      </w:r>
      <w:r w:rsidR="00832BA7" w:rsidRPr="00A62343">
        <w:rPr>
          <w:rFonts w:ascii="Verdana" w:eastAsia="Arial" w:hAnsi="Verdana" w:cs="Arial"/>
          <w:sz w:val="22"/>
          <w:szCs w:val="22"/>
        </w:rPr>
        <w:t>seis</w:t>
      </w:r>
      <w:r w:rsidR="0047690A" w:rsidRPr="00A62343">
        <w:rPr>
          <w:rFonts w:ascii="Verdana" w:eastAsia="Arial" w:hAnsi="Verdana" w:cs="Arial"/>
          <w:sz w:val="22"/>
          <w:szCs w:val="22"/>
        </w:rPr>
        <w:t xml:space="preserve"> </w:t>
      </w:r>
      <w:r w:rsidR="003F2825" w:rsidRPr="00A62343">
        <w:rPr>
          <w:rFonts w:ascii="Verdana" w:eastAsia="Arial" w:hAnsi="Verdana" w:cs="Arial"/>
          <w:sz w:val="22"/>
          <w:szCs w:val="22"/>
        </w:rPr>
        <w:t xml:space="preserve">de </w:t>
      </w:r>
      <w:r w:rsidR="0047690A" w:rsidRPr="00A62343">
        <w:rPr>
          <w:rFonts w:ascii="Verdana" w:eastAsia="Arial" w:hAnsi="Verdana" w:cs="Arial"/>
          <w:sz w:val="22"/>
          <w:szCs w:val="22"/>
        </w:rPr>
        <w:t>noviembre</w:t>
      </w:r>
      <w:r w:rsidRPr="00A62343">
        <w:rPr>
          <w:rFonts w:ascii="Verdana" w:eastAsia="Arial" w:hAnsi="Verdana" w:cs="Arial"/>
          <w:sz w:val="22"/>
          <w:szCs w:val="22"/>
        </w:rPr>
        <w:t>.</w:t>
      </w:r>
      <w:r w:rsidR="006227F8" w:rsidRPr="00A62343">
        <w:rPr>
          <w:rStyle w:val="Refdenotaalpie"/>
          <w:rFonts w:ascii="Verdana" w:eastAsia="Arial" w:hAnsi="Verdana" w:cs="Arial"/>
          <w:sz w:val="22"/>
          <w:szCs w:val="22"/>
        </w:rPr>
        <w:footnoteReference w:id="4"/>
      </w:r>
    </w:p>
    <w:p w14:paraId="7F657EBB" w14:textId="4B252005" w:rsidR="00C152D9" w:rsidRPr="00A62343" w:rsidRDefault="00C152D9" w:rsidP="001F54E1">
      <w:pPr>
        <w:pBdr>
          <w:top w:val="nil"/>
          <w:left w:val="nil"/>
          <w:bottom w:val="nil"/>
          <w:right w:val="nil"/>
          <w:between w:val="nil"/>
        </w:pBdr>
        <w:tabs>
          <w:tab w:val="left" w:pos="426"/>
        </w:tabs>
        <w:spacing w:before="100" w:beforeAutospacing="1" w:after="100" w:afterAutospacing="1" w:line="360" w:lineRule="auto"/>
        <w:jc w:val="both"/>
        <w:rPr>
          <w:rFonts w:ascii="Verdana" w:eastAsia="Verdana" w:hAnsi="Verdana" w:cs="Verdana"/>
          <w:b/>
          <w:sz w:val="22"/>
          <w:szCs w:val="22"/>
        </w:rPr>
      </w:pPr>
      <w:r w:rsidRPr="00A62343">
        <w:rPr>
          <w:rFonts w:ascii="Verdana" w:eastAsia="Arial" w:hAnsi="Verdana" w:cs="Arial"/>
          <w:b/>
          <w:bCs/>
          <w:sz w:val="22"/>
          <w:szCs w:val="22"/>
        </w:rPr>
        <w:t xml:space="preserve">5. Publicación del </w:t>
      </w:r>
      <w:r w:rsidRPr="00A62343">
        <w:rPr>
          <w:rFonts w:ascii="Verdana" w:eastAsia="Verdana" w:hAnsi="Verdana" w:cs="Verdana"/>
          <w:b/>
          <w:sz w:val="22"/>
          <w:szCs w:val="22"/>
        </w:rPr>
        <w:t>Acuerdo CG-A-47/23 en el Periódico Oficial del Estado de Aguascalientes.</w:t>
      </w:r>
    </w:p>
    <w:p w14:paraId="24370F9F" w14:textId="2E8C8FF7" w:rsidR="00C152D9" w:rsidRPr="00A62343" w:rsidRDefault="00C152D9" w:rsidP="001F54E1">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color w:val="000000"/>
          <w:sz w:val="22"/>
          <w:szCs w:val="22"/>
        </w:rPr>
        <w:t xml:space="preserve">El </w:t>
      </w:r>
      <w:r w:rsidRPr="00A62343">
        <w:rPr>
          <w:rFonts w:ascii="Verdana" w:eastAsia="Arial" w:hAnsi="Verdana" w:cs="Arial"/>
          <w:smallCaps/>
          <w:color w:val="000000"/>
          <w:sz w:val="22"/>
          <w:szCs w:val="22"/>
        </w:rPr>
        <w:t>Acto Impugnado</w:t>
      </w:r>
      <w:r w:rsidRPr="00A62343">
        <w:rPr>
          <w:rFonts w:ascii="Verdana" w:eastAsia="Arial" w:hAnsi="Verdana" w:cs="Arial"/>
          <w:color w:val="000000"/>
          <w:sz w:val="22"/>
          <w:szCs w:val="22"/>
        </w:rPr>
        <w:t xml:space="preserve"> se publicó en el Periódico Oficial del Estado de Aguascalientes el seis de noviembre.</w:t>
      </w:r>
      <w:r w:rsidRPr="00A62343">
        <w:rPr>
          <w:rStyle w:val="Refdenotaalpie"/>
          <w:rFonts w:ascii="Verdana" w:eastAsia="Arial" w:hAnsi="Verdana" w:cs="Arial"/>
          <w:color w:val="000000"/>
          <w:sz w:val="22"/>
          <w:szCs w:val="22"/>
        </w:rPr>
        <w:footnoteReference w:id="5"/>
      </w:r>
      <w:r w:rsidRPr="00A62343">
        <w:rPr>
          <w:rFonts w:ascii="Verdana" w:eastAsia="Arial" w:hAnsi="Verdana" w:cs="Arial"/>
          <w:color w:val="000000"/>
          <w:sz w:val="22"/>
          <w:szCs w:val="22"/>
        </w:rPr>
        <w:t xml:space="preserve"> </w:t>
      </w:r>
    </w:p>
    <w:p w14:paraId="747EB635" w14:textId="639BDE20" w:rsidR="00383758" w:rsidRPr="00A62343" w:rsidRDefault="00C152D9" w:rsidP="001F54E1">
      <w:pPr>
        <w:pBdr>
          <w:top w:val="nil"/>
          <w:left w:val="nil"/>
          <w:bottom w:val="nil"/>
          <w:right w:val="nil"/>
          <w:between w:val="nil"/>
        </w:pBdr>
        <w:tabs>
          <w:tab w:val="left" w:pos="426"/>
        </w:tabs>
        <w:spacing w:before="100" w:beforeAutospacing="1" w:after="100" w:afterAutospacing="1" w:line="360" w:lineRule="auto"/>
        <w:jc w:val="both"/>
        <w:rPr>
          <w:rFonts w:ascii="Verdana" w:hAnsi="Verdana" w:cs="Arial"/>
          <w:b/>
          <w:sz w:val="22"/>
          <w:szCs w:val="22"/>
        </w:rPr>
      </w:pPr>
      <w:r w:rsidRPr="00A62343">
        <w:rPr>
          <w:rFonts w:ascii="Verdana" w:eastAsia="Arial" w:hAnsi="Verdana" w:cs="Arial"/>
          <w:b/>
          <w:bCs/>
          <w:sz w:val="22"/>
          <w:szCs w:val="22"/>
        </w:rPr>
        <w:t>6</w:t>
      </w:r>
      <w:r w:rsidR="002672C8" w:rsidRPr="00A62343">
        <w:rPr>
          <w:rFonts w:ascii="Verdana" w:eastAsia="Arial" w:hAnsi="Verdana" w:cs="Arial"/>
          <w:b/>
          <w:bCs/>
          <w:sz w:val="22"/>
          <w:szCs w:val="22"/>
        </w:rPr>
        <w:t xml:space="preserve">. </w:t>
      </w:r>
      <w:r w:rsidR="002672C8" w:rsidRPr="00A62343">
        <w:rPr>
          <w:rFonts w:ascii="Verdana" w:hAnsi="Verdana" w:cs="Arial"/>
          <w:b/>
          <w:sz w:val="22"/>
          <w:szCs w:val="22"/>
        </w:rPr>
        <w:t xml:space="preserve">Admisión. </w:t>
      </w:r>
    </w:p>
    <w:p w14:paraId="6422983B" w14:textId="2B26AE6F" w:rsidR="00832BA7" w:rsidRPr="00A62343" w:rsidRDefault="002672C8" w:rsidP="001F54E1">
      <w:pPr>
        <w:pBdr>
          <w:top w:val="nil"/>
          <w:left w:val="nil"/>
          <w:bottom w:val="nil"/>
          <w:right w:val="nil"/>
          <w:between w:val="nil"/>
        </w:pBdr>
        <w:tabs>
          <w:tab w:val="left" w:pos="426"/>
        </w:tabs>
        <w:spacing w:before="100" w:beforeAutospacing="1" w:after="100" w:afterAutospacing="1" w:line="360" w:lineRule="auto"/>
        <w:jc w:val="both"/>
        <w:rPr>
          <w:rFonts w:ascii="Verdana" w:hAnsi="Verdana" w:cs="Arial"/>
          <w:bCs/>
          <w:sz w:val="22"/>
          <w:szCs w:val="22"/>
        </w:rPr>
      </w:pPr>
      <w:r w:rsidRPr="00A62343">
        <w:rPr>
          <w:rFonts w:ascii="Verdana" w:hAnsi="Verdana" w:cs="Arial"/>
          <w:bCs/>
          <w:sz w:val="22"/>
          <w:szCs w:val="22"/>
        </w:rPr>
        <w:t xml:space="preserve">El </w:t>
      </w:r>
      <w:r w:rsidR="00832BA7" w:rsidRPr="00A62343">
        <w:rPr>
          <w:rFonts w:ascii="Verdana" w:hAnsi="Verdana" w:cs="Arial"/>
          <w:bCs/>
          <w:sz w:val="22"/>
          <w:szCs w:val="22"/>
        </w:rPr>
        <w:t>nueve</w:t>
      </w:r>
      <w:r w:rsidRPr="00A62343">
        <w:rPr>
          <w:rFonts w:ascii="Verdana" w:hAnsi="Verdana" w:cs="Arial"/>
          <w:bCs/>
          <w:sz w:val="22"/>
          <w:szCs w:val="22"/>
        </w:rPr>
        <w:t xml:space="preserve"> de </w:t>
      </w:r>
      <w:r w:rsidR="0047690A" w:rsidRPr="00A62343">
        <w:rPr>
          <w:rFonts w:ascii="Verdana" w:hAnsi="Verdana" w:cs="Arial"/>
          <w:bCs/>
          <w:sz w:val="22"/>
          <w:szCs w:val="22"/>
        </w:rPr>
        <w:t>noviembre</w:t>
      </w:r>
      <w:r w:rsidRPr="00A62343">
        <w:rPr>
          <w:rFonts w:ascii="Verdana" w:hAnsi="Verdana" w:cs="Arial"/>
          <w:bCs/>
          <w:sz w:val="22"/>
          <w:szCs w:val="22"/>
        </w:rPr>
        <w:t>,</w:t>
      </w:r>
      <w:r w:rsidRPr="00A62343">
        <w:rPr>
          <w:rFonts w:ascii="Verdana" w:eastAsia="Arial" w:hAnsi="Verdana" w:cs="Arial"/>
          <w:sz w:val="22"/>
          <w:szCs w:val="22"/>
        </w:rPr>
        <w:t xml:space="preserve"> la Magistratura </w:t>
      </w:r>
      <w:r w:rsidR="00D342F5" w:rsidRPr="00A62343">
        <w:rPr>
          <w:rFonts w:ascii="Verdana" w:eastAsia="Arial" w:hAnsi="Verdana" w:cs="Arial"/>
          <w:sz w:val="22"/>
          <w:szCs w:val="22"/>
        </w:rPr>
        <w:t>instructora</w:t>
      </w:r>
      <w:r w:rsidRPr="00A62343">
        <w:rPr>
          <w:rFonts w:ascii="Verdana" w:eastAsia="Arial" w:hAnsi="Verdana" w:cs="Arial"/>
          <w:sz w:val="22"/>
          <w:szCs w:val="22"/>
        </w:rPr>
        <w:t xml:space="preserve">, </w:t>
      </w:r>
      <w:r w:rsidRPr="00A62343">
        <w:rPr>
          <w:rFonts w:ascii="Verdana" w:hAnsi="Verdana" w:cs="Arial"/>
          <w:bCs/>
          <w:sz w:val="22"/>
          <w:szCs w:val="22"/>
        </w:rPr>
        <w:t xml:space="preserve">admitió </w:t>
      </w:r>
      <w:r w:rsidR="0047690A" w:rsidRPr="00A62343">
        <w:rPr>
          <w:rFonts w:ascii="Verdana" w:hAnsi="Verdana" w:cs="Arial"/>
          <w:bCs/>
          <w:sz w:val="22"/>
          <w:szCs w:val="22"/>
        </w:rPr>
        <w:t xml:space="preserve">los </w:t>
      </w:r>
      <w:r w:rsidRPr="00A62343">
        <w:rPr>
          <w:rFonts w:ascii="Verdana" w:hAnsi="Verdana" w:cs="Arial"/>
          <w:bCs/>
          <w:sz w:val="22"/>
          <w:szCs w:val="22"/>
        </w:rPr>
        <w:t>medio</w:t>
      </w:r>
      <w:r w:rsidR="0047690A" w:rsidRPr="00A62343">
        <w:rPr>
          <w:rFonts w:ascii="Verdana" w:hAnsi="Verdana" w:cs="Arial"/>
          <w:bCs/>
          <w:sz w:val="22"/>
          <w:szCs w:val="22"/>
        </w:rPr>
        <w:t>s</w:t>
      </w:r>
      <w:r w:rsidRPr="00A62343">
        <w:rPr>
          <w:rFonts w:ascii="Verdana" w:hAnsi="Verdana" w:cs="Arial"/>
          <w:bCs/>
          <w:sz w:val="22"/>
          <w:szCs w:val="22"/>
        </w:rPr>
        <w:t xml:space="preserve"> de impugnación</w:t>
      </w:r>
      <w:r w:rsidR="00C152D9" w:rsidRPr="00A62343">
        <w:rPr>
          <w:rFonts w:ascii="Verdana" w:hAnsi="Verdana" w:cs="Arial"/>
          <w:bCs/>
          <w:sz w:val="22"/>
          <w:szCs w:val="22"/>
        </w:rPr>
        <w:t xml:space="preserve"> referidos en el numeral 4</w:t>
      </w:r>
      <w:r w:rsidR="008B3243" w:rsidRPr="00A62343">
        <w:rPr>
          <w:rFonts w:ascii="Verdana" w:hAnsi="Verdana" w:cs="Arial"/>
          <w:bCs/>
          <w:sz w:val="22"/>
          <w:szCs w:val="22"/>
        </w:rPr>
        <w:t>.</w:t>
      </w:r>
      <w:r w:rsidR="006227F8" w:rsidRPr="00A62343">
        <w:rPr>
          <w:rStyle w:val="Refdenotaalpie"/>
          <w:rFonts w:ascii="Verdana" w:hAnsi="Verdana" w:cs="Arial"/>
          <w:bCs/>
          <w:sz w:val="22"/>
          <w:szCs w:val="22"/>
        </w:rPr>
        <w:footnoteReference w:id="6"/>
      </w:r>
    </w:p>
    <w:p w14:paraId="0ADBB464" w14:textId="7DADF376" w:rsidR="009B797E" w:rsidRPr="00A62343" w:rsidRDefault="00C152D9" w:rsidP="001F54E1">
      <w:pPr>
        <w:spacing w:before="100" w:beforeAutospacing="1" w:after="100" w:afterAutospacing="1" w:line="360" w:lineRule="auto"/>
        <w:jc w:val="both"/>
        <w:rPr>
          <w:rFonts w:ascii="Verdana" w:eastAsia="Arial" w:hAnsi="Verdana" w:cs="Arial"/>
          <w:b/>
          <w:color w:val="000000"/>
          <w:sz w:val="22"/>
          <w:szCs w:val="22"/>
        </w:rPr>
      </w:pPr>
      <w:r w:rsidRPr="00A62343">
        <w:rPr>
          <w:rFonts w:ascii="Verdana" w:eastAsia="Arial" w:hAnsi="Verdana"/>
          <w:b/>
          <w:bCs/>
          <w:sz w:val="22"/>
          <w:szCs w:val="22"/>
        </w:rPr>
        <w:t>7</w:t>
      </w:r>
      <w:r w:rsidR="00340835" w:rsidRPr="00A62343">
        <w:rPr>
          <w:rFonts w:ascii="Verdana" w:eastAsia="Arial" w:hAnsi="Verdana"/>
          <w:b/>
          <w:bCs/>
          <w:sz w:val="22"/>
          <w:szCs w:val="22"/>
        </w:rPr>
        <w:t xml:space="preserve">. </w:t>
      </w:r>
      <w:r w:rsidR="00787D45" w:rsidRPr="00A62343">
        <w:rPr>
          <w:rFonts w:ascii="Verdana" w:eastAsia="Arial" w:hAnsi="Verdana" w:cs="Arial"/>
          <w:b/>
          <w:color w:val="000000"/>
          <w:sz w:val="22"/>
          <w:szCs w:val="22"/>
        </w:rPr>
        <w:t xml:space="preserve">Juicios para la Protección de los Derechos Político-Electorales </w:t>
      </w:r>
      <w:r w:rsidR="009B797E" w:rsidRPr="00A62343">
        <w:rPr>
          <w:rFonts w:ascii="Verdana" w:eastAsia="Arial" w:hAnsi="Verdana" w:cs="Arial"/>
          <w:b/>
          <w:color w:val="000000"/>
          <w:sz w:val="22"/>
          <w:szCs w:val="22"/>
        </w:rPr>
        <w:t>de la Ciudadanía</w:t>
      </w:r>
      <w:r w:rsidR="00340835" w:rsidRPr="00A62343">
        <w:rPr>
          <w:rFonts w:ascii="Verdana" w:eastAsia="Arial" w:hAnsi="Verdana" w:cs="Arial"/>
          <w:b/>
          <w:color w:val="000000"/>
          <w:sz w:val="22"/>
          <w:szCs w:val="22"/>
        </w:rPr>
        <w:t xml:space="preserve">. </w:t>
      </w:r>
    </w:p>
    <w:p w14:paraId="0FC32308" w14:textId="18F6393D" w:rsidR="00C31182" w:rsidRPr="00A62343" w:rsidRDefault="00EB571C" w:rsidP="001F54E1">
      <w:pPr>
        <w:spacing w:before="100" w:beforeAutospacing="1" w:after="100" w:afterAutospacing="1" w:line="360" w:lineRule="auto"/>
        <w:jc w:val="both"/>
        <w:rPr>
          <w:rFonts w:ascii="Verdana" w:eastAsia="Arial" w:hAnsi="Verdana" w:cs="Arial"/>
          <w:sz w:val="22"/>
          <w:szCs w:val="22"/>
        </w:rPr>
      </w:pPr>
      <w:r w:rsidRPr="00A62343">
        <w:rPr>
          <w:rFonts w:ascii="Verdana" w:eastAsia="Arial" w:hAnsi="Verdana" w:cs="Arial"/>
          <w:bCs/>
          <w:color w:val="000000"/>
          <w:sz w:val="22"/>
          <w:szCs w:val="22"/>
        </w:rPr>
        <w:t>E</w:t>
      </w:r>
      <w:r w:rsidR="00340835" w:rsidRPr="00A62343">
        <w:rPr>
          <w:rFonts w:ascii="Verdana" w:eastAsia="Arial" w:hAnsi="Verdana" w:cs="Arial"/>
          <w:bCs/>
          <w:color w:val="000000"/>
          <w:sz w:val="22"/>
          <w:szCs w:val="22"/>
          <w:lang w:val="es-MX"/>
        </w:rPr>
        <w:t xml:space="preserve">l </w:t>
      </w:r>
      <w:r w:rsidR="00254821" w:rsidRPr="00A62343">
        <w:rPr>
          <w:rFonts w:ascii="Verdana" w:eastAsia="Arial" w:hAnsi="Verdana" w:cs="Arial"/>
          <w:bCs/>
          <w:color w:val="000000"/>
          <w:sz w:val="22"/>
          <w:szCs w:val="22"/>
          <w:lang w:val="es-MX"/>
        </w:rPr>
        <w:t>siete de noviembre</w:t>
      </w:r>
      <w:r w:rsidRPr="00A62343">
        <w:rPr>
          <w:rFonts w:ascii="Verdana" w:eastAsia="Arial" w:hAnsi="Verdana" w:cs="Arial"/>
          <w:bCs/>
          <w:color w:val="000000"/>
          <w:sz w:val="22"/>
          <w:szCs w:val="22"/>
          <w:lang w:val="es-MX"/>
        </w:rPr>
        <w:t xml:space="preserve">, </w:t>
      </w:r>
      <w:r w:rsidRPr="00A62343">
        <w:rPr>
          <w:rFonts w:ascii="Verdana" w:hAnsi="Verdana"/>
          <w:bCs/>
          <w:sz w:val="22"/>
          <w:szCs w:val="22"/>
        </w:rPr>
        <w:t xml:space="preserve">Moisés Segundo Ortiz, Flora Romualdo Gonzalo, Crispín Jesús Gracida Rodríguez, Isabel Silverio Vicente, </w:t>
      </w:r>
      <w:proofErr w:type="spellStart"/>
      <w:r w:rsidRPr="00A62343">
        <w:rPr>
          <w:rFonts w:ascii="Verdana" w:hAnsi="Verdana"/>
          <w:bCs/>
          <w:sz w:val="22"/>
          <w:szCs w:val="22"/>
        </w:rPr>
        <w:t>Jhovany</w:t>
      </w:r>
      <w:proofErr w:type="spellEnd"/>
      <w:r w:rsidRPr="00A62343">
        <w:rPr>
          <w:rFonts w:ascii="Verdana" w:hAnsi="Verdana"/>
          <w:bCs/>
          <w:sz w:val="22"/>
          <w:szCs w:val="22"/>
        </w:rPr>
        <w:t xml:space="preserve"> Hernández Serrano, Yolanda González De la Cruz, Zeferina Hernández López, Rosa López Cárdenas, José Martínez Zamorano, Maribel Camilo Victoriano, Lourdes Galindo López, Antonia Victoriano Marcos, Alicia Ramírez Sánchez, Bernabé Galindo López, Moisés Segundo Martínez, Gabriela Marín Romero, Marcela González Reza, Amalia De la Cruz Reza, Concepción González Reza, Rodrigo Camilo Victoriano y Claudia González Reza</w:t>
      </w:r>
      <w:r w:rsidR="00406152" w:rsidRPr="00A62343">
        <w:rPr>
          <w:rFonts w:ascii="Verdana" w:hAnsi="Verdana"/>
          <w:bCs/>
          <w:sz w:val="22"/>
          <w:szCs w:val="22"/>
        </w:rPr>
        <w:t xml:space="preserve"> (</w:t>
      </w:r>
      <w:r w:rsidR="007624A3" w:rsidRPr="00A62343">
        <w:rPr>
          <w:rFonts w:ascii="Verdana" w:hAnsi="Verdana"/>
          <w:bCs/>
          <w:smallCaps/>
          <w:sz w:val="22"/>
          <w:szCs w:val="22"/>
        </w:rPr>
        <w:t>Partes Promoventes</w:t>
      </w:r>
      <w:r w:rsidR="00406152" w:rsidRPr="00A62343">
        <w:rPr>
          <w:rFonts w:ascii="Verdana" w:hAnsi="Verdana"/>
          <w:bCs/>
          <w:sz w:val="22"/>
          <w:szCs w:val="22"/>
        </w:rPr>
        <w:t>)</w:t>
      </w:r>
      <w:r w:rsidRPr="00A62343">
        <w:rPr>
          <w:rFonts w:ascii="Verdana" w:hAnsi="Verdana"/>
          <w:bCs/>
          <w:sz w:val="22"/>
          <w:szCs w:val="22"/>
        </w:rPr>
        <w:t>,</w:t>
      </w:r>
      <w:r w:rsidR="00254821" w:rsidRPr="00A62343">
        <w:rPr>
          <w:rFonts w:ascii="Verdana" w:eastAsia="Arial" w:hAnsi="Verdana" w:cs="Arial"/>
          <w:bCs/>
          <w:color w:val="000000"/>
          <w:sz w:val="22"/>
          <w:szCs w:val="22"/>
          <w:lang w:val="es-MX"/>
        </w:rPr>
        <w:t xml:space="preserve"> </w:t>
      </w:r>
      <w:r w:rsidR="00406152" w:rsidRPr="00A62343">
        <w:rPr>
          <w:rFonts w:ascii="Verdana" w:eastAsia="Arial" w:hAnsi="Verdana" w:cs="Arial"/>
          <w:bCs/>
          <w:color w:val="000000"/>
          <w:sz w:val="22"/>
          <w:szCs w:val="22"/>
          <w:lang w:val="es-MX"/>
        </w:rPr>
        <w:t xml:space="preserve">auto adscribiéndose como personas pertenecientes a las poblaciones y/o comunidades y/o naciones mexicanas, </w:t>
      </w:r>
      <w:r w:rsidR="00340835" w:rsidRPr="00A62343">
        <w:rPr>
          <w:rFonts w:ascii="Verdana" w:eastAsia="Arial" w:hAnsi="Verdana" w:cs="Arial"/>
          <w:color w:val="000000"/>
          <w:sz w:val="22"/>
          <w:szCs w:val="22"/>
        </w:rPr>
        <w:t xml:space="preserve">presentaron medios de impugnación en contra del </w:t>
      </w:r>
      <w:r w:rsidR="009B797E" w:rsidRPr="00A62343">
        <w:rPr>
          <w:rFonts w:ascii="Verdana" w:eastAsia="Arial" w:hAnsi="Verdana" w:cs="Arial"/>
          <w:color w:val="000000"/>
          <w:sz w:val="22"/>
          <w:szCs w:val="22"/>
        </w:rPr>
        <w:t>A</w:t>
      </w:r>
      <w:r w:rsidR="00340835" w:rsidRPr="00A62343">
        <w:rPr>
          <w:rFonts w:ascii="Verdana" w:eastAsia="Arial" w:hAnsi="Verdana" w:cs="Arial"/>
          <w:color w:val="000000"/>
          <w:sz w:val="22"/>
          <w:szCs w:val="22"/>
        </w:rPr>
        <w:t xml:space="preserve">cuerdo precisado en el </w:t>
      </w:r>
      <w:r w:rsidR="00340835" w:rsidRPr="00A62343">
        <w:rPr>
          <w:rFonts w:ascii="Verdana" w:eastAsia="Arial" w:hAnsi="Verdana" w:cs="Arial"/>
          <w:sz w:val="22"/>
          <w:szCs w:val="22"/>
        </w:rPr>
        <w:t xml:space="preserve">numeral </w:t>
      </w:r>
      <w:r w:rsidR="009B797E" w:rsidRPr="00A62343">
        <w:rPr>
          <w:rFonts w:ascii="Verdana" w:eastAsia="Arial" w:hAnsi="Verdana" w:cs="Arial"/>
          <w:sz w:val="22"/>
          <w:szCs w:val="22"/>
        </w:rPr>
        <w:t>2</w:t>
      </w:r>
      <w:r w:rsidR="00340835" w:rsidRPr="00A62343">
        <w:rPr>
          <w:rFonts w:ascii="Verdana" w:eastAsia="Arial" w:hAnsi="Verdana" w:cs="Arial"/>
          <w:sz w:val="22"/>
          <w:szCs w:val="22"/>
        </w:rPr>
        <w:t xml:space="preserve">, en virtud de que, la </w:t>
      </w:r>
      <w:r w:rsidR="00340835" w:rsidRPr="00A62343">
        <w:rPr>
          <w:rFonts w:ascii="Verdana" w:hAnsi="Verdana"/>
          <w:bCs/>
          <w:smallCaps/>
          <w:sz w:val="22"/>
          <w:szCs w:val="22"/>
        </w:rPr>
        <w:t>Autoridad Responsable</w:t>
      </w:r>
      <w:r w:rsidR="00C31182" w:rsidRPr="00A62343">
        <w:rPr>
          <w:rFonts w:ascii="Verdana" w:hAnsi="Verdana"/>
          <w:bCs/>
          <w:smallCaps/>
          <w:sz w:val="22"/>
          <w:szCs w:val="22"/>
        </w:rPr>
        <w:t xml:space="preserve"> </w:t>
      </w:r>
      <w:r w:rsidR="00C31182" w:rsidRPr="00A62343">
        <w:rPr>
          <w:rFonts w:ascii="Verdana" w:hAnsi="Verdana"/>
          <w:bCs/>
          <w:sz w:val="22"/>
          <w:szCs w:val="22"/>
        </w:rPr>
        <w:t xml:space="preserve">omitió incluir a los pueblos, y/o comunidades indígenas y/o naciones </w:t>
      </w:r>
      <w:r w:rsidR="00C31182" w:rsidRPr="00A62343">
        <w:rPr>
          <w:rFonts w:ascii="Verdana" w:hAnsi="Verdana"/>
          <w:bCs/>
          <w:sz w:val="22"/>
          <w:szCs w:val="22"/>
        </w:rPr>
        <w:lastRenderedPageBreak/>
        <w:t>mexicanas</w:t>
      </w:r>
      <w:r w:rsidR="00D74BAB" w:rsidRPr="00A62343">
        <w:rPr>
          <w:rFonts w:ascii="Verdana" w:hAnsi="Verdana"/>
          <w:bCs/>
          <w:sz w:val="22"/>
          <w:szCs w:val="22"/>
        </w:rPr>
        <w:t xml:space="preserve"> en las cuotas y/o acciones afirmativas para los cargos de elección popular.</w:t>
      </w:r>
    </w:p>
    <w:p w14:paraId="5BC82402" w14:textId="15C99529" w:rsidR="009B797E" w:rsidRPr="00A62343" w:rsidRDefault="00C152D9" w:rsidP="001F54E1">
      <w:pP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b/>
          <w:bCs/>
          <w:color w:val="000000"/>
          <w:sz w:val="22"/>
          <w:szCs w:val="22"/>
        </w:rPr>
        <w:t>8</w:t>
      </w:r>
      <w:r w:rsidR="00340835" w:rsidRPr="00A62343">
        <w:rPr>
          <w:rFonts w:ascii="Verdana" w:eastAsia="Arial" w:hAnsi="Verdana" w:cs="Arial"/>
          <w:b/>
          <w:bCs/>
          <w:color w:val="000000"/>
          <w:sz w:val="22"/>
          <w:szCs w:val="22"/>
        </w:rPr>
        <w:t xml:space="preserve">. </w:t>
      </w:r>
      <w:r w:rsidR="00340835" w:rsidRPr="00A62343">
        <w:rPr>
          <w:rFonts w:ascii="Verdana" w:eastAsia="Arial" w:hAnsi="Verdana" w:cs="Arial"/>
          <w:b/>
          <w:color w:val="000000"/>
          <w:sz w:val="22"/>
          <w:szCs w:val="22"/>
        </w:rPr>
        <w:t xml:space="preserve">Recepción, </w:t>
      </w:r>
      <w:r w:rsidR="00340835" w:rsidRPr="00A62343">
        <w:rPr>
          <w:rFonts w:ascii="Verdana" w:eastAsia="Arial" w:hAnsi="Verdana" w:cs="Arial"/>
          <w:b/>
          <w:sz w:val="22"/>
          <w:szCs w:val="22"/>
        </w:rPr>
        <w:t xml:space="preserve">acumulación, </w:t>
      </w:r>
      <w:r w:rsidR="00340835" w:rsidRPr="00A62343">
        <w:rPr>
          <w:rFonts w:ascii="Verdana" w:eastAsia="Arial" w:hAnsi="Verdana" w:cs="Arial"/>
          <w:b/>
          <w:color w:val="000000"/>
          <w:sz w:val="22"/>
          <w:szCs w:val="22"/>
        </w:rPr>
        <w:t xml:space="preserve">turno y radicación de los </w:t>
      </w:r>
      <w:r w:rsidR="00332B4B" w:rsidRPr="00A62343">
        <w:rPr>
          <w:rFonts w:ascii="Verdana" w:eastAsia="Arial" w:hAnsi="Verdana" w:cs="Arial"/>
          <w:b/>
          <w:color w:val="000000"/>
          <w:sz w:val="22"/>
          <w:szCs w:val="22"/>
        </w:rPr>
        <w:t xml:space="preserve">Juicios para la Protección de los Derechos Político-Electorales </w:t>
      </w:r>
      <w:r w:rsidR="009B797E" w:rsidRPr="00A62343">
        <w:rPr>
          <w:rFonts w:ascii="Verdana" w:eastAsia="Arial" w:hAnsi="Verdana" w:cs="Arial"/>
          <w:b/>
          <w:color w:val="000000"/>
          <w:sz w:val="22"/>
          <w:szCs w:val="22"/>
        </w:rPr>
        <w:t>de la Ciudadanía</w:t>
      </w:r>
      <w:r w:rsidR="00332B4B" w:rsidRPr="00A62343">
        <w:rPr>
          <w:rFonts w:ascii="Verdana" w:eastAsia="Arial" w:hAnsi="Verdana" w:cs="Arial"/>
          <w:b/>
          <w:color w:val="000000"/>
          <w:sz w:val="22"/>
          <w:szCs w:val="22"/>
        </w:rPr>
        <w:t xml:space="preserve"> </w:t>
      </w:r>
      <w:r w:rsidR="00340835" w:rsidRPr="00A62343">
        <w:rPr>
          <w:rFonts w:ascii="Verdana" w:eastAsia="Arial" w:hAnsi="Verdana" w:cs="Arial"/>
          <w:b/>
          <w:color w:val="000000"/>
          <w:sz w:val="22"/>
          <w:szCs w:val="22"/>
        </w:rPr>
        <w:t>(TEEA-</w:t>
      </w:r>
      <w:r w:rsidR="00332B4B" w:rsidRPr="00A62343">
        <w:rPr>
          <w:rFonts w:ascii="Verdana" w:eastAsia="Arial" w:hAnsi="Verdana" w:cs="Arial"/>
          <w:b/>
          <w:color w:val="000000"/>
          <w:sz w:val="22"/>
          <w:szCs w:val="22"/>
        </w:rPr>
        <w:t>JDC</w:t>
      </w:r>
      <w:r w:rsidR="00340835" w:rsidRPr="00A62343">
        <w:rPr>
          <w:rFonts w:ascii="Verdana" w:eastAsia="Arial" w:hAnsi="Verdana" w:cs="Arial"/>
          <w:b/>
          <w:color w:val="000000"/>
          <w:sz w:val="22"/>
          <w:szCs w:val="22"/>
        </w:rPr>
        <w:t>-0</w:t>
      </w:r>
      <w:r w:rsidR="00332B4B" w:rsidRPr="00A62343">
        <w:rPr>
          <w:rFonts w:ascii="Verdana" w:eastAsia="Arial" w:hAnsi="Verdana" w:cs="Arial"/>
          <w:b/>
          <w:color w:val="000000"/>
          <w:sz w:val="22"/>
          <w:szCs w:val="22"/>
        </w:rPr>
        <w:t>04</w:t>
      </w:r>
      <w:r w:rsidR="00340835" w:rsidRPr="00A62343">
        <w:rPr>
          <w:rFonts w:ascii="Verdana" w:eastAsia="Arial" w:hAnsi="Verdana" w:cs="Arial"/>
          <w:b/>
          <w:color w:val="000000"/>
          <w:sz w:val="22"/>
          <w:szCs w:val="22"/>
        </w:rPr>
        <w:t>/2023</w:t>
      </w:r>
      <w:r w:rsidR="00332B4B" w:rsidRPr="00A62343">
        <w:rPr>
          <w:rFonts w:ascii="Verdana" w:eastAsia="Arial" w:hAnsi="Verdana" w:cs="Arial"/>
          <w:b/>
          <w:color w:val="000000"/>
          <w:sz w:val="22"/>
          <w:szCs w:val="22"/>
        </w:rPr>
        <w:t>,</w:t>
      </w:r>
      <w:r w:rsidR="00340835" w:rsidRPr="00A62343">
        <w:rPr>
          <w:rFonts w:ascii="Verdana" w:eastAsia="Arial" w:hAnsi="Verdana" w:cs="Arial"/>
          <w:b/>
          <w:color w:val="000000"/>
          <w:sz w:val="22"/>
          <w:szCs w:val="22"/>
        </w:rPr>
        <w:t xml:space="preserve"> </w:t>
      </w:r>
      <w:r w:rsidR="00332B4B" w:rsidRPr="00A62343">
        <w:rPr>
          <w:rFonts w:ascii="Verdana" w:eastAsia="Arial" w:hAnsi="Verdana" w:cs="Arial"/>
          <w:b/>
          <w:color w:val="000000"/>
          <w:sz w:val="22"/>
          <w:szCs w:val="22"/>
        </w:rPr>
        <w:t>TEEA-JDC-005/2023, TEEA-JDC-006/2023, TEEA-JDC-007/2023, TEEA-JDC-008/2023, TEEA-JDC-009/2023, TEEA-JDC-010/2023, TEEA-JDC-011/2023, TEEA-JDC-012/2023, TEEA-JDC-013/2023, TEEA-JDC-014/2023, TEEA-JDC-015/2023, TEEA-JDC-016/2023, TEEA-JDC-017/2023, TEEA-JDC-018/2023, TEEA-JDC-019/2023, TEEA-JDC-020/2023, TEEA-JDC-021/2023, TEEA-JDC-022/2023, TEEA-JDC-023/2023 y TEEA-JDC-024/2023</w:t>
      </w:r>
      <w:r w:rsidR="00340835" w:rsidRPr="00A62343">
        <w:rPr>
          <w:rFonts w:ascii="Verdana" w:eastAsia="Arial" w:hAnsi="Verdana" w:cs="Arial"/>
          <w:b/>
          <w:color w:val="000000"/>
          <w:sz w:val="22"/>
          <w:szCs w:val="22"/>
        </w:rPr>
        <w:t>).</w:t>
      </w:r>
      <w:r w:rsidR="00340835" w:rsidRPr="00A62343">
        <w:rPr>
          <w:rFonts w:ascii="Verdana" w:eastAsia="Arial" w:hAnsi="Verdana" w:cs="Arial"/>
          <w:color w:val="000000"/>
          <w:sz w:val="22"/>
          <w:szCs w:val="22"/>
        </w:rPr>
        <w:t xml:space="preserve"> </w:t>
      </w:r>
    </w:p>
    <w:p w14:paraId="6E7CCC13" w14:textId="703DEA73" w:rsidR="00340835" w:rsidRPr="00A62343" w:rsidRDefault="00340835" w:rsidP="001F54E1">
      <w:pPr>
        <w:spacing w:before="100" w:beforeAutospacing="1" w:after="100" w:afterAutospacing="1" w:line="360" w:lineRule="auto"/>
        <w:jc w:val="both"/>
        <w:rPr>
          <w:rFonts w:ascii="Verdana" w:eastAsia="Arial" w:hAnsi="Verdana" w:cs="Arial"/>
          <w:sz w:val="22"/>
          <w:szCs w:val="22"/>
        </w:rPr>
      </w:pPr>
      <w:r w:rsidRPr="00A62343">
        <w:rPr>
          <w:rFonts w:ascii="Verdana" w:eastAsia="Arial" w:hAnsi="Verdana" w:cs="Arial"/>
          <w:color w:val="000000"/>
          <w:sz w:val="22"/>
          <w:szCs w:val="22"/>
        </w:rPr>
        <w:t xml:space="preserve">El </w:t>
      </w:r>
      <w:r w:rsidR="00A07AB4" w:rsidRPr="00A62343">
        <w:rPr>
          <w:rFonts w:ascii="Verdana" w:eastAsia="Arial" w:hAnsi="Verdana" w:cs="Arial"/>
          <w:sz w:val="22"/>
          <w:szCs w:val="22"/>
        </w:rPr>
        <w:t>diez</w:t>
      </w:r>
      <w:r w:rsidRPr="00A62343">
        <w:rPr>
          <w:rFonts w:ascii="Verdana" w:eastAsia="Arial" w:hAnsi="Verdana" w:cs="Arial"/>
          <w:color w:val="000000"/>
          <w:sz w:val="22"/>
          <w:szCs w:val="22"/>
        </w:rPr>
        <w:t xml:space="preserve"> de noviembre, la </w:t>
      </w:r>
      <w:r w:rsidRPr="00A62343">
        <w:rPr>
          <w:rFonts w:ascii="Verdana" w:eastAsia="Arial" w:hAnsi="Verdana" w:cs="Arial"/>
          <w:smallCaps/>
          <w:color w:val="000000"/>
          <w:sz w:val="22"/>
          <w:szCs w:val="22"/>
        </w:rPr>
        <w:t xml:space="preserve">Autoridad Responsable </w:t>
      </w:r>
      <w:r w:rsidRPr="00A62343">
        <w:rPr>
          <w:rFonts w:ascii="Verdana" w:eastAsia="Arial" w:hAnsi="Verdana" w:cs="Arial"/>
          <w:color w:val="000000"/>
          <w:sz w:val="22"/>
          <w:szCs w:val="22"/>
        </w:rPr>
        <w:t xml:space="preserve">remitió a este </w:t>
      </w:r>
      <w:r w:rsidRPr="00A62343">
        <w:rPr>
          <w:rFonts w:ascii="Verdana" w:eastAsia="Arial" w:hAnsi="Verdana" w:cs="Arial"/>
          <w:smallCaps/>
          <w:color w:val="000000"/>
          <w:sz w:val="22"/>
          <w:szCs w:val="22"/>
        </w:rPr>
        <w:t>Tribunal Electoral</w:t>
      </w:r>
      <w:r w:rsidRPr="00A62343">
        <w:rPr>
          <w:rFonts w:ascii="Verdana" w:eastAsia="Arial" w:hAnsi="Verdana" w:cs="Arial"/>
          <w:color w:val="000000"/>
          <w:sz w:val="22"/>
          <w:szCs w:val="22"/>
        </w:rPr>
        <w:t xml:space="preserve"> </w:t>
      </w:r>
      <w:r w:rsidRPr="00A62343">
        <w:rPr>
          <w:rFonts w:ascii="Verdana" w:eastAsia="Arial" w:hAnsi="Verdana" w:cs="Arial"/>
          <w:sz w:val="22"/>
          <w:szCs w:val="22"/>
        </w:rPr>
        <w:t xml:space="preserve">los </w:t>
      </w:r>
      <w:r w:rsidR="00A07AB4" w:rsidRPr="00A62343">
        <w:rPr>
          <w:rFonts w:ascii="Verdana" w:eastAsia="Arial" w:hAnsi="Verdana" w:cs="Arial"/>
          <w:sz w:val="22"/>
          <w:szCs w:val="22"/>
        </w:rPr>
        <w:t xml:space="preserve">Juicios para la Protección de los Derechos Político-Electorales </w:t>
      </w:r>
      <w:r w:rsidR="007B3103" w:rsidRPr="00A62343">
        <w:rPr>
          <w:rFonts w:ascii="Verdana" w:eastAsia="Arial" w:hAnsi="Verdana" w:cs="Arial"/>
          <w:sz w:val="22"/>
          <w:szCs w:val="22"/>
        </w:rPr>
        <w:t>de la Ciudadanía</w:t>
      </w:r>
      <w:r w:rsidR="00A07AB4" w:rsidRPr="00A62343">
        <w:rPr>
          <w:rFonts w:ascii="Verdana" w:eastAsia="Arial" w:hAnsi="Verdana" w:cs="Arial"/>
          <w:sz w:val="22"/>
          <w:szCs w:val="22"/>
        </w:rPr>
        <w:t xml:space="preserve"> </w:t>
      </w:r>
      <w:r w:rsidRPr="00A62343">
        <w:rPr>
          <w:rFonts w:ascii="Verdana" w:eastAsia="Arial" w:hAnsi="Verdana" w:cs="Arial"/>
          <w:color w:val="000000"/>
          <w:sz w:val="22"/>
          <w:szCs w:val="22"/>
        </w:rPr>
        <w:t xml:space="preserve">presentados por </w:t>
      </w:r>
      <w:r w:rsidR="007624A3" w:rsidRPr="00A62343">
        <w:rPr>
          <w:rFonts w:ascii="Verdana" w:hAnsi="Verdana" w:cs="Arial"/>
          <w:sz w:val="22"/>
          <w:szCs w:val="22"/>
        </w:rPr>
        <w:t xml:space="preserve">las </w:t>
      </w:r>
      <w:r w:rsidR="007624A3" w:rsidRPr="00A62343">
        <w:rPr>
          <w:rFonts w:ascii="Verdana" w:hAnsi="Verdana"/>
          <w:bCs/>
          <w:smallCaps/>
          <w:sz w:val="22"/>
          <w:szCs w:val="22"/>
        </w:rPr>
        <w:t>Partes Promoventes</w:t>
      </w:r>
      <w:r w:rsidRPr="00A62343">
        <w:rPr>
          <w:rFonts w:ascii="Verdana" w:hAnsi="Verdana"/>
          <w:smallCaps/>
          <w:sz w:val="22"/>
          <w:szCs w:val="22"/>
        </w:rPr>
        <w:t>,</w:t>
      </w:r>
      <w:r w:rsidRPr="00A62343">
        <w:rPr>
          <w:rFonts w:ascii="Verdana" w:eastAsia="Arial" w:hAnsi="Verdana" w:cs="Arial"/>
          <w:color w:val="000000"/>
          <w:sz w:val="22"/>
          <w:szCs w:val="22"/>
        </w:rPr>
        <w:t xml:space="preserve"> así como el informe circunstanciado de los sendos </w:t>
      </w:r>
      <w:r w:rsidR="007B3103" w:rsidRPr="00A62343">
        <w:rPr>
          <w:rFonts w:ascii="Verdana" w:eastAsia="Arial" w:hAnsi="Verdana" w:cs="Arial"/>
          <w:color w:val="000000"/>
          <w:sz w:val="22"/>
          <w:szCs w:val="22"/>
        </w:rPr>
        <w:t>juicios</w:t>
      </w:r>
      <w:r w:rsidRPr="00A62343">
        <w:rPr>
          <w:rFonts w:ascii="Verdana" w:eastAsia="Arial" w:hAnsi="Verdana" w:cs="Arial"/>
          <w:color w:val="000000"/>
          <w:sz w:val="22"/>
          <w:szCs w:val="22"/>
        </w:rPr>
        <w:t xml:space="preserve">, </w:t>
      </w:r>
      <w:r w:rsidRPr="00A62343">
        <w:rPr>
          <w:rFonts w:ascii="Verdana" w:eastAsia="Arial" w:hAnsi="Verdana" w:cs="Arial"/>
          <w:bCs/>
          <w:color w:val="000000"/>
          <w:sz w:val="22"/>
          <w:szCs w:val="22"/>
          <w:lang w:val="es-MX"/>
        </w:rPr>
        <w:t>los cuales se registraron y tras advertir la identidad del acto impugnad</w:t>
      </w:r>
      <w:r w:rsidR="00A07AB4" w:rsidRPr="00A62343">
        <w:rPr>
          <w:rFonts w:ascii="Verdana" w:eastAsia="Arial" w:hAnsi="Verdana" w:cs="Arial"/>
          <w:bCs/>
          <w:color w:val="000000"/>
          <w:sz w:val="22"/>
          <w:szCs w:val="22"/>
          <w:lang w:val="es-MX"/>
        </w:rPr>
        <w:t>o</w:t>
      </w:r>
      <w:r w:rsidRPr="00A62343">
        <w:rPr>
          <w:rFonts w:ascii="Verdana" w:eastAsia="Arial" w:hAnsi="Verdana" w:cs="Arial"/>
          <w:bCs/>
          <w:color w:val="000000"/>
          <w:sz w:val="22"/>
          <w:szCs w:val="22"/>
          <w:lang w:val="es-MX"/>
        </w:rPr>
        <w:t>, así como la pretensión de</w:t>
      </w:r>
      <w:r w:rsidR="00406152" w:rsidRPr="00A62343">
        <w:rPr>
          <w:rFonts w:ascii="Verdana" w:eastAsia="Arial" w:hAnsi="Verdana" w:cs="Arial"/>
          <w:bCs/>
          <w:color w:val="000000"/>
          <w:sz w:val="22"/>
          <w:szCs w:val="22"/>
          <w:lang w:val="es-MX"/>
        </w:rPr>
        <w:t xml:space="preserve"> </w:t>
      </w:r>
      <w:r w:rsidR="007624A3" w:rsidRPr="00A62343">
        <w:rPr>
          <w:rFonts w:ascii="Verdana" w:hAnsi="Verdana" w:cs="Arial"/>
          <w:sz w:val="22"/>
          <w:szCs w:val="22"/>
        </w:rPr>
        <w:t xml:space="preserve">las </w:t>
      </w:r>
      <w:r w:rsidR="007624A3" w:rsidRPr="00A62343">
        <w:rPr>
          <w:rFonts w:ascii="Verdana" w:hAnsi="Verdana"/>
          <w:bCs/>
          <w:smallCaps/>
          <w:sz w:val="22"/>
          <w:szCs w:val="22"/>
        </w:rPr>
        <w:t>Partes Promoventes</w:t>
      </w:r>
      <w:r w:rsidRPr="00A62343">
        <w:rPr>
          <w:rFonts w:ascii="Verdana" w:eastAsia="Arial" w:hAnsi="Verdana" w:cs="Arial"/>
          <w:bCs/>
          <w:color w:val="000000"/>
          <w:sz w:val="22"/>
          <w:szCs w:val="22"/>
          <w:lang w:val="es-MX"/>
        </w:rPr>
        <w:t xml:space="preserve">, </w:t>
      </w:r>
      <w:r w:rsidR="00505FE9" w:rsidRPr="00A62343">
        <w:rPr>
          <w:rFonts w:ascii="Verdana" w:eastAsia="Arial" w:hAnsi="Verdana" w:cs="Arial"/>
          <w:bCs/>
          <w:color w:val="000000"/>
          <w:sz w:val="22"/>
          <w:szCs w:val="22"/>
          <w:lang w:val="es-MX"/>
        </w:rPr>
        <w:t>se</w:t>
      </w:r>
      <w:r w:rsidRPr="00A62343">
        <w:rPr>
          <w:rFonts w:ascii="Verdana" w:eastAsia="Arial" w:hAnsi="Verdana" w:cs="Arial"/>
          <w:bCs/>
          <w:sz w:val="22"/>
          <w:szCs w:val="22"/>
          <w:lang w:val="es-MX"/>
        </w:rPr>
        <w:t xml:space="preserve"> acordó su acumulación</w:t>
      </w:r>
      <w:r w:rsidR="00A07AB4" w:rsidRPr="00A62343">
        <w:rPr>
          <w:rFonts w:ascii="Verdana" w:eastAsia="Arial" w:hAnsi="Verdana" w:cs="Arial"/>
          <w:bCs/>
          <w:sz w:val="22"/>
          <w:szCs w:val="22"/>
          <w:lang w:val="es-MX"/>
        </w:rPr>
        <w:t xml:space="preserve"> al </w:t>
      </w:r>
      <w:r w:rsidR="007B3103" w:rsidRPr="00A62343">
        <w:rPr>
          <w:rFonts w:ascii="Verdana" w:eastAsia="Arial" w:hAnsi="Verdana" w:cs="Arial"/>
          <w:bCs/>
          <w:sz w:val="22"/>
          <w:szCs w:val="22"/>
          <w:lang w:val="es-MX"/>
        </w:rPr>
        <w:t>R</w:t>
      </w:r>
      <w:r w:rsidR="00A07AB4" w:rsidRPr="00A62343">
        <w:rPr>
          <w:rFonts w:ascii="Verdana" w:eastAsia="Arial" w:hAnsi="Verdana" w:cs="Arial"/>
          <w:bCs/>
          <w:sz w:val="22"/>
          <w:szCs w:val="22"/>
          <w:lang w:val="es-MX"/>
        </w:rPr>
        <w:t xml:space="preserve">ecurso de </w:t>
      </w:r>
      <w:r w:rsidR="007B3103" w:rsidRPr="00A62343">
        <w:rPr>
          <w:rFonts w:ascii="Verdana" w:eastAsia="Arial" w:hAnsi="Verdana" w:cs="Arial"/>
          <w:bCs/>
          <w:sz w:val="22"/>
          <w:szCs w:val="22"/>
          <w:lang w:val="es-MX"/>
        </w:rPr>
        <w:t>A</w:t>
      </w:r>
      <w:r w:rsidR="00A07AB4" w:rsidRPr="00A62343">
        <w:rPr>
          <w:rFonts w:ascii="Verdana" w:eastAsia="Arial" w:hAnsi="Verdana" w:cs="Arial"/>
          <w:bCs/>
          <w:sz w:val="22"/>
          <w:szCs w:val="22"/>
          <w:lang w:val="es-MX"/>
        </w:rPr>
        <w:t xml:space="preserve">pelación </w:t>
      </w:r>
      <w:r w:rsidR="00A07AB4" w:rsidRPr="00A62343">
        <w:rPr>
          <w:rFonts w:ascii="Verdana" w:eastAsia="Arial" w:hAnsi="Verdana" w:cs="Arial"/>
          <w:b/>
          <w:sz w:val="22"/>
          <w:szCs w:val="22"/>
          <w:lang w:val="es-MX"/>
        </w:rPr>
        <w:t>TEEA-RAP-012/2023</w:t>
      </w:r>
      <w:r w:rsidR="00A07AB4" w:rsidRPr="00A62343">
        <w:rPr>
          <w:rFonts w:ascii="Verdana" w:eastAsia="Arial" w:hAnsi="Verdana" w:cs="Arial"/>
          <w:bCs/>
          <w:sz w:val="22"/>
          <w:szCs w:val="22"/>
          <w:lang w:val="es-MX"/>
        </w:rPr>
        <w:t xml:space="preserve"> </w:t>
      </w:r>
      <w:r w:rsidR="00A07AB4" w:rsidRPr="00A62343">
        <w:rPr>
          <w:rFonts w:ascii="Verdana" w:eastAsia="Arial" w:hAnsi="Verdana" w:cs="Arial"/>
          <w:b/>
          <w:sz w:val="22"/>
          <w:szCs w:val="22"/>
          <w:lang w:val="es-MX"/>
        </w:rPr>
        <w:t>y su acumulado</w:t>
      </w:r>
      <w:r w:rsidRPr="00A62343">
        <w:rPr>
          <w:rFonts w:ascii="Verdana" w:eastAsia="Arial" w:hAnsi="Verdana" w:cs="Arial"/>
          <w:bCs/>
          <w:sz w:val="22"/>
          <w:szCs w:val="22"/>
          <w:lang w:val="es-MX"/>
        </w:rPr>
        <w:t xml:space="preserve">. </w:t>
      </w:r>
    </w:p>
    <w:p w14:paraId="44ADDAF4" w14:textId="260B37D3" w:rsidR="00340835" w:rsidRPr="00A62343" w:rsidRDefault="00340835" w:rsidP="001F54E1">
      <w:pPr>
        <w:spacing w:before="100" w:beforeAutospacing="1" w:after="100" w:afterAutospacing="1" w:line="360" w:lineRule="auto"/>
        <w:jc w:val="both"/>
        <w:rPr>
          <w:rFonts w:ascii="Verdana" w:eastAsia="Arial" w:hAnsi="Verdana" w:cs="Arial"/>
          <w:sz w:val="22"/>
          <w:szCs w:val="22"/>
        </w:rPr>
      </w:pPr>
      <w:r w:rsidRPr="00A62343">
        <w:rPr>
          <w:rFonts w:ascii="Verdana" w:eastAsia="Arial" w:hAnsi="Verdana" w:cs="Arial"/>
          <w:sz w:val="22"/>
          <w:szCs w:val="22"/>
        </w:rPr>
        <w:t xml:space="preserve">En </w:t>
      </w:r>
      <w:r w:rsidR="007B3103" w:rsidRPr="00A62343">
        <w:rPr>
          <w:rFonts w:ascii="Verdana" w:eastAsia="Arial" w:hAnsi="Verdana" w:cs="Arial"/>
          <w:sz w:val="22"/>
          <w:szCs w:val="22"/>
        </w:rPr>
        <w:t xml:space="preserve">la misma </w:t>
      </w:r>
      <w:r w:rsidRPr="00A62343">
        <w:rPr>
          <w:rFonts w:ascii="Verdana" w:eastAsia="Arial" w:hAnsi="Verdana" w:cs="Arial"/>
          <w:sz w:val="22"/>
          <w:szCs w:val="22"/>
        </w:rPr>
        <w:t xml:space="preserve">fecha, se turnaron los medios de impugnación en cuestión, a la Ponencia </w:t>
      </w:r>
      <w:r w:rsidR="007B3103" w:rsidRPr="00A62343">
        <w:rPr>
          <w:rFonts w:ascii="Verdana" w:eastAsia="Arial" w:hAnsi="Verdana" w:cs="Arial"/>
          <w:sz w:val="22"/>
          <w:szCs w:val="22"/>
        </w:rPr>
        <w:t xml:space="preserve">a cargo </w:t>
      </w:r>
      <w:r w:rsidRPr="00A62343">
        <w:rPr>
          <w:rFonts w:ascii="Verdana" w:eastAsia="Arial" w:hAnsi="Verdana" w:cs="Arial"/>
          <w:sz w:val="22"/>
          <w:szCs w:val="22"/>
        </w:rPr>
        <w:t xml:space="preserve">del Magistrado </w:t>
      </w:r>
      <w:proofErr w:type="gramStart"/>
      <w:r w:rsidR="007B3103" w:rsidRPr="00A62343">
        <w:rPr>
          <w:rFonts w:ascii="Verdana" w:eastAsia="Arial" w:hAnsi="Verdana" w:cs="Arial"/>
          <w:sz w:val="22"/>
          <w:szCs w:val="22"/>
        </w:rPr>
        <w:t>P</w:t>
      </w:r>
      <w:r w:rsidRPr="00A62343">
        <w:rPr>
          <w:rFonts w:ascii="Verdana" w:eastAsia="Arial" w:hAnsi="Verdana" w:cs="Arial"/>
          <w:sz w:val="22"/>
          <w:szCs w:val="22"/>
        </w:rPr>
        <w:t>residente</w:t>
      </w:r>
      <w:proofErr w:type="gramEnd"/>
      <w:r w:rsidR="007B3103" w:rsidRPr="00A62343">
        <w:rPr>
          <w:rFonts w:ascii="Verdana" w:eastAsia="Arial" w:hAnsi="Verdana" w:cs="Arial"/>
          <w:sz w:val="22"/>
          <w:szCs w:val="22"/>
        </w:rPr>
        <w:t>,</w:t>
      </w:r>
      <w:r w:rsidRPr="00A62343">
        <w:rPr>
          <w:rFonts w:ascii="Verdana" w:eastAsia="Arial" w:hAnsi="Verdana" w:cs="Arial"/>
          <w:sz w:val="22"/>
          <w:szCs w:val="22"/>
        </w:rPr>
        <w:t xml:space="preserve"> Héctor Salvador Hernández Gallegos,</w:t>
      </w:r>
      <w:r w:rsidR="006227F8" w:rsidRPr="00A62343">
        <w:rPr>
          <w:rStyle w:val="Refdenotaalpie"/>
          <w:rFonts w:ascii="Verdana" w:eastAsia="Arial" w:hAnsi="Verdana" w:cs="Arial"/>
          <w:sz w:val="22"/>
          <w:szCs w:val="22"/>
        </w:rPr>
        <w:footnoteReference w:id="7"/>
      </w:r>
      <w:r w:rsidRPr="00A62343">
        <w:rPr>
          <w:rFonts w:ascii="Verdana" w:eastAsia="Arial" w:hAnsi="Verdana" w:cs="Arial"/>
          <w:sz w:val="22"/>
          <w:szCs w:val="22"/>
        </w:rPr>
        <w:t xml:space="preserve"> radicándolos el </w:t>
      </w:r>
      <w:r w:rsidR="00A07AB4" w:rsidRPr="00A62343">
        <w:rPr>
          <w:rFonts w:ascii="Verdana" w:eastAsia="Arial" w:hAnsi="Verdana" w:cs="Arial"/>
          <w:sz w:val="22"/>
          <w:szCs w:val="22"/>
        </w:rPr>
        <w:t xml:space="preserve">trece </w:t>
      </w:r>
      <w:r w:rsidRPr="00A62343">
        <w:rPr>
          <w:rFonts w:ascii="Verdana" w:eastAsia="Arial" w:hAnsi="Verdana" w:cs="Arial"/>
          <w:sz w:val="22"/>
          <w:szCs w:val="22"/>
        </w:rPr>
        <w:t>de noviembre.</w:t>
      </w:r>
      <w:r w:rsidR="006227F8" w:rsidRPr="00A62343">
        <w:rPr>
          <w:rStyle w:val="Refdenotaalpie"/>
          <w:rFonts w:ascii="Verdana" w:eastAsia="Arial" w:hAnsi="Verdana" w:cs="Arial"/>
          <w:sz w:val="22"/>
          <w:szCs w:val="22"/>
        </w:rPr>
        <w:footnoteReference w:id="8"/>
      </w:r>
    </w:p>
    <w:p w14:paraId="06319668" w14:textId="552B101D" w:rsidR="007B3103" w:rsidRPr="00A62343" w:rsidRDefault="00C152D9" w:rsidP="001F54E1">
      <w:pPr>
        <w:pBdr>
          <w:top w:val="nil"/>
          <w:left w:val="nil"/>
          <w:bottom w:val="nil"/>
          <w:right w:val="nil"/>
          <w:between w:val="nil"/>
        </w:pBdr>
        <w:tabs>
          <w:tab w:val="left" w:pos="426"/>
        </w:tabs>
        <w:spacing w:before="100" w:beforeAutospacing="1" w:after="100" w:afterAutospacing="1" w:line="360" w:lineRule="auto"/>
        <w:jc w:val="both"/>
        <w:rPr>
          <w:rFonts w:ascii="Verdana" w:hAnsi="Verdana" w:cs="Arial"/>
          <w:b/>
          <w:sz w:val="22"/>
          <w:szCs w:val="22"/>
        </w:rPr>
      </w:pPr>
      <w:r w:rsidRPr="00A62343">
        <w:rPr>
          <w:rFonts w:ascii="Verdana" w:eastAsia="Arial" w:hAnsi="Verdana" w:cs="Arial"/>
          <w:b/>
          <w:bCs/>
          <w:sz w:val="22"/>
          <w:szCs w:val="22"/>
        </w:rPr>
        <w:t>9</w:t>
      </w:r>
      <w:r w:rsidR="00340835" w:rsidRPr="00A62343">
        <w:rPr>
          <w:rFonts w:ascii="Verdana" w:eastAsia="Arial" w:hAnsi="Verdana" w:cs="Arial"/>
          <w:b/>
          <w:bCs/>
          <w:sz w:val="22"/>
          <w:szCs w:val="22"/>
        </w:rPr>
        <w:t xml:space="preserve">. </w:t>
      </w:r>
      <w:r w:rsidR="00A07AB4" w:rsidRPr="00A62343">
        <w:rPr>
          <w:rFonts w:ascii="Verdana" w:hAnsi="Verdana" w:cs="Arial"/>
          <w:b/>
          <w:sz w:val="22"/>
          <w:szCs w:val="22"/>
        </w:rPr>
        <w:t>Admisión y cierre de instrucción.</w:t>
      </w:r>
      <w:r w:rsidR="00340835" w:rsidRPr="00A62343">
        <w:rPr>
          <w:rFonts w:ascii="Verdana" w:hAnsi="Verdana" w:cs="Arial"/>
          <w:b/>
          <w:sz w:val="22"/>
          <w:szCs w:val="22"/>
        </w:rPr>
        <w:t xml:space="preserve"> </w:t>
      </w:r>
    </w:p>
    <w:p w14:paraId="5CB5ABC3" w14:textId="42BD3257" w:rsidR="00340835" w:rsidRPr="00A62343" w:rsidRDefault="00340835" w:rsidP="001F54E1">
      <w:pPr>
        <w:pBdr>
          <w:top w:val="nil"/>
          <w:left w:val="nil"/>
          <w:bottom w:val="nil"/>
          <w:right w:val="nil"/>
          <w:between w:val="nil"/>
        </w:pBdr>
        <w:tabs>
          <w:tab w:val="left" w:pos="426"/>
        </w:tabs>
        <w:spacing w:before="100" w:beforeAutospacing="1" w:after="100" w:afterAutospacing="1" w:line="360" w:lineRule="auto"/>
        <w:jc w:val="both"/>
        <w:rPr>
          <w:rFonts w:ascii="Verdana" w:hAnsi="Verdana" w:cs="Arial"/>
          <w:bCs/>
          <w:sz w:val="22"/>
          <w:szCs w:val="22"/>
        </w:rPr>
      </w:pPr>
      <w:r w:rsidRPr="00A62343">
        <w:rPr>
          <w:rFonts w:ascii="Verdana" w:hAnsi="Verdana" w:cs="Arial"/>
          <w:bCs/>
          <w:sz w:val="22"/>
          <w:szCs w:val="22"/>
        </w:rPr>
        <w:t xml:space="preserve">El </w:t>
      </w:r>
      <w:r w:rsidR="00A07AB4" w:rsidRPr="00A62343">
        <w:rPr>
          <w:rFonts w:ascii="Verdana" w:hAnsi="Verdana" w:cs="Arial"/>
          <w:bCs/>
          <w:sz w:val="22"/>
          <w:szCs w:val="22"/>
        </w:rPr>
        <w:t>dieciséis</w:t>
      </w:r>
      <w:r w:rsidRPr="00A62343">
        <w:rPr>
          <w:rFonts w:ascii="Verdana" w:hAnsi="Verdana" w:cs="Arial"/>
          <w:bCs/>
          <w:sz w:val="22"/>
          <w:szCs w:val="22"/>
        </w:rPr>
        <w:t xml:space="preserve"> de noviembre,</w:t>
      </w:r>
      <w:r w:rsidRPr="00A62343">
        <w:rPr>
          <w:rFonts w:ascii="Verdana" w:eastAsia="Arial" w:hAnsi="Verdana" w:cs="Arial"/>
          <w:sz w:val="22"/>
          <w:szCs w:val="22"/>
        </w:rPr>
        <w:t xml:space="preserve"> la Magistratura que preside, </w:t>
      </w:r>
      <w:r w:rsidRPr="00A62343">
        <w:rPr>
          <w:rFonts w:ascii="Verdana" w:hAnsi="Verdana" w:cs="Arial"/>
          <w:bCs/>
          <w:sz w:val="22"/>
          <w:szCs w:val="22"/>
        </w:rPr>
        <w:t>admitió los medios de impugnación</w:t>
      </w:r>
      <w:r w:rsidR="00A07AB4" w:rsidRPr="00A62343">
        <w:rPr>
          <w:rFonts w:ascii="Verdana" w:hAnsi="Verdana" w:cs="Arial"/>
          <w:bCs/>
          <w:sz w:val="22"/>
          <w:szCs w:val="22"/>
        </w:rPr>
        <w:t xml:space="preserve"> y al no existir trámite pendiente por desahogar, ordenó el cierre de instrucción</w:t>
      </w:r>
      <w:r w:rsidRPr="00A62343">
        <w:rPr>
          <w:rFonts w:ascii="Verdana" w:hAnsi="Verdana" w:cs="Arial"/>
          <w:bCs/>
          <w:sz w:val="22"/>
          <w:szCs w:val="22"/>
        </w:rPr>
        <w:t>.</w:t>
      </w:r>
      <w:r w:rsidR="006227F8" w:rsidRPr="00A62343">
        <w:rPr>
          <w:rStyle w:val="Refdenotaalpie"/>
          <w:rFonts w:ascii="Verdana" w:hAnsi="Verdana" w:cs="Arial"/>
          <w:bCs/>
          <w:sz w:val="22"/>
          <w:szCs w:val="22"/>
        </w:rPr>
        <w:footnoteReference w:id="9"/>
      </w:r>
    </w:p>
    <w:p w14:paraId="67568436" w14:textId="413B84A7" w:rsidR="003F2825" w:rsidRPr="00A62343" w:rsidRDefault="00107949" w:rsidP="001F54E1">
      <w:pPr>
        <w:pBdr>
          <w:top w:val="nil"/>
          <w:left w:val="nil"/>
          <w:bottom w:val="nil"/>
          <w:right w:val="nil"/>
          <w:between w:val="nil"/>
        </w:pBdr>
        <w:tabs>
          <w:tab w:val="left" w:pos="426"/>
        </w:tabs>
        <w:spacing w:before="100" w:beforeAutospacing="1" w:after="100" w:afterAutospacing="1" w:line="360" w:lineRule="auto"/>
        <w:jc w:val="center"/>
        <w:rPr>
          <w:rFonts w:ascii="Verdana" w:hAnsi="Verdana" w:cs="Arial"/>
          <w:bCs/>
          <w:sz w:val="22"/>
          <w:szCs w:val="22"/>
        </w:rPr>
      </w:pPr>
      <w:r w:rsidRPr="00A62343">
        <w:rPr>
          <w:rFonts w:ascii="Verdana" w:hAnsi="Verdana"/>
          <w:b/>
          <w:sz w:val="22"/>
          <w:szCs w:val="22"/>
        </w:rPr>
        <w:t xml:space="preserve">II. </w:t>
      </w:r>
      <w:r w:rsidR="00BA63AD" w:rsidRPr="00A62343">
        <w:rPr>
          <w:rFonts w:ascii="Verdana" w:hAnsi="Verdana"/>
          <w:b/>
          <w:sz w:val="22"/>
          <w:szCs w:val="22"/>
        </w:rPr>
        <w:t>CONSIDERACIONES</w:t>
      </w:r>
    </w:p>
    <w:p w14:paraId="0F7D42B2" w14:textId="17F684EF" w:rsidR="00BA63AD" w:rsidRPr="00A62343" w:rsidRDefault="00BA63AD" w:rsidP="001F54E1">
      <w:pPr>
        <w:pBdr>
          <w:top w:val="nil"/>
          <w:left w:val="nil"/>
          <w:bottom w:val="nil"/>
          <w:right w:val="nil"/>
          <w:between w:val="nil"/>
        </w:pBdr>
        <w:tabs>
          <w:tab w:val="left" w:pos="426"/>
        </w:tabs>
        <w:spacing w:before="100" w:beforeAutospacing="1" w:after="100" w:afterAutospacing="1" w:line="360" w:lineRule="auto"/>
        <w:jc w:val="both"/>
        <w:rPr>
          <w:rFonts w:ascii="Verdana" w:hAnsi="Verdana" w:cs="Arial"/>
          <w:bCs/>
          <w:sz w:val="22"/>
          <w:szCs w:val="22"/>
        </w:rPr>
      </w:pPr>
      <w:r w:rsidRPr="00A62343">
        <w:rPr>
          <w:rFonts w:ascii="Verdana" w:hAnsi="Verdana" w:cs="Arial"/>
          <w:b/>
          <w:sz w:val="22"/>
          <w:szCs w:val="22"/>
        </w:rPr>
        <w:t>PRIMERA. Jurisdicción y competencia.</w:t>
      </w:r>
    </w:p>
    <w:p w14:paraId="4FAA9AAB" w14:textId="6BE569BE" w:rsidR="009C1068" w:rsidRPr="00A62343" w:rsidRDefault="009C1068" w:rsidP="001F54E1">
      <w:pPr>
        <w:spacing w:before="100" w:beforeAutospacing="1" w:after="100" w:afterAutospacing="1" w:line="360" w:lineRule="auto"/>
        <w:jc w:val="both"/>
        <w:rPr>
          <w:rFonts w:ascii="Verdana" w:hAnsi="Verdana"/>
          <w:b/>
          <w:sz w:val="22"/>
          <w:szCs w:val="22"/>
        </w:rPr>
      </w:pPr>
      <w:r w:rsidRPr="00A62343">
        <w:rPr>
          <w:rFonts w:ascii="Verdana" w:hAnsi="Verdana" w:cs="Arial"/>
          <w:sz w:val="22"/>
          <w:szCs w:val="22"/>
        </w:rPr>
        <w:lastRenderedPageBreak/>
        <w:t>E</w:t>
      </w:r>
      <w:r w:rsidR="00A53DF4" w:rsidRPr="00A62343">
        <w:rPr>
          <w:rFonts w:ascii="Verdana" w:hAnsi="Verdana" w:cs="Arial"/>
          <w:sz w:val="22"/>
          <w:szCs w:val="22"/>
        </w:rPr>
        <w:t>ste</w:t>
      </w:r>
      <w:r w:rsidRPr="00A62343">
        <w:rPr>
          <w:rFonts w:ascii="Verdana" w:hAnsi="Verdana" w:cs="Arial"/>
          <w:sz w:val="22"/>
          <w:szCs w:val="22"/>
        </w:rPr>
        <w:t xml:space="preserve"> </w:t>
      </w:r>
      <w:r w:rsidRPr="00A62343">
        <w:rPr>
          <w:rFonts w:ascii="Verdana" w:hAnsi="Verdana" w:cs="Arial"/>
          <w:smallCaps/>
          <w:sz w:val="22"/>
          <w:szCs w:val="22"/>
        </w:rPr>
        <w:t>Tribunal</w:t>
      </w:r>
      <w:r w:rsidR="0036177D" w:rsidRPr="00A62343">
        <w:rPr>
          <w:rFonts w:ascii="Verdana" w:hAnsi="Verdana" w:cs="Arial"/>
          <w:smallCaps/>
          <w:sz w:val="22"/>
          <w:szCs w:val="22"/>
        </w:rPr>
        <w:t xml:space="preserve"> Electoral</w:t>
      </w:r>
      <w:r w:rsidRPr="00A62343">
        <w:rPr>
          <w:rFonts w:ascii="Verdana" w:hAnsi="Verdana" w:cs="Arial"/>
          <w:sz w:val="22"/>
          <w:szCs w:val="22"/>
        </w:rPr>
        <w:t xml:space="preserve"> tie</w:t>
      </w:r>
      <w:r w:rsidR="0047690A" w:rsidRPr="00A62343">
        <w:rPr>
          <w:rFonts w:ascii="Verdana" w:hAnsi="Verdana" w:cs="Arial"/>
          <w:sz w:val="22"/>
          <w:szCs w:val="22"/>
        </w:rPr>
        <w:t>ne jurisdicción para resolver los</w:t>
      </w:r>
      <w:r w:rsidRPr="00A62343">
        <w:rPr>
          <w:rFonts w:ascii="Verdana" w:hAnsi="Verdana" w:cs="Arial"/>
          <w:sz w:val="22"/>
          <w:szCs w:val="22"/>
        </w:rPr>
        <w:t xml:space="preserve"> presente</w:t>
      </w:r>
      <w:r w:rsidR="0047690A" w:rsidRPr="00A62343">
        <w:rPr>
          <w:rFonts w:ascii="Verdana" w:hAnsi="Verdana" w:cs="Arial"/>
          <w:sz w:val="22"/>
          <w:szCs w:val="22"/>
        </w:rPr>
        <w:t>s</w:t>
      </w:r>
      <w:r w:rsidRPr="00A62343">
        <w:rPr>
          <w:rFonts w:ascii="Verdana" w:hAnsi="Verdana" w:cs="Arial"/>
          <w:sz w:val="22"/>
          <w:szCs w:val="22"/>
        </w:rPr>
        <w:t xml:space="preserve"> medio</w:t>
      </w:r>
      <w:r w:rsidR="0047690A" w:rsidRPr="00A62343">
        <w:rPr>
          <w:rFonts w:ascii="Verdana" w:hAnsi="Verdana" w:cs="Arial"/>
          <w:sz w:val="22"/>
          <w:szCs w:val="22"/>
        </w:rPr>
        <w:t>s</w:t>
      </w:r>
      <w:r w:rsidRPr="00A62343">
        <w:rPr>
          <w:rFonts w:ascii="Verdana" w:hAnsi="Verdana" w:cs="Arial"/>
          <w:sz w:val="22"/>
          <w:szCs w:val="22"/>
        </w:rPr>
        <w:t xml:space="preserve"> de impugnación</w:t>
      </w:r>
      <w:r w:rsidR="0047690A" w:rsidRPr="00A62343">
        <w:rPr>
          <w:rFonts w:ascii="Verdana" w:hAnsi="Verdana" w:cs="Arial"/>
          <w:sz w:val="22"/>
          <w:szCs w:val="22"/>
        </w:rPr>
        <w:t>,</w:t>
      </w:r>
      <w:r w:rsidRPr="00A62343">
        <w:rPr>
          <w:rFonts w:ascii="Verdana" w:hAnsi="Verdana" w:cs="Arial"/>
          <w:sz w:val="22"/>
          <w:szCs w:val="22"/>
        </w:rPr>
        <w:t xml:space="preserve"> al establecerse como el órgano jurisdiccional especializado en materia electoral en el </w:t>
      </w:r>
      <w:r w:rsidR="007466BA" w:rsidRPr="00A62343">
        <w:rPr>
          <w:rFonts w:ascii="Verdana" w:hAnsi="Verdana" w:cs="Arial"/>
          <w:sz w:val="22"/>
          <w:szCs w:val="22"/>
        </w:rPr>
        <w:t>E</w:t>
      </w:r>
      <w:r w:rsidRPr="00A62343">
        <w:rPr>
          <w:rFonts w:ascii="Verdana" w:hAnsi="Verdana" w:cs="Arial"/>
          <w:sz w:val="22"/>
          <w:szCs w:val="22"/>
        </w:rPr>
        <w:t>stado de Aguascalientes.</w:t>
      </w:r>
      <w:r w:rsidRPr="00A62343">
        <w:rPr>
          <w:rStyle w:val="Refdenotaalpie"/>
          <w:rFonts w:ascii="Verdana" w:hAnsi="Verdana" w:cs="Arial"/>
          <w:sz w:val="22"/>
          <w:szCs w:val="22"/>
        </w:rPr>
        <w:footnoteReference w:id="10"/>
      </w:r>
      <w:r w:rsidRPr="00A62343">
        <w:rPr>
          <w:rFonts w:ascii="Verdana" w:hAnsi="Verdana" w:cs="Arial"/>
          <w:sz w:val="22"/>
          <w:szCs w:val="22"/>
        </w:rPr>
        <w:t xml:space="preserve">  </w:t>
      </w:r>
    </w:p>
    <w:p w14:paraId="33850883" w14:textId="5653FE02" w:rsidR="0037035A" w:rsidRPr="00A62343" w:rsidRDefault="009C1068" w:rsidP="001F54E1">
      <w:pPr>
        <w:spacing w:before="100" w:beforeAutospacing="1" w:after="100" w:afterAutospacing="1" w:line="360" w:lineRule="auto"/>
        <w:jc w:val="both"/>
        <w:rPr>
          <w:rFonts w:ascii="Verdana" w:hAnsi="Verdana"/>
          <w:bCs/>
          <w:sz w:val="22"/>
          <w:szCs w:val="22"/>
        </w:rPr>
      </w:pPr>
      <w:r w:rsidRPr="00A62343">
        <w:rPr>
          <w:rFonts w:ascii="Verdana" w:hAnsi="Verdana" w:cs="Arial"/>
          <w:sz w:val="22"/>
          <w:szCs w:val="22"/>
        </w:rPr>
        <w:t>Además, por razón de materia y territorio, es competente para conocer de</w:t>
      </w:r>
      <w:r w:rsidR="0047690A" w:rsidRPr="00A62343">
        <w:rPr>
          <w:rFonts w:ascii="Verdana" w:hAnsi="Verdana" w:cs="Arial"/>
          <w:sz w:val="22"/>
          <w:szCs w:val="22"/>
        </w:rPr>
        <w:t xml:space="preserve"> </w:t>
      </w:r>
      <w:r w:rsidRPr="00A62343">
        <w:rPr>
          <w:rFonts w:ascii="Verdana" w:hAnsi="Verdana" w:cs="Arial"/>
          <w:sz w:val="22"/>
          <w:szCs w:val="22"/>
        </w:rPr>
        <w:t>l</w:t>
      </w:r>
      <w:r w:rsidR="0047690A" w:rsidRPr="00A62343">
        <w:rPr>
          <w:rFonts w:ascii="Verdana" w:hAnsi="Verdana" w:cs="Arial"/>
          <w:sz w:val="22"/>
          <w:szCs w:val="22"/>
        </w:rPr>
        <w:t>os</w:t>
      </w:r>
      <w:r w:rsidRPr="00A62343">
        <w:rPr>
          <w:rFonts w:ascii="Verdana" w:hAnsi="Verdana" w:cs="Arial"/>
          <w:sz w:val="22"/>
          <w:szCs w:val="22"/>
        </w:rPr>
        <w:t xml:space="preserve"> asunto</w:t>
      </w:r>
      <w:r w:rsidR="0047690A" w:rsidRPr="00A62343">
        <w:rPr>
          <w:rFonts w:ascii="Verdana" w:hAnsi="Verdana" w:cs="Arial"/>
          <w:sz w:val="22"/>
          <w:szCs w:val="22"/>
        </w:rPr>
        <w:t>s</w:t>
      </w:r>
      <w:r w:rsidRPr="00A62343">
        <w:rPr>
          <w:rFonts w:ascii="Verdana" w:hAnsi="Verdana" w:cs="Arial"/>
          <w:sz w:val="22"/>
          <w:szCs w:val="22"/>
        </w:rPr>
        <w:t xml:space="preserve"> por tratarse de </w:t>
      </w:r>
      <w:r w:rsidR="00765B65" w:rsidRPr="00A62343">
        <w:rPr>
          <w:rFonts w:ascii="Verdana" w:hAnsi="Verdana" w:cs="Arial"/>
          <w:sz w:val="22"/>
          <w:szCs w:val="22"/>
        </w:rPr>
        <w:t>Recurso</w:t>
      </w:r>
      <w:r w:rsidR="0047690A" w:rsidRPr="00A62343">
        <w:rPr>
          <w:rFonts w:ascii="Verdana" w:hAnsi="Verdana" w:cs="Arial"/>
          <w:sz w:val="22"/>
          <w:szCs w:val="22"/>
        </w:rPr>
        <w:t>s</w:t>
      </w:r>
      <w:r w:rsidR="00765B65" w:rsidRPr="00A62343">
        <w:rPr>
          <w:rFonts w:ascii="Verdana" w:hAnsi="Verdana" w:cs="Arial"/>
          <w:sz w:val="22"/>
          <w:szCs w:val="22"/>
        </w:rPr>
        <w:t xml:space="preserve"> de Apelación</w:t>
      </w:r>
      <w:r w:rsidR="00A13706" w:rsidRPr="00A62343">
        <w:rPr>
          <w:rFonts w:ascii="Verdana" w:hAnsi="Verdana" w:cs="Arial"/>
          <w:sz w:val="22"/>
          <w:szCs w:val="22"/>
        </w:rPr>
        <w:t xml:space="preserve"> y Juicios para la Protección de los Derechos Político-Electorales de la Ciudadanía,</w:t>
      </w:r>
      <w:r w:rsidR="0036177D" w:rsidRPr="00A62343">
        <w:rPr>
          <w:rFonts w:ascii="Verdana" w:hAnsi="Verdana" w:cs="Arial"/>
          <w:sz w:val="22"/>
          <w:szCs w:val="22"/>
        </w:rPr>
        <w:t xml:space="preserve"> </w:t>
      </w:r>
      <w:r w:rsidR="00A13706" w:rsidRPr="00A62343">
        <w:rPr>
          <w:rFonts w:ascii="Verdana" w:hAnsi="Verdana" w:cs="Arial"/>
          <w:sz w:val="22"/>
          <w:szCs w:val="22"/>
        </w:rPr>
        <w:t xml:space="preserve">presentados por Partidos Políticos y personas ciudadanas, </w:t>
      </w:r>
      <w:r w:rsidR="0036177D" w:rsidRPr="00A62343">
        <w:rPr>
          <w:rFonts w:ascii="Verdana" w:hAnsi="Verdana" w:cs="Arial"/>
          <w:sz w:val="22"/>
          <w:szCs w:val="22"/>
        </w:rPr>
        <w:t xml:space="preserve">para controvertir </w:t>
      </w:r>
      <w:r w:rsidR="00AF6FD1" w:rsidRPr="00A62343">
        <w:rPr>
          <w:rFonts w:ascii="Verdana" w:hAnsi="Verdana" w:cs="Arial"/>
          <w:sz w:val="22"/>
          <w:szCs w:val="22"/>
        </w:rPr>
        <w:t xml:space="preserve">el </w:t>
      </w:r>
      <w:r w:rsidR="002D053E" w:rsidRPr="00A62343">
        <w:rPr>
          <w:rFonts w:ascii="Verdana" w:hAnsi="Verdana" w:cs="Arial"/>
          <w:sz w:val="22"/>
          <w:szCs w:val="22"/>
        </w:rPr>
        <w:t>A</w:t>
      </w:r>
      <w:r w:rsidR="00AF6FD1" w:rsidRPr="00A62343">
        <w:rPr>
          <w:rFonts w:ascii="Verdana" w:hAnsi="Verdana" w:cs="Arial"/>
          <w:sz w:val="22"/>
          <w:szCs w:val="22"/>
        </w:rPr>
        <w:t>cuerdo emitido</w:t>
      </w:r>
      <w:r w:rsidR="0036177D" w:rsidRPr="00A62343">
        <w:rPr>
          <w:rFonts w:ascii="Verdana" w:hAnsi="Verdana" w:cs="Arial"/>
          <w:sz w:val="22"/>
          <w:szCs w:val="22"/>
        </w:rPr>
        <w:t xml:space="preserve"> por la </w:t>
      </w:r>
      <w:r w:rsidR="0036177D" w:rsidRPr="00A62343">
        <w:rPr>
          <w:rFonts w:ascii="Verdana" w:hAnsi="Verdana" w:cs="Arial"/>
          <w:bCs/>
          <w:smallCaps/>
          <w:sz w:val="22"/>
          <w:szCs w:val="22"/>
        </w:rPr>
        <w:t>Autoridad Responsable</w:t>
      </w:r>
      <w:r w:rsidR="0036177D" w:rsidRPr="00A62343">
        <w:rPr>
          <w:rFonts w:ascii="Verdana" w:hAnsi="Verdana" w:cs="Arial"/>
          <w:bCs/>
          <w:sz w:val="22"/>
          <w:szCs w:val="22"/>
        </w:rPr>
        <w:t xml:space="preserve">, en </w:t>
      </w:r>
      <w:r w:rsidR="00AF6FD1" w:rsidRPr="00A62343">
        <w:rPr>
          <w:rFonts w:ascii="Verdana" w:hAnsi="Verdana" w:cs="Arial"/>
          <w:bCs/>
          <w:sz w:val="22"/>
          <w:szCs w:val="22"/>
        </w:rPr>
        <w:t xml:space="preserve">el que </w:t>
      </w:r>
      <w:r w:rsidR="00AF6FD1" w:rsidRPr="00A62343">
        <w:rPr>
          <w:rFonts w:ascii="Verdana" w:hAnsi="Verdana"/>
          <w:bCs/>
          <w:sz w:val="22"/>
          <w:szCs w:val="22"/>
        </w:rPr>
        <w:t xml:space="preserve">aprobó los </w:t>
      </w:r>
      <w:r w:rsidR="008850C7" w:rsidRPr="00A62343">
        <w:rPr>
          <w:rFonts w:ascii="Verdana" w:hAnsi="Verdana"/>
          <w:bCs/>
          <w:sz w:val="22"/>
          <w:szCs w:val="22"/>
        </w:rPr>
        <w:t>L</w:t>
      </w:r>
      <w:r w:rsidR="00AF6FD1" w:rsidRPr="00A62343">
        <w:rPr>
          <w:rFonts w:ascii="Verdana" w:hAnsi="Verdana"/>
          <w:bCs/>
          <w:sz w:val="22"/>
          <w:szCs w:val="22"/>
        </w:rPr>
        <w:t>ineamientos para la implementación de acciones afirmativas en favor de los grupos de atención prioritaria en la postulación de candidaturas, en el proceso electoral concurrente 2023-2024 en Aguascalientes</w:t>
      </w:r>
      <w:r w:rsidR="002D053E" w:rsidRPr="00A62343">
        <w:rPr>
          <w:rFonts w:ascii="Verdana" w:hAnsi="Verdana" w:cs="Tahoma"/>
          <w:bCs/>
          <w:sz w:val="22"/>
          <w:szCs w:val="22"/>
          <w:lang w:val="es-MX"/>
        </w:rPr>
        <w:t>.</w:t>
      </w:r>
      <w:r w:rsidR="002D053E" w:rsidRPr="00A62343">
        <w:rPr>
          <w:rStyle w:val="Refdenotaalpie"/>
          <w:rFonts w:ascii="Verdana" w:hAnsi="Verdana" w:cs="Tahoma"/>
          <w:bCs/>
          <w:sz w:val="22"/>
          <w:szCs w:val="22"/>
          <w:lang w:val="es-MX"/>
        </w:rPr>
        <w:footnoteReference w:id="11"/>
      </w:r>
    </w:p>
    <w:p w14:paraId="4530C3A4" w14:textId="11A456FE" w:rsidR="00BA63AD" w:rsidRPr="00A62343" w:rsidRDefault="00BA63AD" w:rsidP="001F54E1">
      <w:pPr>
        <w:spacing w:before="100" w:beforeAutospacing="1" w:after="100" w:afterAutospacing="1" w:line="360" w:lineRule="auto"/>
        <w:jc w:val="both"/>
        <w:rPr>
          <w:rFonts w:ascii="Verdana" w:hAnsi="Verdana" w:cs="Tahoma"/>
          <w:b/>
          <w:sz w:val="22"/>
          <w:szCs w:val="22"/>
          <w:lang w:val="es-MX"/>
        </w:rPr>
      </w:pPr>
      <w:r w:rsidRPr="00A62343">
        <w:rPr>
          <w:rFonts w:ascii="Verdana" w:hAnsi="Verdana" w:cs="Tahoma"/>
          <w:b/>
          <w:sz w:val="22"/>
          <w:szCs w:val="22"/>
          <w:lang w:val="es-MX"/>
        </w:rPr>
        <w:t>SEGUNDA. Causas de improcedencia.</w:t>
      </w:r>
    </w:p>
    <w:p w14:paraId="5C3B2B3D" w14:textId="1467664B" w:rsidR="009C26C5" w:rsidRPr="00A62343" w:rsidRDefault="00BA63AD" w:rsidP="001F54E1">
      <w:pPr>
        <w:tabs>
          <w:tab w:val="left" w:pos="2955"/>
        </w:tabs>
        <w:spacing w:before="100" w:beforeAutospacing="1" w:after="100" w:afterAutospacing="1" w:line="360" w:lineRule="auto"/>
        <w:jc w:val="both"/>
        <w:rPr>
          <w:rFonts w:ascii="Verdana" w:hAnsi="Verdana" w:cs="Arial"/>
          <w:bCs/>
          <w:sz w:val="22"/>
          <w:szCs w:val="22"/>
        </w:rPr>
      </w:pPr>
      <w:r w:rsidRPr="00A62343">
        <w:rPr>
          <w:rFonts w:ascii="Verdana" w:hAnsi="Verdana" w:cs="Arial"/>
          <w:sz w:val="22"/>
          <w:szCs w:val="22"/>
        </w:rPr>
        <w:t xml:space="preserve">Este </w:t>
      </w:r>
      <w:r w:rsidRPr="00A62343">
        <w:rPr>
          <w:rFonts w:ascii="Verdana" w:hAnsi="Verdana" w:cs="Arial"/>
          <w:smallCaps/>
          <w:sz w:val="22"/>
          <w:szCs w:val="22"/>
        </w:rPr>
        <w:t>Tribunal</w:t>
      </w:r>
      <w:r w:rsidR="00324F8B" w:rsidRPr="00A62343">
        <w:rPr>
          <w:rFonts w:ascii="Verdana" w:hAnsi="Verdana" w:cs="Arial"/>
          <w:smallCaps/>
          <w:sz w:val="22"/>
          <w:szCs w:val="22"/>
        </w:rPr>
        <w:t xml:space="preserve"> Electoral</w:t>
      </w:r>
      <w:r w:rsidRPr="00A62343">
        <w:rPr>
          <w:rFonts w:ascii="Verdana" w:hAnsi="Verdana" w:cs="Arial"/>
          <w:sz w:val="22"/>
          <w:szCs w:val="22"/>
        </w:rPr>
        <w:t xml:space="preserve">, </w:t>
      </w:r>
      <w:r w:rsidR="00015E74" w:rsidRPr="00A62343">
        <w:rPr>
          <w:rFonts w:ascii="Verdana" w:hAnsi="Verdana" w:cs="Arial"/>
          <w:sz w:val="22"/>
          <w:szCs w:val="22"/>
        </w:rPr>
        <w:t xml:space="preserve">de conformidad con el artículo </w:t>
      </w:r>
      <w:r w:rsidR="00015E74" w:rsidRPr="00A62343">
        <w:rPr>
          <w:rFonts w:ascii="Verdana" w:hAnsi="Verdana" w:cs="Arial"/>
          <w:bCs/>
          <w:sz w:val="22"/>
          <w:szCs w:val="22"/>
          <w:lang w:val="es-MX"/>
        </w:rPr>
        <w:t xml:space="preserve">303 </w:t>
      </w:r>
      <w:r w:rsidR="00015E74" w:rsidRPr="00A62343">
        <w:rPr>
          <w:rFonts w:ascii="Verdana" w:hAnsi="Verdana" w:cs="Arial"/>
          <w:sz w:val="22"/>
          <w:szCs w:val="22"/>
        </w:rPr>
        <w:t>del</w:t>
      </w:r>
      <w:r w:rsidR="00723424" w:rsidRPr="00A62343">
        <w:rPr>
          <w:rFonts w:ascii="Verdana" w:hAnsi="Verdana" w:cs="Arial"/>
          <w:sz w:val="22"/>
          <w:szCs w:val="22"/>
        </w:rPr>
        <w:t xml:space="preserve"> Código Electoral del Estado de Aguascalientes</w:t>
      </w:r>
      <w:r w:rsidR="00015E74" w:rsidRPr="00A62343">
        <w:rPr>
          <w:rFonts w:ascii="Verdana" w:hAnsi="Verdana" w:cs="Arial"/>
          <w:sz w:val="22"/>
          <w:szCs w:val="22"/>
        </w:rPr>
        <w:t xml:space="preserve"> </w:t>
      </w:r>
      <w:r w:rsidR="00723424" w:rsidRPr="00A62343">
        <w:rPr>
          <w:rFonts w:ascii="Verdana" w:hAnsi="Verdana" w:cs="Arial"/>
          <w:sz w:val="22"/>
          <w:szCs w:val="22"/>
        </w:rPr>
        <w:t>(</w:t>
      </w:r>
      <w:r w:rsidR="00015E74" w:rsidRPr="00A62343">
        <w:rPr>
          <w:rFonts w:ascii="Verdana" w:hAnsi="Verdana" w:cs="Arial"/>
          <w:smallCaps/>
          <w:sz w:val="22"/>
          <w:szCs w:val="22"/>
        </w:rPr>
        <w:t>Código Electoral</w:t>
      </w:r>
      <w:r w:rsidR="00723424" w:rsidRPr="00A62343">
        <w:rPr>
          <w:rFonts w:ascii="Verdana" w:hAnsi="Verdana" w:cs="Arial"/>
          <w:smallCaps/>
          <w:sz w:val="22"/>
          <w:szCs w:val="22"/>
        </w:rPr>
        <w:t>)</w:t>
      </w:r>
      <w:r w:rsidR="00015E74" w:rsidRPr="00A62343">
        <w:rPr>
          <w:rFonts w:ascii="Verdana" w:hAnsi="Verdana" w:cs="Arial"/>
          <w:sz w:val="22"/>
          <w:szCs w:val="22"/>
        </w:rPr>
        <w:t xml:space="preserve">, </w:t>
      </w:r>
      <w:r w:rsidRPr="00A62343">
        <w:rPr>
          <w:rFonts w:ascii="Verdana" w:hAnsi="Verdana" w:cs="Arial"/>
          <w:sz w:val="22"/>
          <w:szCs w:val="22"/>
        </w:rPr>
        <w:t>tiene</w:t>
      </w:r>
      <w:r w:rsidR="00CF6BA2" w:rsidRPr="00A62343">
        <w:rPr>
          <w:rFonts w:ascii="Verdana" w:hAnsi="Verdana" w:cs="Arial"/>
          <w:sz w:val="22"/>
          <w:szCs w:val="22"/>
        </w:rPr>
        <w:t xml:space="preserve"> el deber de estudiar de oficio</w:t>
      </w:r>
      <w:r w:rsidRPr="00A62343">
        <w:rPr>
          <w:rFonts w:ascii="Verdana" w:hAnsi="Verdana" w:cs="Arial"/>
          <w:sz w:val="22"/>
          <w:szCs w:val="22"/>
        </w:rPr>
        <w:t xml:space="preserve"> las causales de improcedencia que pudieran actualizarse, en razón de que son una cuestión de orden público y de estudio preferente, las aleguen o no las partes, pues de actualizarse alguna de ellas, constituye un obstáculo procesal que impide a este órgano jurisdiccional realizar el estudio de fondo de la cuestión planteada</w:t>
      </w:r>
      <w:r w:rsidRPr="00A62343">
        <w:rPr>
          <w:rFonts w:ascii="Verdana" w:hAnsi="Verdana" w:cs="Arial"/>
          <w:bCs/>
          <w:sz w:val="22"/>
          <w:szCs w:val="22"/>
        </w:rPr>
        <w:t>.</w:t>
      </w:r>
    </w:p>
    <w:p w14:paraId="130663ED" w14:textId="31E1BC76" w:rsidR="003E16EF" w:rsidRPr="00A62343" w:rsidRDefault="005F27A8" w:rsidP="001F54E1">
      <w:pPr>
        <w:tabs>
          <w:tab w:val="left" w:pos="2955"/>
        </w:tabs>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E</w:t>
      </w:r>
      <w:r w:rsidR="00260ED8" w:rsidRPr="00A62343">
        <w:rPr>
          <w:rFonts w:ascii="Verdana" w:hAnsi="Verdana" w:cs="Arial"/>
          <w:sz w:val="22"/>
          <w:szCs w:val="22"/>
        </w:rPr>
        <w:t xml:space="preserve">n los Juicios para la Protección de los Derechos Político-Electorales de la Ciudadanía </w:t>
      </w:r>
      <w:r w:rsidR="00260ED8" w:rsidRPr="00A62343">
        <w:rPr>
          <w:rFonts w:ascii="Verdana" w:eastAsia="Arial" w:hAnsi="Verdana" w:cs="Arial"/>
          <w:b/>
          <w:color w:val="000000"/>
          <w:sz w:val="22"/>
          <w:szCs w:val="22"/>
        </w:rPr>
        <w:t>TEEA-JDC-005/2023, TEEA-JDC-011/2023, TEEA-JDC-012/2023, TEEA-JDC-022/2023, TEEA-JDC-023/2023 y TEEA-JDC-024/2023</w:t>
      </w:r>
      <w:r w:rsidRPr="00A62343">
        <w:rPr>
          <w:rFonts w:ascii="Verdana" w:eastAsia="Arial" w:hAnsi="Verdana" w:cs="Arial"/>
          <w:bCs/>
          <w:color w:val="000000"/>
          <w:sz w:val="22"/>
          <w:szCs w:val="22"/>
        </w:rPr>
        <w:t xml:space="preserve">, </w:t>
      </w:r>
      <w:r w:rsidRPr="00A62343">
        <w:rPr>
          <w:rFonts w:ascii="Verdana" w:hAnsi="Verdana" w:cs="Arial"/>
          <w:sz w:val="22"/>
          <w:szCs w:val="22"/>
        </w:rPr>
        <w:t xml:space="preserve">la </w:t>
      </w:r>
      <w:r w:rsidRPr="00A62343">
        <w:rPr>
          <w:rFonts w:ascii="Verdana" w:hAnsi="Verdana" w:cs="Arial"/>
          <w:smallCaps/>
          <w:sz w:val="22"/>
          <w:szCs w:val="22"/>
        </w:rPr>
        <w:t>Autoridad Responsable</w:t>
      </w:r>
      <w:r w:rsidRPr="00A62343">
        <w:rPr>
          <w:rFonts w:ascii="Verdana" w:hAnsi="Verdana" w:cs="Arial"/>
          <w:sz w:val="22"/>
          <w:szCs w:val="22"/>
        </w:rPr>
        <w:t xml:space="preserve"> hace valer la causal de improcedencia </w:t>
      </w:r>
      <w:r w:rsidR="009174F3" w:rsidRPr="00A62343">
        <w:rPr>
          <w:rFonts w:ascii="Verdana" w:hAnsi="Verdana" w:cs="Arial"/>
          <w:sz w:val="22"/>
          <w:szCs w:val="22"/>
        </w:rPr>
        <w:t xml:space="preserve">contenida en </w:t>
      </w:r>
      <w:r w:rsidR="003E16EF" w:rsidRPr="00A62343">
        <w:rPr>
          <w:rFonts w:ascii="Verdana" w:hAnsi="Verdana" w:cs="Arial"/>
          <w:sz w:val="22"/>
          <w:szCs w:val="22"/>
        </w:rPr>
        <w:t xml:space="preserve">el artículo 304, fracción IV, del </w:t>
      </w:r>
      <w:r w:rsidR="003E16EF" w:rsidRPr="00A62343">
        <w:rPr>
          <w:rFonts w:ascii="Verdana" w:hAnsi="Verdana" w:cs="Arial"/>
          <w:smallCaps/>
          <w:sz w:val="22"/>
          <w:szCs w:val="22"/>
        </w:rPr>
        <w:t>Código Electoral</w:t>
      </w:r>
      <w:r w:rsidR="003E16EF" w:rsidRPr="00A62343">
        <w:rPr>
          <w:rFonts w:ascii="Verdana" w:hAnsi="Verdana" w:cs="Arial"/>
          <w:sz w:val="22"/>
          <w:szCs w:val="22"/>
        </w:rPr>
        <w:t xml:space="preserve">, relativa a cuando un medio de impugnación no reúna los requisitos señalados en dicho Código, mismos que se encuentran en el numeral 302, </w:t>
      </w:r>
      <w:r w:rsidR="00D054E6" w:rsidRPr="00A62343">
        <w:rPr>
          <w:rFonts w:ascii="Verdana" w:hAnsi="Verdana" w:cs="Arial"/>
          <w:sz w:val="22"/>
          <w:szCs w:val="22"/>
        </w:rPr>
        <w:t xml:space="preserve">fracción III, así como en el 307, fracción II, por no haber acompañado el o los documentos necesarios para acreditar la personería de las personas </w:t>
      </w:r>
      <w:r w:rsidR="00887D03" w:rsidRPr="00A62343">
        <w:rPr>
          <w:rFonts w:ascii="Verdana" w:hAnsi="Verdana" w:cs="Arial"/>
          <w:sz w:val="22"/>
          <w:szCs w:val="22"/>
        </w:rPr>
        <w:t>promoventes</w:t>
      </w:r>
      <w:r w:rsidR="00D054E6" w:rsidRPr="00A62343">
        <w:rPr>
          <w:rFonts w:ascii="Verdana" w:hAnsi="Verdana" w:cs="Arial"/>
          <w:sz w:val="22"/>
          <w:szCs w:val="22"/>
        </w:rPr>
        <w:t>.</w:t>
      </w:r>
    </w:p>
    <w:p w14:paraId="537BB8E9" w14:textId="217545A3" w:rsidR="008A22CF" w:rsidRPr="00A62343" w:rsidRDefault="00974BC6" w:rsidP="008A22CF">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lastRenderedPageBreak/>
        <w:t xml:space="preserve">Si </w:t>
      </w:r>
      <w:r w:rsidR="008A22CF" w:rsidRPr="00A62343">
        <w:rPr>
          <w:rFonts w:ascii="Verdana" w:hAnsi="Verdana" w:cs="Arial"/>
          <w:sz w:val="22"/>
          <w:szCs w:val="22"/>
        </w:rPr>
        <w:t xml:space="preserve">bien en el numeral 302 del </w:t>
      </w:r>
      <w:r w:rsidR="008A22CF" w:rsidRPr="00A62343">
        <w:rPr>
          <w:rFonts w:ascii="Verdana" w:hAnsi="Verdana" w:cs="Arial"/>
          <w:smallCaps/>
          <w:sz w:val="22"/>
          <w:szCs w:val="22"/>
        </w:rPr>
        <w:t>Código Electoral</w:t>
      </w:r>
      <w:r w:rsidR="008A22CF" w:rsidRPr="00A62343">
        <w:rPr>
          <w:rFonts w:ascii="Verdana" w:hAnsi="Verdana" w:cs="Arial"/>
          <w:sz w:val="22"/>
          <w:szCs w:val="22"/>
        </w:rPr>
        <w:t xml:space="preserve"> que invoca la </w:t>
      </w:r>
      <w:r w:rsidR="008A22CF" w:rsidRPr="00A62343">
        <w:rPr>
          <w:rFonts w:ascii="Verdana" w:hAnsi="Verdana" w:cs="Arial"/>
          <w:smallCaps/>
          <w:sz w:val="22"/>
          <w:szCs w:val="22"/>
        </w:rPr>
        <w:t>Autoridad Responsable</w:t>
      </w:r>
      <w:r w:rsidR="008A22CF" w:rsidRPr="00A62343">
        <w:rPr>
          <w:rFonts w:ascii="Verdana" w:hAnsi="Verdana" w:cs="Arial"/>
          <w:sz w:val="22"/>
          <w:szCs w:val="22"/>
        </w:rPr>
        <w:t xml:space="preserve"> se prevé en su fracción III como requisito </w:t>
      </w:r>
      <w:r w:rsidR="008A22CF" w:rsidRPr="00A62343">
        <w:rPr>
          <w:rFonts w:ascii="Verdana" w:hAnsi="Verdana" w:cs="Arial"/>
          <w:i/>
          <w:sz w:val="22"/>
          <w:szCs w:val="22"/>
        </w:rPr>
        <w:t>“…Acompañar el o los documentos que sean necesarios para acreditar la personería del recurrente, salvo que los mismos ya obren ante la autoridad responsable …”,</w:t>
      </w:r>
      <w:r w:rsidR="008A22CF" w:rsidRPr="00A62343">
        <w:rPr>
          <w:rFonts w:ascii="Verdana" w:hAnsi="Verdana" w:cs="Arial"/>
          <w:sz w:val="22"/>
          <w:szCs w:val="22"/>
        </w:rPr>
        <w:t xml:space="preserve"> lo cierto es, que vale aclarar que éstos sólo pueden exigirse en aquellos casos en los que la persona compareciente y suscriptora del escrito inicial se ostente como representante o apoderado de alguna otra persona, ya sea física o moral, y la propia ley exija la demostración de alguna calidad especial que legitime al interesado, pero no en los que el impulsor del procedimiento, trámite o medio de defensa lo haga a su nombre y en ejercicio de una acción o potestad que le es propia.</w:t>
      </w:r>
      <w:r w:rsidR="008A22CF" w:rsidRPr="00A62343">
        <w:rPr>
          <w:rStyle w:val="Refdenotaalpie"/>
          <w:rFonts w:ascii="Verdana" w:hAnsi="Verdana" w:cs="Arial"/>
          <w:sz w:val="22"/>
          <w:szCs w:val="22"/>
        </w:rPr>
        <w:footnoteReference w:id="12"/>
      </w:r>
    </w:p>
    <w:p w14:paraId="1AA46E6A" w14:textId="598F1AEF" w:rsidR="00887D03" w:rsidRPr="00A62343" w:rsidRDefault="00795C16"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E</w:t>
      </w:r>
      <w:r w:rsidR="00974BC6" w:rsidRPr="00A62343">
        <w:rPr>
          <w:rFonts w:ascii="Verdana" w:hAnsi="Verdana" w:cs="Arial"/>
          <w:sz w:val="22"/>
          <w:szCs w:val="22"/>
        </w:rPr>
        <w:t>n consecuencia, e</w:t>
      </w:r>
      <w:r w:rsidR="00887D03" w:rsidRPr="00A62343">
        <w:rPr>
          <w:rFonts w:ascii="Verdana" w:hAnsi="Verdana" w:cs="Arial"/>
          <w:sz w:val="22"/>
          <w:szCs w:val="22"/>
        </w:rPr>
        <w:t xml:space="preserve">ste </w:t>
      </w:r>
      <w:r w:rsidR="00887D03" w:rsidRPr="00A62343">
        <w:rPr>
          <w:rFonts w:ascii="Verdana" w:hAnsi="Verdana" w:cs="Arial"/>
          <w:smallCaps/>
          <w:sz w:val="22"/>
          <w:szCs w:val="22"/>
        </w:rPr>
        <w:t>Tribunal Electoral</w:t>
      </w:r>
      <w:r w:rsidR="00887D03" w:rsidRPr="00A62343">
        <w:rPr>
          <w:rFonts w:ascii="Verdana" w:hAnsi="Verdana" w:cs="Arial"/>
          <w:sz w:val="22"/>
          <w:szCs w:val="22"/>
        </w:rPr>
        <w:t xml:space="preserve"> considera que dicha causal no se actualiza, </w:t>
      </w:r>
      <w:r w:rsidRPr="00A62343">
        <w:rPr>
          <w:rFonts w:ascii="Verdana" w:hAnsi="Verdana" w:cs="Arial"/>
          <w:sz w:val="22"/>
          <w:szCs w:val="22"/>
        </w:rPr>
        <w:t xml:space="preserve">pues de la lectura de los sendos Juicios, no se desprende que comparezcan en representación legal de alguna persona física o moral; </w:t>
      </w:r>
      <w:r w:rsidR="00887D03" w:rsidRPr="00A62343">
        <w:rPr>
          <w:rFonts w:ascii="Verdana" w:hAnsi="Verdana" w:cs="Arial"/>
          <w:sz w:val="22"/>
          <w:szCs w:val="22"/>
        </w:rPr>
        <w:t>si bien</w:t>
      </w:r>
      <w:r w:rsidRPr="00A62343">
        <w:rPr>
          <w:rFonts w:ascii="Verdana" w:hAnsi="Verdana" w:cs="Arial"/>
          <w:sz w:val="22"/>
          <w:szCs w:val="22"/>
        </w:rPr>
        <w:t xml:space="preserve"> es cierto</w:t>
      </w:r>
      <w:r w:rsidR="00887D03" w:rsidRPr="00A62343">
        <w:rPr>
          <w:rFonts w:ascii="Verdana" w:hAnsi="Verdana" w:cs="Arial"/>
          <w:sz w:val="22"/>
          <w:szCs w:val="22"/>
        </w:rPr>
        <w:t xml:space="preserve">, de los anexos de los juicios </w:t>
      </w:r>
      <w:r w:rsidR="00393E85" w:rsidRPr="00A62343">
        <w:rPr>
          <w:rFonts w:ascii="Verdana" w:hAnsi="Verdana" w:cs="Arial"/>
          <w:sz w:val="22"/>
          <w:szCs w:val="22"/>
        </w:rPr>
        <w:t xml:space="preserve">referidos en el párrafo que antecede, </w:t>
      </w:r>
      <w:r w:rsidR="00887D03" w:rsidRPr="00A62343">
        <w:rPr>
          <w:rFonts w:ascii="Verdana" w:hAnsi="Verdana" w:cs="Arial"/>
          <w:sz w:val="22"/>
          <w:szCs w:val="22"/>
        </w:rPr>
        <w:t>no se advierte copia de su</w:t>
      </w:r>
      <w:r w:rsidRPr="00A62343">
        <w:rPr>
          <w:rFonts w:ascii="Verdana" w:hAnsi="Verdana" w:cs="Arial"/>
          <w:sz w:val="22"/>
          <w:szCs w:val="22"/>
        </w:rPr>
        <w:t>s</w:t>
      </w:r>
      <w:r w:rsidR="00887D03" w:rsidRPr="00A62343">
        <w:rPr>
          <w:rFonts w:ascii="Verdana" w:hAnsi="Verdana" w:cs="Arial"/>
          <w:sz w:val="22"/>
          <w:szCs w:val="22"/>
        </w:rPr>
        <w:t xml:space="preserve"> identificaci</w:t>
      </w:r>
      <w:r w:rsidRPr="00A62343">
        <w:rPr>
          <w:rFonts w:ascii="Verdana" w:hAnsi="Verdana" w:cs="Arial"/>
          <w:sz w:val="22"/>
          <w:szCs w:val="22"/>
        </w:rPr>
        <w:t xml:space="preserve">ones, </w:t>
      </w:r>
      <w:r w:rsidR="00887D03" w:rsidRPr="00A62343">
        <w:rPr>
          <w:rFonts w:ascii="Verdana" w:hAnsi="Verdana" w:cs="Arial"/>
          <w:sz w:val="22"/>
          <w:szCs w:val="22"/>
        </w:rPr>
        <w:t xml:space="preserve">los cierto es que, </w:t>
      </w:r>
      <w:r w:rsidRPr="00A62343">
        <w:rPr>
          <w:rFonts w:ascii="Verdana" w:hAnsi="Verdana" w:cs="Arial"/>
          <w:sz w:val="22"/>
          <w:szCs w:val="22"/>
        </w:rPr>
        <w:t xml:space="preserve">para acreditar la personalidad, </w:t>
      </w:r>
      <w:r w:rsidR="00887D03" w:rsidRPr="00A62343">
        <w:rPr>
          <w:rFonts w:ascii="Verdana" w:hAnsi="Verdana" w:cs="Arial"/>
          <w:sz w:val="22"/>
          <w:szCs w:val="22"/>
        </w:rPr>
        <w:t xml:space="preserve">cuando </w:t>
      </w:r>
      <w:r w:rsidRPr="00A62343">
        <w:rPr>
          <w:rFonts w:ascii="Verdana" w:hAnsi="Verdana" w:cs="Arial"/>
          <w:sz w:val="22"/>
          <w:szCs w:val="22"/>
        </w:rPr>
        <w:t xml:space="preserve">se </w:t>
      </w:r>
      <w:r w:rsidR="00887D03" w:rsidRPr="00A62343">
        <w:rPr>
          <w:rFonts w:ascii="Verdana" w:hAnsi="Verdana" w:cs="Arial"/>
          <w:sz w:val="22"/>
          <w:szCs w:val="22"/>
        </w:rPr>
        <w:t>acude ante alguna autoridad de manera directa, en defensa de algún derecho que le es propio, o para presentar alguna denuncia de hechos, se agota generalmente con el asentamiento del nombre y la firma autógrafa del compareciente, elementos que en estos casos son los únicos exigibles por constituir los mínimos necesarios para conocer a</w:t>
      </w:r>
      <w:r w:rsidRPr="00A62343">
        <w:rPr>
          <w:rFonts w:ascii="Verdana" w:hAnsi="Verdana" w:cs="Arial"/>
          <w:sz w:val="22"/>
          <w:szCs w:val="22"/>
        </w:rPr>
        <w:t xml:space="preserve"> </w:t>
      </w:r>
      <w:r w:rsidR="00887D03" w:rsidRPr="00A62343">
        <w:rPr>
          <w:rFonts w:ascii="Verdana" w:hAnsi="Verdana" w:cs="Arial"/>
          <w:sz w:val="22"/>
          <w:szCs w:val="22"/>
        </w:rPr>
        <w:t>l</w:t>
      </w:r>
      <w:r w:rsidRPr="00A62343">
        <w:rPr>
          <w:rFonts w:ascii="Verdana" w:hAnsi="Verdana" w:cs="Arial"/>
          <w:sz w:val="22"/>
          <w:szCs w:val="22"/>
        </w:rPr>
        <w:t xml:space="preserve">a </w:t>
      </w:r>
      <w:r w:rsidR="001047AC" w:rsidRPr="00A62343">
        <w:rPr>
          <w:rFonts w:ascii="Verdana" w:hAnsi="Verdana" w:cs="Arial"/>
          <w:sz w:val="22"/>
          <w:szCs w:val="22"/>
        </w:rPr>
        <w:t>p</w:t>
      </w:r>
      <w:r w:rsidRPr="00A62343">
        <w:rPr>
          <w:rFonts w:ascii="Verdana" w:hAnsi="Verdana" w:cs="Arial"/>
          <w:sz w:val="22"/>
          <w:szCs w:val="22"/>
        </w:rPr>
        <w:t xml:space="preserve">arte </w:t>
      </w:r>
      <w:r w:rsidR="001047AC" w:rsidRPr="00A62343">
        <w:rPr>
          <w:rFonts w:ascii="Verdana" w:hAnsi="Verdana" w:cs="Arial"/>
          <w:sz w:val="22"/>
          <w:szCs w:val="22"/>
        </w:rPr>
        <w:t>p</w:t>
      </w:r>
      <w:r w:rsidRPr="00A62343">
        <w:rPr>
          <w:rFonts w:ascii="Verdana" w:hAnsi="Verdana" w:cs="Arial"/>
          <w:sz w:val="22"/>
          <w:szCs w:val="22"/>
        </w:rPr>
        <w:t xml:space="preserve">romovente </w:t>
      </w:r>
      <w:r w:rsidR="00887D03" w:rsidRPr="00A62343">
        <w:rPr>
          <w:rFonts w:ascii="Verdana" w:hAnsi="Verdana" w:cs="Arial"/>
          <w:sz w:val="22"/>
          <w:szCs w:val="22"/>
        </w:rPr>
        <w:t xml:space="preserve">y su voluntad de ejercer el derecho de acción respectivo o el de hacer del conocimiento de la autoridad hechos que pueden o no ser constitutivos de faltas a la normatividad, en este caso electoral, atendiendo además al principio de buena fe que rige también los actos de los particulares y de las autoridades. </w:t>
      </w:r>
    </w:p>
    <w:p w14:paraId="312C9C2B" w14:textId="77777777" w:rsidR="00887D03" w:rsidRPr="00A62343" w:rsidRDefault="00887D03"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Además, si bien existen requisitos que deben ser colmados para efecto de dar entrada o trámite a las promociones, quejas, denuncias; o bien para que se admitan los medios de defensa, ya sea administrativos o jurisdiccionales, éstos no son exigibles en todos los casos, ni bajo cualquier supuesto. Antes bien, debe ponderarse que estos requisitos deben ser los que guarden una relación lógica, congruente y proporcional con el tipo de escrito, denuncia o medio de defensa que se intente, así como en relación con las cargas probatorias para las partes en los mismos, que cada procedimiento amerite, lo que nos permite concluir </w:t>
      </w:r>
      <w:r w:rsidRPr="00A62343">
        <w:rPr>
          <w:rFonts w:ascii="Verdana" w:hAnsi="Verdana" w:cs="Arial"/>
          <w:sz w:val="22"/>
          <w:szCs w:val="22"/>
        </w:rPr>
        <w:lastRenderedPageBreak/>
        <w:t>que además de existir requisitos generales que son inherentes a cualquier procedimiento, existen otros que son requeridos de manera especial como producto o necesidad propia del que se inicie o pretenda agotar.</w:t>
      </w:r>
    </w:p>
    <w:p w14:paraId="12808353" w14:textId="67964D30" w:rsidR="00887D03" w:rsidRPr="00A62343" w:rsidRDefault="00887D03" w:rsidP="001F54E1">
      <w:pPr>
        <w:spacing w:before="100" w:beforeAutospacing="1" w:after="100" w:afterAutospacing="1" w:line="360" w:lineRule="auto"/>
        <w:jc w:val="both"/>
        <w:rPr>
          <w:rFonts w:ascii="Verdana" w:hAnsi="Verdana" w:cs="Arial"/>
          <w:bCs/>
          <w:sz w:val="22"/>
          <w:szCs w:val="22"/>
          <w:lang w:val="es-MX"/>
        </w:rPr>
      </w:pPr>
      <w:r w:rsidRPr="00A62343">
        <w:rPr>
          <w:rFonts w:ascii="Verdana" w:hAnsi="Verdana" w:cs="Arial"/>
          <w:sz w:val="22"/>
          <w:szCs w:val="22"/>
        </w:rPr>
        <w:t xml:space="preserve">Aunado a lo anterior, es preciso decir que, las </w:t>
      </w:r>
      <w:r w:rsidR="00C01E27" w:rsidRPr="00A62343">
        <w:rPr>
          <w:rFonts w:ascii="Verdana" w:hAnsi="Verdana"/>
          <w:bCs/>
          <w:smallCaps/>
          <w:sz w:val="22"/>
          <w:szCs w:val="22"/>
        </w:rPr>
        <w:t xml:space="preserve">Partes Promoventes </w:t>
      </w:r>
      <w:r w:rsidRPr="00A62343">
        <w:rPr>
          <w:rFonts w:ascii="Verdana" w:hAnsi="Verdana" w:cs="Arial"/>
          <w:sz w:val="22"/>
          <w:szCs w:val="22"/>
        </w:rPr>
        <w:t xml:space="preserve">se auto adscriben como personas indígenas, por lo que </w:t>
      </w:r>
      <w:r w:rsidRPr="00A62343">
        <w:rPr>
          <w:rFonts w:ascii="Verdana" w:hAnsi="Verdana" w:cs="Arial"/>
          <w:bCs/>
          <w:sz w:val="22"/>
          <w:szCs w:val="22"/>
        </w:rPr>
        <w:t xml:space="preserve">cobran aplicación las disposiciones contenidas en la </w:t>
      </w:r>
      <w:r w:rsidRPr="00A62343">
        <w:rPr>
          <w:rFonts w:ascii="Verdana" w:hAnsi="Verdana" w:cs="Arial"/>
          <w:bCs/>
          <w:smallCaps/>
          <w:sz w:val="22"/>
          <w:szCs w:val="22"/>
        </w:rPr>
        <w:t>Constitución</w:t>
      </w:r>
      <w:r w:rsidR="00C01E27" w:rsidRPr="00A62343">
        <w:rPr>
          <w:rFonts w:ascii="Verdana" w:hAnsi="Verdana" w:cs="Arial"/>
          <w:bCs/>
          <w:smallCaps/>
          <w:sz w:val="22"/>
          <w:szCs w:val="22"/>
        </w:rPr>
        <w:t xml:space="preserve"> Federal</w:t>
      </w:r>
      <w:r w:rsidR="00C01E27" w:rsidRPr="00A62343">
        <w:rPr>
          <w:rFonts w:ascii="Verdana" w:hAnsi="Verdana" w:cs="Arial"/>
          <w:bCs/>
          <w:sz w:val="22"/>
          <w:szCs w:val="22"/>
        </w:rPr>
        <w:t>, en el</w:t>
      </w:r>
      <w:r w:rsidRPr="00A62343">
        <w:rPr>
          <w:rFonts w:ascii="Verdana" w:hAnsi="Verdana" w:cs="Arial"/>
          <w:bCs/>
          <w:sz w:val="22"/>
          <w:szCs w:val="22"/>
        </w:rPr>
        <w:t xml:space="preserve"> Convenio 169 de la Organización Internacional del Trabajo y Declaración </w:t>
      </w:r>
      <w:bookmarkStart w:id="0" w:name="_Hlk142509477"/>
      <w:r w:rsidRPr="00A62343">
        <w:rPr>
          <w:rFonts w:ascii="Verdana" w:hAnsi="Verdana" w:cs="Arial"/>
          <w:bCs/>
          <w:sz w:val="22"/>
          <w:szCs w:val="22"/>
        </w:rPr>
        <w:t>de las Naciones Unidas sobre los Derechos de los Pueblos Indígenas</w:t>
      </w:r>
      <w:bookmarkEnd w:id="0"/>
      <w:r w:rsidRPr="00A62343">
        <w:rPr>
          <w:rFonts w:ascii="Verdana" w:hAnsi="Verdana" w:cs="Arial"/>
          <w:bCs/>
          <w:sz w:val="22"/>
          <w:szCs w:val="22"/>
        </w:rPr>
        <w:t xml:space="preserve"> y otros instrumentos internacionales de los que México es parte,</w:t>
      </w:r>
      <w:r w:rsidR="002F3F29" w:rsidRPr="00A62343">
        <w:rPr>
          <w:rFonts w:ascii="Verdana" w:hAnsi="Verdana" w:cs="Arial"/>
          <w:bCs/>
          <w:sz w:val="22"/>
          <w:szCs w:val="22"/>
        </w:rPr>
        <w:t xml:space="preserve"> referentes</w:t>
      </w:r>
      <w:r w:rsidRPr="00A62343">
        <w:rPr>
          <w:rFonts w:ascii="Verdana" w:hAnsi="Verdana" w:cs="Arial"/>
          <w:bCs/>
          <w:sz w:val="22"/>
          <w:szCs w:val="22"/>
        </w:rPr>
        <w:t xml:space="preserve"> a los pueblos indígenas y personas que las integran.</w:t>
      </w:r>
    </w:p>
    <w:p w14:paraId="7404D7F0" w14:textId="5677B87F" w:rsidR="00C01E27" w:rsidRPr="00A62343" w:rsidRDefault="00887D03" w:rsidP="001F54E1">
      <w:pPr>
        <w:spacing w:before="100" w:beforeAutospacing="1" w:after="100" w:afterAutospacing="1" w:line="360" w:lineRule="auto"/>
        <w:jc w:val="both"/>
        <w:rPr>
          <w:rFonts w:ascii="Verdana" w:hAnsi="Verdana" w:cs="Arial"/>
          <w:bCs/>
          <w:sz w:val="22"/>
          <w:szCs w:val="22"/>
          <w:lang w:val="es-ES_tradnl"/>
        </w:rPr>
      </w:pPr>
      <w:r w:rsidRPr="00A62343">
        <w:rPr>
          <w:rFonts w:ascii="Verdana" w:hAnsi="Verdana" w:cs="Arial"/>
          <w:bCs/>
          <w:sz w:val="22"/>
          <w:szCs w:val="22"/>
          <w:lang w:val="es-ES_tradnl"/>
        </w:rPr>
        <w:t xml:space="preserve">Por ello, </w:t>
      </w:r>
      <w:r w:rsidR="00C01E27" w:rsidRPr="00A62343">
        <w:rPr>
          <w:rFonts w:ascii="Verdana" w:hAnsi="Verdana" w:cs="Arial"/>
          <w:bCs/>
          <w:sz w:val="22"/>
          <w:szCs w:val="22"/>
          <w:lang w:val="es-ES_tradnl"/>
        </w:rPr>
        <w:t xml:space="preserve">la auto adscripción es suficiente para acreditar la </w:t>
      </w:r>
      <w:r w:rsidR="002F3F29" w:rsidRPr="00A62343">
        <w:rPr>
          <w:rFonts w:ascii="Verdana" w:hAnsi="Verdana" w:cs="Arial"/>
          <w:bCs/>
          <w:sz w:val="22"/>
          <w:szCs w:val="22"/>
          <w:lang w:val="es-ES_tradnl"/>
        </w:rPr>
        <w:t>legitimación para promover el medio de impugnación intentado con el carácter de integrante de una comunidad indígena, con el objeto de que se tutelen sus derechos, acorde con la Constitución y las normas consuetudinarias respectivas.</w:t>
      </w:r>
      <w:r w:rsidR="002F3F29" w:rsidRPr="00A62343">
        <w:rPr>
          <w:rStyle w:val="Refdenotaalpie"/>
          <w:rFonts w:ascii="Verdana" w:hAnsi="Verdana" w:cs="Arial"/>
          <w:bCs/>
          <w:sz w:val="22"/>
          <w:szCs w:val="22"/>
          <w:lang w:val="es-ES_tradnl"/>
        </w:rPr>
        <w:footnoteReference w:id="13"/>
      </w:r>
    </w:p>
    <w:p w14:paraId="51F71118" w14:textId="3D3D69C9" w:rsidR="00887D03" w:rsidRPr="00A62343" w:rsidRDefault="00887D03" w:rsidP="001F54E1">
      <w:pPr>
        <w:spacing w:before="100" w:beforeAutospacing="1" w:after="100" w:afterAutospacing="1" w:line="360" w:lineRule="auto"/>
        <w:jc w:val="both"/>
        <w:rPr>
          <w:rFonts w:ascii="Verdana" w:eastAsia="Arial" w:hAnsi="Verdana" w:cs="Arial"/>
          <w:i/>
          <w:sz w:val="22"/>
          <w:szCs w:val="22"/>
        </w:rPr>
      </w:pPr>
      <w:r w:rsidRPr="00A62343">
        <w:rPr>
          <w:rFonts w:ascii="Verdana" w:eastAsia="Arial" w:hAnsi="Verdana" w:cs="Arial"/>
          <w:sz w:val="22"/>
          <w:szCs w:val="22"/>
        </w:rPr>
        <w:t xml:space="preserve">En consecuencia, si las </w:t>
      </w:r>
      <w:r w:rsidR="002F3F29" w:rsidRPr="00A62343">
        <w:rPr>
          <w:rFonts w:ascii="Verdana" w:hAnsi="Verdana"/>
          <w:bCs/>
          <w:smallCaps/>
          <w:sz w:val="22"/>
          <w:szCs w:val="22"/>
        </w:rPr>
        <w:t xml:space="preserve">Partes Promoventes </w:t>
      </w:r>
      <w:r w:rsidRPr="00A62343">
        <w:rPr>
          <w:rFonts w:ascii="Verdana" w:hAnsi="Verdana" w:cs="Arial"/>
          <w:iCs/>
          <w:sz w:val="22"/>
          <w:szCs w:val="22"/>
          <w:lang w:val="es-ES_tradnl"/>
        </w:rPr>
        <w:t xml:space="preserve">se auto adscriben como pertenecientes </w:t>
      </w:r>
      <w:r w:rsidRPr="00A62343">
        <w:rPr>
          <w:rFonts w:ascii="Verdana" w:hAnsi="Verdana" w:cs="Arial"/>
          <w:bCs/>
          <w:sz w:val="22"/>
          <w:szCs w:val="22"/>
        </w:rPr>
        <w:t xml:space="preserve">a las poblaciones </w:t>
      </w:r>
      <w:r w:rsidRPr="00A62343">
        <w:rPr>
          <w:rFonts w:ascii="Verdana" w:hAnsi="Verdana" w:cs="Arial"/>
          <w:bCs/>
          <w:color w:val="000000"/>
          <w:sz w:val="22"/>
          <w:szCs w:val="22"/>
        </w:rPr>
        <w:t xml:space="preserve">y/o comunidades y/o naciones mexicanas y promueven los </w:t>
      </w:r>
      <w:r w:rsidR="002F3F29" w:rsidRPr="00A62343">
        <w:rPr>
          <w:rFonts w:ascii="Verdana" w:eastAsia="Arial" w:hAnsi="Verdana" w:cs="Arial"/>
          <w:color w:val="000000"/>
          <w:sz w:val="22"/>
          <w:szCs w:val="22"/>
        </w:rPr>
        <w:t xml:space="preserve">Juicios para la Protección de los Derechos Político-Electorales de la Ciudadanía </w:t>
      </w:r>
      <w:r w:rsidRPr="00A62343">
        <w:rPr>
          <w:rFonts w:ascii="Verdana" w:hAnsi="Verdana" w:cs="Arial"/>
          <w:bCs/>
          <w:color w:val="000000"/>
          <w:sz w:val="22"/>
          <w:szCs w:val="22"/>
        </w:rPr>
        <w:t xml:space="preserve">en defensa del derecho de las personas habitantes de su comunidad, </w:t>
      </w:r>
      <w:r w:rsidRPr="00A62343">
        <w:rPr>
          <w:rFonts w:ascii="Verdana" w:hAnsi="Verdana" w:cs="Arial"/>
          <w:bCs/>
          <w:sz w:val="22"/>
          <w:szCs w:val="22"/>
        </w:rPr>
        <w:t xml:space="preserve">cuentan con legitimación, ya que la referida auto adscripción es </w:t>
      </w:r>
      <w:r w:rsidRPr="00A62343">
        <w:rPr>
          <w:rFonts w:ascii="Verdana" w:hAnsi="Verdana" w:cs="Arial"/>
          <w:sz w:val="22"/>
          <w:szCs w:val="22"/>
        </w:rPr>
        <w:t xml:space="preserve">suficiente para considerar que existe un vínculo con su comunidad y reconocerles como integrantes de la misma; </w:t>
      </w:r>
      <w:r w:rsidR="002F3F29" w:rsidRPr="00A62343">
        <w:rPr>
          <w:rFonts w:ascii="Verdana" w:hAnsi="Verdana" w:cs="Arial"/>
          <w:sz w:val="22"/>
          <w:szCs w:val="22"/>
        </w:rPr>
        <w:t xml:space="preserve">por lo que para este </w:t>
      </w:r>
      <w:r w:rsidR="002F3F29" w:rsidRPr="00A62343">
        <w:rPr>
          <w:rFonts w:ascii="Verdana" w:hAnsi="Verdana" w:cs="Arial"/>
          <w:smallCaps/>
          <w:sz w:val="22"/>
          <w:szCs w:val="22"/>
        </w:rPr>
        <w:t>Tribunal Electoral</w:t>
      </w:r>
      <w:r w:rsidR="002F3F29" w:rsidRPr="00A62343">
        <w:rPr>
          <w:rFonts w:ascii="Verdana" w:hAnsi="Verdana" w:cs="Arial"/>
          <w:sz w:val="22"/>
          <w:szCs w:val="22"/>
        </w:rPr>
        <w:t xml:space="preserve"> queda satisfecho este requisito</w:t>
      </w:r>
      <w:r w:rsidRPr="00A62343">
        <w:rPr>
          <w:rFonts w:ascii="Verdana" w:hAnsi="Verdana" w:cs="Arial"/>
          <w:sz w:val="22"/>
          <w:szCs w:val="22"/>
        </w:rPr>
        <w:t xml:space="preserve">, </w:t>
      </w:r>
      <w:r w:rsidR="002F3F29" w:rsidRPr="00A62343">
        <w:rPr>
          <w:rFonts w:ascii="Verdana" w:hAnsi="Verdana" w:cs="Arial"/>
          <w:sz w:val="22"/>
          <w:szCs w:val="22"/>
        </w:rPr>
        <w:t xml:space="preserve">y </w:t>
      </w:r>
      <w:r w:rsidRPr="00A62343">
        <w:rPr>
          <w:rFonts w:ascii="Verdana" w:hAnsi="Verdana" w:cs="Arial"/>
          <w:sz w:val="22"/>
          <w:szCs w:val="22"/>
        </w:rPr>
        <w:t xml:space="preserve">se acredita la legitimación de las </w:t>
      </w:r>
      <w:r w:rsidR="002F3F29" w:rsidRPr="00A62343">
        <w:rPr>
          <w:rFonts w:ascii="Verdana" w:hAnsi="Verdana"/>
          <w:bCs/>
          <w:smallCaps/>
          <w:sz w:val="22"/>
          <w:szCs w:val="22"/>
        </w:rPr>
        <w:t xml:space="preserve">Partes Promoventes </w:t>
      </w:r>
      <w:r w:rsidRPr="00A62343">
        <w:rPr>
          <w:rFonts w:ascii="Verdana" w:hAnsi="Verdana" w:cs="Arial"/>
          <w:sz w:val="22"/>
          <w:szCs w:val="22"/>
        </w:rPr>
        <w:t xml:space="preserve">para </w:t>
      </w:r>
      <w:r w:rsidR="002F3F29" w:rsidRPr="00A62343">
        <w:rPr>
          <w:rFonts w:ascii="Verdana" w:hAnsi="Verdana" w:cs="Arial"/>
          <w:sz w:val="22"/>
          <w:szCs w:val="22"/>
        </w:rPr>
        <w:t xml:space="preserve">presentar </w:t>
      </w:r>
      <w:r w:rsidRPr="00A62343">
        <w:rPr>
          <w:rFonts w:ascii="Verdana" w:hAnsi="Verdana" w:cs="Arial"/>
          <w:sz w:val="22"/>
          <w:szCs w:val="22"/>
        </w:rPr>
        <w:t>los juicios con el objeto de que se tutelen sus derechos conforme a las normas constitucionales y sus sistemas normativos.</w:t>
      </w:r>
    </w:p>
    <w:p w14:paraId="11990F8F" w14:textId="5F6A948E" w:rsidR="00260ED8" w:rsidRPr="00A62343" w:rsidRDefault="00DE4A9C" w:rsidP="001F54E1">
      <w:pPr>
        <w:tabs>
          <w:tab w:val="left" w:pos="2955"/>
        </w:tabs>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Finalmente, del análisis oficioso este </w:t>
      </w:r>
      <w:r w:rsidRPr="00A62343">
        <w:rPr>
          <w:rFonts w:ascii="Verdana" w:hAnsi="Verdana" w:cs="Arial"/>
          <w:smallCaps/>
          <w:sz w:val="22"/>
          <w:szCs w:val="22"/>
        </w:rPr>
        <w:t>Tribunal Electoral,</w:t>
      </w:r>
      <w:r w:rsidRPr="00A62343">
        <w:rPr>
          <w:rFonts w:ascii="Verdana" w:hAnsi="Verdana" w:cs="Arial"/>
          <w:sz w:val="22"/>
          <w:szCs w:val="22"/>
        </w:rPr>
        <w:t xml:space="preserve"> no advierte causal de </w:t>
      </w:r>
      <w:proofErr w:type="spellStart"/>
      <w:r w:rsidRPr="00A62343">
        <w:rPr>
          <w:rFonts w:ascii="Verdana" w:hAnsi="Verdana" w:cs="Arial"/>
          <w:sz w:val="22"/>
          <w:szCs w:val="22"/>
        </w:rPr>
        <w:t>desechamiento</w:t>
      </w:r>
      <w:proofErr w:type="spellEnd"/>
      <w:r w:rsidRPr="00A62343">
        <w:rPr>
          <w:rFonts w:ascii="Verdana" w:hAnsi="Verdana" w:cs="Arial"/>
          <w:sz w:val="22"/>
          <w:szCs w:val="22"/>
        </w:rPr>
        <w:t xml:space="preserve">, improcedencia o sobreseimiento que impida el análisis de fondo. </w:t>
      </w:r>
    </w:p>
    <w:p w14:paraId="733B43FC" w14:textId="77777777" w:rsidR="00BA63AD" w:rsidRPr="00A62343" w:rsidRDefault="00BA63AD" w:rsidP="001F54E1">
      <w:pPr>
        <w:keepNext/>
        <w:pBdr>
          <w:top w:val="nil"/>
          <w:left w:val="nil"/>
          <w:bottom w:val="nil"/>
          <w:right w:val="nil"/>
          <w:between w:val="nil"/>
        </w:pBdr>
        <w:spacing w:before="100" w:beforeAutospacing="1" w:after="100" w:afterAutospacing="1" w:line="360" w:lineRule="auto"/>
        <w:rPr>
          <w:rFonts w:ascii="Verdana" w:eastAsia="Arial" w:hAnsi="Verdana" w:cs="Arial"/>
          <w:b/>
          <w:smallCaps/>
          <w:color w:val="000000"/>
          <w:sz w:val="22"/>
          <w:szCs w:val="22"/>
        </w:rPr>
      </w:pPr>
      <w:r w:rsidRPr="00A62343">
        <w:rPr>
          <w:rFonts w:ascii="Verdana" w:eastAsia="Arial" w:hAnsi="Verdana" w:cs="Arial"/>
          <w:b/>
          <w:color w:val="000000"/>
          <w:sz w:val="22"/>
          <w:szCs w:val="22"/>
        </w:rPr>
        <w:t xml:space="preserve">TERCERA. Procedencia. </w:t>
      </w:r>
    </w:p>
    <w:p w14:paraId="43AC15A7" w14:textId="0C322F51" w:rsidR="00BA63AD" w:rsidRPr="00A62343" w:rsidRDefault="00723424" w:rsidP="001F54E1">
      <w:pPr>
        <w:spacing w:before="100" w:beforeAutospacing="1" w:after="100" w:afterAutospacing="1" w:line="360" w:lineRule="auto"/>
        <w:jc w:val="both"/>
        <w:rPr>
          <w:rFonts w:ascii="Verdana" w:eastAsia="Arial" w:hAnsi="Verdana" w:cs="Arial"/>
          <w:sz w:val="22"/>
          <w:szCs w:val="22"/>
        </w:rPr>
      </w:pPr>
      <w:r w:rsidRPr="00A62343">
        <w:rPr>
          <w:rFonts w:ascii="Verdana" w:eastAsia="Arial" w:hAnsi="Verdana" w:cs="Arial"/>
          <w:sz w:val="22"/>
          <w:szCs w:val="22"/>
        </w:rPr>
        <w:t xml:space="preserve">Respecto a las demandas de los </w:t>
      </w:r>
      <w:r w:rsidR="00661078" w:rsidRPr="00A62343">
        <w:rPr>
          <w:rFonts w:ascii="Verdana" w:eastAsia="Arial" w:hAnsi="Verdana" w:cs="Arial"/>
          <w:sz w:val="22"/>
          <w:szCs w:val="22"/>
        </w:rPr>
        <w:t>dos</w:t>
      </w:r>
      <w:r w:rsidRPr="00A62343">
        <w:rPr>
          <w:rFonts w:ascii="Verdana" w:eastAsia="Arial" w:hAnsi="Verdana" w:cs="Arial"/>
          <w:sz w:val="22"/>
          <w:szCs w:val="22"/>
        </w:rPr>
        <w:t xml:space="preserve"> Recursos de Apelación, así como de los </w:t>
      </w:r>
      <w:r w:rsidR="00661078" w:rsidRPr="00A62343">
        <w:rPr>
          <w:rFonts w:ascii="Verdana" w:eastAsia="Arial" w:hAnsi="Verdana" w:cs="Arial"/>
          <w:sz w:val="22"/>
          <w:szCs w:val="22"/>
        </w:rPr>
        <w:t>veintiún</w:t>
      </w:r>
      <w:r w:rsidRPr="00A62343">
        <w:rPr>
          <w:rFonts w:ascii="Verdana" w:eastAsia="Arial" w:hAnsi="Verdana" w:cs="Arial"/>
          <w:sz w:val="22"/>
          <w:szCs w:val="22"/>
        </w:rPr>
        <w:t xml:space="preserve"> Juicios para la Protección de los Derechos Político-Electorales </w:t>
      </w:r>
      <w:r w:rsidRPr="00A62343">
        <w:rPr>
          <w:rFonts w:ascii="Verdana" w:eastAsia="Arial" w:hAnsi="Verdana" w:cs="Arial"/>
          <w:sz w:val="22"/>
          <w:szCs w:val="22"/>
        </w:rPr>
        <w:lastRenderedPageBreak/>
        <w:t xml:space="preserve">de la Ciudadanía, se considera que </w:t>
      </w:r>
      <w:r w:rsidR="00BA63AD" w:rsidRPr="00A62343">
        <w:rPr>
          <w:rFonts w:ascii="Verdana" w:eastAsia="Arial" w:hAnsi="Verdana" w:cs="Arial"/>
          <w:sz w:val="22"/>
          <w:szCs w:val="22"/>
        </w:rPr>
        <w:t>cumple</w:t>
      </w:r>
      <w:r w:rsidR="001A27FB" w:rsidRPr="00A62343">
        <w:rPr>
          <w:rFonts w:ascii="Verdana" w:eastAsia="Arial" w:hAnsi="Verdana" w:cs="Arial"/>
          <w:sz w:val="22"/>
          <w:szCs w:val="22"/>
        </w:rPr>
        <w:t>n</w:t>
      </w:r>
      <w:r w:rsidR="00BA63AD" w:rsidRPr="00A62343">
        <w:rPr>
          <w:rFonts w:ascii="Verdana" w:eastAsia="Arial" w:hAnsi="Verdana" w:cs="Arial"/>
          <w:sz w:val="22"/>
          <w:szCs w:val="22"/>
        </w:rPr>
        <w:t xml:space="preserve"> con los requisitos de procedencia previstos en los artículos 302 y 307, fracci</w:t>
      </w:r>
      <w:r w:rsidR="005B3402" w:rsidRPr="00A62343">
        <w:rPr>
          <w:rFonts w:ascii="Verdana" w:eastAsia="Arial" w:hAnsi="Verdana" w:cs="Arial"/>
          <w:sz w:val="22"/>
          <w:szCs w:val="22"/>
        </w:rPr>
        <w:t>ones</w:t>
      </w:r>
      <w:r w:rsidR="00BA63AD" w:rsidRPr="00A62343">
        <w:rPr>
          <w:rFonts w:ascii="Verdana" w:eastAsia="Arial" w:hAnsi="Verdana" w:cs="Arial"/>
          <w:sz w:val="22"/>
          <w:szCs w:val="22"/>
        </w:rPr>
        <w:t xml:space="preserve"> </w:t>
      </w:r>
      <w:r w:rsidR="006C10C0" w:rsidRPr="00A62343">
        <w:rPr>
          <w:rFonts w:ascii="Verdana" w:eastAsia="Arial" w:hAnsi="Verdana" w:cs="Arial"/>
          <w:sz w:val="22"/>
          <w:szCs w:val="22"/>
        </w:rPr>
        <w:t>I</w:t>
      </w:r>
      <w:r w:rsidR="005B3402" w:rsidRPr="00A62343">
        <w:rPr>
          <w:rFonts w:ascii="Verdana" w:eastAsia="Arial" w:hAnsi="Verdana" w:cs="Arial"/>
          <w:sz w:val="22"/>
          <w:szCs w:val="22"/>
        </w:rPr>
        <w:t xml:space="preserve"> y II</w:t>
      </w:r>
      <w:r w:rsidR="00BA63AD" w:rsidRPr="00A62343">
        <w:rPr>
          <w:rFonts w:ascii="Verdana" w:eastAsia="Arial" w:hAnsi="Verdana" w:cs="Arial"/>
          <w:sz w:val="22"/>
          <w:szCs w:val="22"/>
        </w:rPr>
        <w:t xml:space="preserve">, del </w:t>
      </w:r>
      <w:r w:rsidR="00BA63AD" w:rsidRPr="00A62343">
        <w:rPr>
          <w:rFonts w:ascii="Verdana" w:eastAsia="Arial" w:hAnsi="Verdana" w:cs="Arial"/>
          <w:smallCaps/>
          <w:sz w:val="22"/>
          <w:szCs w:val="22"/>
        </w:rPr>
        <w:t>Código Electoral</w:t>
      </w:r>
      <w:r w:rsidRPr="00A62343">
        <w:rPr>
          <w:rFonts w:ascii="Verdana" w:eastAsia="Arial" w:hAnsi="Verdana" w:cs="Arial"/>
          <w:sz w:val="22"/>
          <w:szCs w:val="22"/>
        </w:rPr>
        <w:t xml:space="preserve">, </w:t>
      </w:r>
      <w:r w:rsidR="00B707D4" w:rsidRPr="00A62343">
        <w:rPr>
          <w:rFonts w:ascii="Verdana" w:eastAsia="Arial" w:hAnsi="Verdana" w:cs="Arial"/>
          <w:sz w:val="22"/>
          <w:szCs w:val="22"/>
        </w:rPr>
        <w:t>así como con el artículo 4° de los Lineamientos para la tramitación, sustanciación y resolución del Juicio para la Protección de los Derechos Político-Electorales del Ciudadano, el Juicio Electoral, y el Asunto General, competencia del Tribunal Electoral del Estado de Aguascalientes,</w:t>
      </w:r>
      <w:r w:rsidR="00B707D4" w:rsidRPr="00A62343">
        <w:rPr>
          <w:rStyle w:val="Refdenotaalpie"/>
          <w:rFonts w:ascii="Verdana" w:eastAsia="Arial" w:hAnsi="Verdana" w:cs="Arial"/>
          <w:sz w:val="22"/>
          <w:szCs w:val="22"/>
        </w:rPr>
        <w:footnoteReference w:id="14"/>
      </w:r>
      <w:r w:rsidR="00B707D4" w:rsidRPr="00A62343">
        <w:rPr>
          <w:rFonts w:ascii="Verdana" w:eastAsia="Arial" w:hAnsi="Verdana" w:cs="Arial"/>
          <w:sz w:val="22"/>
          <w:szCs w:val="22"/>
        </w:rPr>
        <w:t xml:space="preserve"> </w:t>
      </w:r>
      <w:r w:rsidRPr="00A62343">
        <w:rPr>
          <w:rFonts w:ascii="Verdana" w:eastAsia="Arial" w:hAnsi="Verdana" w:cs="Arial"/>
          <w:sz w:val="22"/>
          <w:szCs w:val="22"/>
        </w:rPr>
        <w:t>de acuerdo con lo siguiente:</w:t>
      </w:r>
      <w:r w:rsidR="00C32EFD" w:rsidRPr="00A62343">
        <w:rPr>
          <w:rFonts w:ascii="Verdana" w:eastAsia="Arial" w:hAnsi="Verdana" w:cs="Arial"/>
          <w:sz w:val="22"/>
          <w:szCs w:val="22"/>
        </w:rPr>
        <w:t xml:space="preserve"> </w:t>
      </w:r>
    </w:p>
    <w:p w14:paraId="3DF83224" w14:textId="24CB9AE8" w:rsidR="006C10C0" w:rsidRPr="00A62343" w:rsidRDefault="00BA63AD" w:rsidP="001F54E1">
      <w:pPr>
        <w:spacing w:before="100" w:beforeAutospacing="1" w:after="100" w:afterAutospacing="1" w:line="360" w:lineRule="auto"/>
        <w:jc w:val="both"/>
        <w:rPr>
          <w:rFonts w:ascii="Verdana" w:hAnsi="Verdana"/>
          <w:sz w:val="22"/>
          <w:szCs w:val="22"/>
        </w:rPr>
      </w:pPr>
      <w:r w:rsidRPr="00A62343">
        <w:rPr>
          <w:rFonts w:ascii="Verdana" w:eastAsia="Arial" w:hAnsi="Verdana" w:cs="Arial"/>
          <w:b/>
          <w:sz w:val="22"/>
          <w:szCs w:val="22"/>
        </w:rPr>
        <w:t xml:space="preserve">1. Forma. </w:t>
      </w:r>
      <w:r w:rsidR="003815A5" w:rsidRPr="00A62343">
        <w:rPr>
          <w:rFonts w:ascii="Verdana" w:eastAsia="Arial" w:hAnsi="Verdana" w:cs="Arial"/>
          <w:sz w:val="22"/>
          <w:szCs w:val="22"/>
        </w:rPr>
        <w:t>L</w:t>
      </w:r>
      <w:r w:rsidR="00C32EFD" w:rsidRPr="00A62343">
        <w:rPr>
          <w:rFonts w:ascii="Verdana" w:eastAsia="Arial" w:hAnsi="Verdana" w:cs="Arial"/>
          <w:sz w:val="22"/>
          <w:szCs w:val="22"/>
        </w:rPr>
        <w:t xml:space="preserve">as demandas </w:t>
      </w:r>
      <w:r w:rsidRPr="00A62343">
        <w:rPr>
          <w:rFonts w:ascii="Verdana" w:eastAsia="Arial" w:hAnsi="Verdana" w:cs="Arial"/>
          <w:sz w:val="22"/>
          <w:szCs w:val="22"/>
        </w:rPr>
        <w:t>cumple</w:t>
      </w:r>
      <w:r w:rsidR="003815A5" w:rsidRPr="00A62343">
        <w:rPr>
          <w:rFonts w:ascii="Verdana" w:eastAsia="Arial" w:hAnsi="Verdana" w:cs="Arial"/>
          <w:sz w:val="22"/>
          <w:szCs w:val="22"/>
        </w:rPr>
        <w:t>n</w:t>
      </w:r>
      <w:r w:rsidRPr="00A62343">
        <w:rPr>
          <w:rFonts w:ascii="Verdana" w:eastAsia="Arial" w:hAnsi="Verdana" w:cs="Arial"/>
          <w:sz w:val="22"/>
          <w:szCs w:val="22"/>
        </w:rPr>
        <w:t xml:space="preserve"> el presente requisito porque: </w:t>
      </w:r>
      <w:r w:rsidRPr="00A62343">
        <w:rPr>
          <w:rFonts w:ascii="Verdana" w:eastAsia="Arial" w:hAnsi="Verdana" w:cs="Arial"/>
          <w:b/>
          <w:iCs/>
          <w:sz w:val="22"/>
          <w:szCs w:val="22"/>
        </w:rPr>
        <w:t xml:space="preserve">a) </w:t>
      </w:r>
      <w:r w:rsidRPr="00A62343">
        <w:rPr>
          <w:rFonts w:ascii="Verdana" w:eastAsia="Arial" w:hAnsi="Verdana" w:cs="Arial"/>
          <w:iCs/>
          <w:sz w:val="22"/>
          <w:szCs w:val="22"/>
        </w:rPr>
        <w:t>fue</w:t>
      </w:r>
      <w:r w:rsidR="003815A5" w:rsidRPr="00A62343">
        <w:rPr>
          <w:rFonts w:ascii="Verdana" w:eastAsia="Arial" w:hAnsi="Verdana" w:cs="Arial"/>
          <w:iCs/>
          <w:sz w:val="22"/>
          <w:szCs w:val="22"/>
        </w:rPr>
        <w:t>ron</w:t>
      </w:r>
      <w:r w:rsidRPr="00A62343">
        <w:rPr>
          <w:rFonts w:ascii="Verdana" w:eastAsia="Arial" w:hAnsi="Verdana" w:cs="Arial"/>
          <w:iCs/>
          <w:sz w:val="22"/>
          <w:szCs w:val="22"/>
        </w:rPr>
        <w:t xml:space="preserve"> presentad</w:t>
      </w:r>
      <w:r w:rsidR="00C32EFD" w:rsidRPr="00A62343">
        <w:rPr>
          <w:rFonts w:ascii="Verdana" w:eastAsia="Arial" w:hAnsi="Verdana" w:cs="Arial"/>
          <w:iCs/>
          <w:sz w:val="22"/>
          <w:szCs w:val="22"/>
        </w:rPr>
        <w:t>a</w:t>
      </w:r>
      <w:r w:rsidR="003815A5" w:rsidRPr="00A62343">
        <w:rPr>
          <w:rFonts w:ascii="Verdana" w:eastAsia="Arial" w:hAnsi="Verdana" w:cs="Arial"/>
          <w:iCs/>
          <w:sz w:val="22"/>
          <w:szCs w:val="22"/>
        </w:rPr>
        <w:t>s</w:t>
      </w:r>
      <w:r w:rsidRPr="00A62343">
        <w:rPr>
          <w:rFonts w:ascii="Verdana" w:eastAsia="Arial" w:hAnsi="Verdana" w:cs="Arial"/>
          <w:iCs/>
          <w:sz w:val="22"/>
          <w:szCs w:val="22"/>
        </w:rPr>
        <w:t xml:space="preserve"> por escrito ante la </w:t>
      </w:r>
      <w:r w:rsidRPr="00A62343">
        <w:rPr>
          <w:rFonts w:ascii="Verdana" w:eastAsia="Arial" w:hAnsi="Verdana" w:cs="Arial"/>
          <w:iCs/>
          <w:smallCaps/>
          <w:sz w:val="22"/>
          <w:szCs w:val="22"/>
        </w:rPr>
        <w:t>Autoridad Responsable</w:t>
      </w:r>
      <w:r w:rsidRPr="00A62343">
        <w:rPr>
          <w:rFonts w:ascii="Verdana" w:eastAsia="Arial" w:hAnsi="Verdana" w:cs="Arial"/>
          <w:iCs/>
          <w:sz w:val="22"/>
          <w:szCs w:val="22"/>
        </w:rPr>
        <w:t xml:space="preserve">, </w:t>
      </w:r>
      <w:r w:rsidRPr="00A62343">
        <w:rPr>
          <w:rFonts w:ascii="Verdana" w:eastAsia="Arial" w:hAnsi="Verdana" w:cs="Arial"/>
          <w:b/>
          <w:iCs/>
          <w:sz w:val="22"/>
          <w:szCs w:val="22"/>
        </w:rPr>
        <w:t>b)</w:t>
      </w:r>
      <w:r w:rsidRPr="00A62343">
        <w:rPr>
          <w:rFonts w:ascii="Verdana" w:eastAsia="Arial" w:hAnsi="Verdana" w:cs="Arial"/>
          <w:iCs/>
          <w:sz w:val="22"/>
          <w:szCs w:val="22"/>
        </w:rPr>
        <w:t xml:space="preserve"> hace</w:t>
      </w:r>
      <w:r w:rsidR="003815A5" w:rsidRPr="00A62343">
        <w:rPr>
          <w:rFonts w:ascii="Verdana" w:eastAsia="Arial" w:hAnsi="Verdana" w:cs="Arial"/>
          <w:iCs/>
          <w:sz w:val="22"/>
          <w:szCs w:val="22"/>
        </w:rPr>
        <w:t>n</w:t>
      </w:r>
      <w:r w:rsidRPr="00A62343">
        <w:rPr>
          <w:rFonts w:ascii="Verdana" w:eastAsia="Arial" w:hAnsi="Verdana" w:cs="Arial"/>
          <w:iCs/>
          <w:sz w:val="22"/>
          <w:szCs w:val="22"/>
        </w:rPr>
        <w:t xml:space="preserve"> constar el nombre de la</w:t>
      </w:r>
      <w:r w:rsidR="005F27A8" w:rsidRPr="00A62343">
        <w:rPr>
          <w:rFonts w:ascii="Verdana" w:eastAsia="Arial" w:hAnsi="Verdana" w:cs="Arial"/>
          <w:iCs/>
          <w:sz w:val="22"/>
          <w:szCs w:val="22"/>
        </w:rPr>
        <w:t xml:space="preserve"> parte impugnante</w:t>
      </w:r>
      <w:r w:rsidRPr="00A62343">
        <w:rPr>
          <w:rFonts w:ascii="Verdana" w:eastAsia="Arial" w:hAnsi="Verdana" w:cs="Arial"/>
          <w:iCs/>
          <w:sz w:val="22"/>
          <w:szCs w:val="22"/>
        </w:rPr>
        <w:t xml:space="preserve">, </w:t>
      </w:r>
      <w:r w:rsidR="0087796C" w:rsidRPr="00A62343">
        <w:rPr>
          <w:rFonts w:ascii="Verdana" w:eastAsia="Arial" w:hAnsi="Verdana" w:cs="Arial"/>
          <w:b/>
          <w:bCs/>
          <w:iCs/>
          <w:sz w:val="22"/>
          <w:szCs w:val="22"/>
        </w:rPr>
        <w:t>c</w:t>
      </w:r>
      <w:r w:rsidR="006C10C0" w:rsidRPr="00A62343">
        <w:rPr>
          <w:rFonts w:ascii="Verdana" w:eastAsia="Arial" w:hAnsi="Verdana" w:cs="Arial"/>
          <w:b/>
          <w:bCs/>
          <w:iCs/>
          <w:sz w:val="22"/>
          <w:szCs w:val="22"/>
        </w:rPr>
        <w:t>)</w:t>
      </w:r>
      <w:r w:rsidR="004D4151" w:rsidRPr="00A62343">
        <w:rPr>
          <w:rFonts w:ascii="Verdana" w:eastAsia="Arial" w:hAnsi="Verdana" w:cs="Arial"/>
          <w:b/>
          <w:bCs/>
          <w:iCs/>
          <w:sz w:val="22"/>
          <w:szCs w:val="22"/>
        </w:rPr>
        <w:t xml:space="preserve"> </w:t>
      </w:r>
      <w:r w:rsidR="004D4151" w:rsidRPr="00A62343">
        <w:rPr>
          <w:rFonts w:ascii="Verdana" w:eastAsia="Arial" w:hAnsi="Verdana" w:cs="Arial"/>
          <w:iCs/>
          <w:sz w:val="22"/>
          <w:szCs w:val="22"/>
        </w:rPr>
        <w:t>identific</w:t>
      </w:r>
      <w:r w:rsidR="001F10EB" w:rsidRPr="00A62343">
        <w:rPr>
          <w:rFonts w:ascii="Verdana" w:eastAsia="Arial" w:hAnsi="Verdana" w:cs="Arial"/>
          <w:iCs/>
          <w:sz w:val="22"/>
          <w:szCs w:val="22"/>
        </w:rPr>
        <w:t>a</w:t>
      </w:r>
      <w:r w:rsidR="003815A5" w:rsidRPr="00A62343">
        <w:rPr>
          <w:rFonts w:ascii="Verdana" w:eastAsia="Arial" w:hAnsi="Verdana" w:cs="Arial"/>
          <w:iCs/>
          <w:sz w:val="22"/>
          <w:szCs w:val="22"/>
        </w:rPr>
        <w:t>n</w:t>
      </w:r>
      <w:r w:rsidR="004D4151" w:rsidRPr="00A62343">
        <w:rPr>
          <w:rFonts w:ascii="Verdana" w:eastAsia="Arial" w:hAnsi="Verdana" w:cs="Arial"/>
          <w:iCs/>
          <w:sz w:val="22"/>
          <w:szCs w:val="22"/>
        </w:rPr>
        <w:t xml:space="preserve"> </w:t>
      </w:r>
      <w:r w:rsidRPr="00A62343">
        <w:rPr>
          <w:rFonts w:ascii="Verdana" w:eastAsia="Arial" w:hAnsi="Verdana" w:cs="Arial"/>
          <w:iCs/>
          <w:sz w:val="22"/>
          <w:szCs w:val="22"/>
        </w:rPr>
        <w:t>el acto impugnado;</w:t>
      </w:r>
      <w:r w:rsidR="0087796C" w:rsidRPr="00A62343">
        <w:rPr>
          <w:rFonts w:ascii="Verdana" w:eastAsia="Arial" w:hAnsi="Verdana" w:cs="Arial"/>
          <w:iCs/>
          <w:sz w:val="22"/>
          <w:szCs w:val="22"/>
        </w:rPr>
        <w:t xml:space="preserve"> y,</w:t>
      </w:r>
      <w:r w:rsidRPr="00A62343">
        <w:rPr>
          <w:rFonts w:ascii="Verdana" w:eastAsia="Arial" w:hAnsi="Verdana" w:cs="Arial"/>
          <w:iCs/>
          <w:sz w:val="22"/>
          <w:szCs w:val="22"/>
        </w:rPr>
        <w:t xml:space="preserve"> </w:t>
      </w:r>
      <w:r w:rsidR="0087796C" w:rsidRPr="00A62343">
        <w:rPr>
          <w:rFonts w:ascii="Verdana" w:eastAsia="Arial" w:hAnsi="Verdana" w:cs="Arial"/>
          <w:b/>
          <w:iCs/>
          <w:sz w:val="22"/>
          <w:szCs w:val="22"/>
        </w:rPr>
        <w:t>d</w:t>
      </w:r>
      <w:r w:rsidRPr="00A62343">
        <w:rPr>
          <w:rFonts w:ascii="Verdana" w:eastAsia="Arial" w:hAnsi="Verdana" w:cs="Arial"/>
          <w:b/>
          <w:iCs/>
          <w:sz w:val="22"/>
          <w:szCs w:val="22"/>
        </w:rPr>
        <w:t>)</w:t>
      </w:r>
      <w:r w:rsidRPr="00A62343">
        <w:rPr>
          <w:rFonts w:ascii="Verdana" w:eastAsia="Arial" w:hAnsi="Verdana" w:cs="Arial"/>
          <w:iCs/>
          <w:sz w:val="22"/>
          <w:szCs w:val="22"/>
        </w:rPr>
        <w:t xml:space="preserve"> se enuncian los hechos y agravios en los que </w:t>
      </w:r>
      <w:r w:rsidR="004D4151" w:rsidRPr="00A62343">
        <w:rPr>
          <w:rFonts w:ascii="Verdana" w:eastAsia="Arial" w:hAnsi="Verdana" w:cs="Arial"/>
          <w:iCs/>
          <w:sz w:val="22"/>
          <w:szCs w:val="22"/>
        </w:rPr>
        <w:t xml:space="preserve">se </w:t>
      </w:r>
      <w:r w:rsidRPr="00A62343">
        <w:rPr>
          <w:rFonts w:ascii="Verdana" w:eastAsia="Arial" w:hAnsi="Verdana" w:cs="Arial"/>
          <w:iCs/>
          <w:sz w:val="22"/>
          <w:szCs w:val="22"/>
        </w:rPr>
        <w:t>basa su impugnación, así como los preceptos presuntamente violados</w:t>
      </w:r>
      <w:r w:rsidR="006C10C0" w:rsidRPr="00A62343">
        <w:rPr>
          <w:rFonts w:ascii="Verdana" w:hAnsi="Verdana"/>
          <w:sz w:val="22"/>
          <w:szCs w:val="22"/>
        </w:rPr>
        <w:t>.</w:t>
      </w:r>
    </w:p>
    <w:p w14:paraId="3DC6BA21" w14:textId="77777777" w:rsidR="00563E9E" w:rsidRPr="00A62343" w:rsidRDefault="00BA63AD" w:rsidP="001F54E1">
      <w:pPr>
        <w:pBdr>
          <w:top w:val="nil"/>
          <w:left w:val="nil"/>
          <w:bottom w:val="nil"/>
          <w:right w:val="nil"/>
          <w:between w:val="nil"/>
        </w:pBd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b/>
          <w:color w:val="000000"/>
          <w:sz w:val="22"/>
          <w:szCs w:val="22"/>
        </w:rPr>
        <w:t>2. Oportunidad</w:t>
      </w:r>
      <w:r w:rsidR="003815A5" w:rsidRPr="00A62343">
        <w:rPr>
          <w:rFonts w:ascii="Verdana" w:eastAsia="Arial" w:hAnsi="Verdana" w:cs="Arial"/>
          <w:color w:val="000000"/>
          <w:sz w:val="22"/>
          <w:szCs w:val="22"/>
        </w:rPr>
        <w:t>. Los</w:t>
      </w:r>
      <w:r w:rsidRPr="00A62343">
        <w:rPr>
          <w:rFonts w:ascii="Verdana" w:eastAsia="Arial" w:hAnsi="Verdana" w:cs="Arial"/>
          <w:color w:val="000000"/>
          <w:sz w:val="22"/>
          <w:szCs w:val="22"/>
        </w:rPr>
        <w:t xml:space="preserve"> medio</w:t>
      </w:r>
      <w:r w:rsidR="003815A5" w:rsidRPr="00A62343">
        <w:rPr>
          <w:rFonts w:ascii="Verdana" w:eastAsia="Arial" w:hAnsi="Verdana" w:cs="Arial"/>
          <w:color w:val="000000"/>
          <w:sz w:val="22"/>
          <w:szCs w:val="22"/>
        </w:rPr>
        <w:t>s</w:t>
      </w:r>
      <w:r w:rsidRPr="00A62343">
        <w:rPr>
          <w:rFonts w:ascii="Verdana" w:eastAsia="Arial" w:hAnsi="Verdana" w:cs="Arial"/>
          <w:color w:val="000000"/>
          <w:sz w:val="22"/>
          <w:szCs w:val="22"/>
        </w:rPr>
        <w:t xml:space="preserve"> de impugnación fue</w:t>
      </w:r>
      <w:r w:rsidR="003815A5" w:rsidRPr="00A62343">
        <w:rPr>
          <w:rFonts w:ascii="Verdana" w:eastAsia="Arial" w:hAnsi="Verdana" w:cs="Arial"/>
          <w:color w:val="000000"/>
          <w:sz w:val="22"/>
          <w:szCs w:val="22"/>
        </w:rPr>
        <w:t>ron</w:t>
      </w:r>
      <w:r w:rsidRPr="00A62343">
        <w:rPr>
          <w:rFonts w:ascii="Verdana" w:eastAsia="Arial" w:hAnsi="Verdana" w:cs="Arial"/>
          <w:color w:val="000000"/>
          <w:sz w:val="22"/>
          <w:szCs w:val="22"/>
        </w:rPr>
        <w:t xml:space="preserve"> presentado</w:t>
      </w:r>
      <w:r w:rsidR="003815A5" w:rsidRPr="00A62343">
        <w:rPr>
          <w:rFonts w:ascii="Verdana" w:eastAsia="Arial" w:hAnsi="Verdana" w:cs="Arial"/>
          <w:color w:val="000000"/>
          <w:sz w:val="22"/>
          <w:szCs w:val="22"/>
        </w:rPr>
        <w:t>s</w:t>
      </w:r>
      <w:r w:rsidRPr="00A62343">
        <w:rPr>
          <w:rFonts w:ascii="Verdana" w:eastAsia="Arial" w:hAnsi="Verdana" w:cs="Arial"/>
          <w:color w:val="000000"/>
          <w:sz w:val="22"/>
          <w:szCs w:val="22"/>
        </w:rPr>
        <w:t xml:space="preserve"> en tiempo y forma, </w:t>
      </w:r>
      <w:r w:rsidR="00563E9E" w:rsidRPr="00A62343">
        <w:rPr>
          <w:rFonts w:ascii="Verdana" w:eastAsia="Arial" w:hAnsi="Verdana" w:cs="Arial"/>
          <w:color w:val="000000"/>
          <w:sz w:val="22"/>
          <w:szCs w:val="22"/>
        </w:rPr>
        <w:t>como se explica a continuación:</w:t>
      </w:r>
    </w:p>
    <w:p w14:paraId="106D7EBB" w14:textId="4C0B6C8D" w:rsidR="00563E9E" w:rsidRPr="00A62343" w:rsidRDefault="00563E9E" w:rsidP="001F54E1">
      <w:pPr>
        <w:pBdr>
          <w:top w:val="nil"/>
          <w:left w:val="nil"/>
          <w:bottom w:val="nil"/>
          <w:right w:val="nil"/>
          <w:between w:val="nil"/>
        </w:pBdr>
        <w:spacing w:before="100" w:beforeAutospacing="1" w:after="100" w:afterAutospacing="1" w:line="360" w:lineRule="auto"/>
        <w:jc w:val="both"/>
        <w:rPr>
          <w:rFonts w:ascii="Verdana" w:eastAsia="Arial" w:hAnsi="Verdana" w:cs="Arial"/>
          <w:b/>
          <w:bCs/>
          <w:color w:val="000000"/>
          <w:sz w:val="22"/>
          <w:szCs w:val="22"/>
        </w:rPr>
      </w:pPr>
      <w:r w:rsidRPr="00A62343">
        <w:rPr>
          <w:rFonts w:ascii="Verdana" w:eastAsia="Arial" w:hAnsi="Verdana" w:cs="Arial"/>
          <w:b/>
          <w:bCs/>
          <w:color w:val="000000"/>
          <w:sz w:val="22"/>
          <w:szCs w:val="22"/>
        </w:rPr>
        <w:t xml:space="preserve">Recursos de Apelación </w:t>
      </w:r>
    </w:p>
    <w:p w14:paraId="72440CED" w14:textId="166BE5DD" w:rsidR="00BA63AD" w:rsidRPr="00A62343" w:rsidRDefault="00563E9E" w:rsidP="001F54E1">
      <w:pPr>
        <w:pBdr>
          <w:top w:val="nil"/>
          <w:left w:val="nil"/>
          <w:bottom w:val="nil"/>
          <w:right w:val="nil"/>
          <w:between w:val="nil"/>
        </w:pBd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color w:val="000000"/>
          <w:sz w:val="22"/>
          <w:szCs w:val="22"/>
        </w:rPr>
        <w:t xml:space="preserve">Por cuanto hace a los Recursos de Apelación </w:t>
      </w:r>
      <w:r w:rsidRPr="00A62343">
        <w:rPr>
          <w:rFonts w:ascii="Verdana" w:eastAsia="Arial" w:hAnsi="Verdana" w:cs="Arial"/>
          <w:b/>
          <w:color w:val="000000"/>
          <w:sz w:val="22"/>
          <w:szCs w:val="22"/>
        </w:rPr>
        <w:t>TEEA-RAP-012/2023 y TEEA-RAP-014/2023</w:t>
      </w:r>
      <w:r w:rsidRPr="00A62343">
        <w:rPr>
          <w:rFonts w:ascii="Verdana" w:eastAsia="Arial" w:hAnsi="Verdana" w:cs="Arial"/>
          <w:bCs/>
          <w:color w:val="000000"/>
          <w:sz w:val="22"/>
          <w:szCs w:val="22"/>
        </w:rPr>
        <w:t>, fueron interpuestos</w:t>
      </w:r>
      <w:r w:rsidRPr="00A62343">
        <w:rPr>
          <w:rFonts w:ascii="Verdana" w:eastAsia="Arial" w:hAnsi="Verdana" w:cs="Arial"/>
          <w:b/>
          <w:color w:val="000000"/>
          <w:sz w:val="22"/>
          <w:szCs w:val="22"/>
        </w:rPr>
        <w:t xml:space="preserve"> </w:t>
      </w:r>
      <w:r w:rsidRPr="00A62343">
        <w:rPr>
          <w:rFonts w:ascii="Verdana" w:eastAsia="Arial" w:hAnsi="Verdana" w:cs="Arial"/>
          <w:color w:val="000000"/>
          <w:sz w:val="22"/>
          <w:szCs w:val="22"/>
        </w:rPr>
        <w:t xml:space="preserve">ante la </w:t>
      </w:r>
      <w:r w:rsidRPr="00A62343">
        <w:rPr>
          <w:rFonts w:ascii="Verdana" w:eastAsia="Arial" w:hAnsi="Verdana" w:cs="Arial"/>
          <w:smallCaps/>
          <w:color w:val="000000"/>
          <w:sz w:val="22"/>
          <w:szCs w:val="22"/>
        </w:rPr>
        <w:t>Autoridad Responsable</w:t>
      </w:r>
      <w:r w:rsidRPr="00A62343">
        <w:rPr>
          <w:rFonts w:ascii="Verdana" w:eastAsia="Arial" w:hAnsi="Verdana" w:cs="Arial"/>
          <w:color w:val="000000"/>
          <w:sz w:val="22"/>
          <w:szCs w:val="22"/>
        </w:rPr>
        <w:t xml:space="preserve"> el treinta y uno de octubre, esto es, dentro del plazo legal de cuatro días, </w:t>
      </w:r>
      <w:r w:rsidR="00BA63AD" w:rsidRPr="00A62343">
        <w:rPr>
          <w:rFonts w:ascii="Verdana" w:eastAsia="Arial" w:hAnsi="Verdana" w:cs="Arial"/>
          <w:color w:val="000000"/>
          <w:sz w:val="22"/>
          <w:szCs w:val="22"/>
        </w:rPr>
        <w:t xml:space="preserve">ya que el </w:t>
      </w:r>
      <w:r w:rsidR="00823940" w:rsidRPr="00A62343">
        <w:rPr>
          <w:rFonts w:ascii="Verdana" w:eastAsia="Arial" w:hAnsi="Verdana" w:cs="Arial"/>
          <w:smallCaps/>
          <w:color w:val="000000"/>
          <w:sz w:val="22"/>
          <w:szCs w:val="22"/>
        </w:rPr>
        <w:t xml:space="preserve">Acto </w:t>
      </w:r>
      <w:r w:rsidRPr="00A62343">
        <w:rPr>
          <w:rFonts w:ascii="Verdana" w:eastAsia="Arial" w:hAnsi="Verdana" w:cs="Arial"/>
          <w:smallCaps/>
          <w:color w:val="000000"/>
          <w:sz w:val="22"/>
          <w:szCs w:val="22"/>
        </w:rPr>
        <w:t>Impugnado</w:t>
      </w:r>
      <w:r w:rsidR="00823940" w:rsidRPr="00A62343">
        <w:rPr>
          <w:rFonts w:ascii="Verdana" w:eastAsia="Arial" w:hAnsi="Verdana" w:cs="Arial"/>
          <w:color w:val="000000"/>
          <w:sz w:val="22"/>
          <w:szCs w:val="22"/>
        </w:rPr>
        <w:t xml:space="preserve"> </w:t>
      </w:r>
      <w:r w:rsidRPr="00A62343">
        <w:rPr>
          <w:rFonts w:ascii="Verdana" w:eastAsia="Arial" w:hAnsi="Verdana" w:cs="Arial"/>
          <w:color w:val="000000"/>
          <w:sz w:val="22"/>
          <w:szCs w:val="22"/>
        </w:rPr>
        <w:t xml:space="preserve">les </w:t>
      </w:r>
      <w:r w:rsidR="00BA63AD" w:rsidRPr="00A62343">
        <w:rPr>
          <w:rFonts w:ascii="Verdana" w:eastAsia="Arial" w:hAnsi="Verdana" w:cs="Arial"/>
          <w:color w:val="000000"/>
          <w:sz w:val="22"/>
          <w:szCs w:val="22"/>
        </w:rPr>
        <w:t>fue notificado el</w:t>
      </w:r>
      <w:r w:rsidR="003815A5" w:rsidRPr="00A62343">
        <w:rPr>
          <w:rFonts w:ascii="Verdana" w:eastAsia="Arial" w:hAnsi="Verdana" w:cs="Arial"/>
          <w:color w:val="000000"/>
          <w:sz w:val="22"/>
          <w:szCs w:val="22"/>
        </w:rPr>
        <w:t xml:space="preserve"> veintisiete de octubre</w:t>
      </w:r>
      <w:r w:rsidR="00BA63AD" w:rsidRPr="00A62343">
        <w:rPr>
          <w:rFonts w:ascii="Verdana" w:eastAsia="Arial" w:hAnsi="Verdana" w:cs="Arial"/>
          <w:color w:val="000000"/>
          <w:sz w:val="22"/>
          <w:szCs w:val="22"/>
        </w:rPr>
        <w:t>.</w:t>
      </w:r>
      <w:r w:rsidR="00BA63AD" w:rsidRPr="00A62343">
        <w:rPr>
          <w:rStyle w:val="Refdenotaalpie"/>
          <w:rFonts w:ascii="Verdana" w:eastAsia="Arial" w:hAnsi="Verdana" w:cs="Arial"/>
          <w:color w:val="000000"/>
          <w:sz w:val="22"/>
          <w:szCs w:val="22"/>
        </w:rPr>
        <w:footnoteReference w:id="15"/>
      </w:r>
      <w:r w:rsidR="00BA63AD" w:rsidRPr="00A62343">
        <w:rPr>
          <w:rFonts w:ascii="Verdana" w:eastAsia="Arial" w:hAnsi="Verdana" w:cs="Arial"/>
          <w:color w:val="000000"/>
          <w:sz w:val="22"/>
          <w:szCs w:val="22"/>
        </w:rPr>
        <w:t xml:space="preserve"> </w:t>
      </w:r>
    </w:p>
    <w:p w14:paraId="5182EA77" w14:textId="39C52A97" w:rsidR="00563E9E" w:rsidRPr="00A62343" w:rsidRDefault="00563E9E" w:rsidP="001F54E1">
      <w:pPr>
        <w:pBdr>
          <w:top w:val="nil"/>
          <w:left w:val="nil"/>
          <w:bottom w:val="nil"/>
          <w:right w:val="nil"/>
          <w:between w:val="nil"/>
        </w:pBdr>
        <w:spacing w:before="100" w:beforeAutospacing="1" w:after="100" w:afterAutospacing="1" w:line="360" w:lineRule="auto"/>
        <w:jc w:val="both"/>
        <w:rPr>
          <w:rFonts w:ascii="Verdana" w:eastAsia="Arial" w:hAnsi="Verdana" w:cs="Arial"/>
          <w:b/>
          <w:bCs/>
          <w:color w:val="000000"/>
          <w:sz w:val="22"/>
          <w:szCs w:val="22"/>
        </w:rPr>
      </w:pPr>
      <w:r w:rsidRPr="00A62343">
        <w:rPr>
          <w:rFonts w:ascii="Verdana" w:eastAsia="Arial" w:hAnsi="Verdana" w:cs="Arial"/>
          <w:b/>
          <w:bCs/>
          <w:color w:val="000000"/>
          <w:sz w:val="22"/>
          <w:szCs w:val="22"/>
        </w:rPr>
        <w:t>Juicios para la Protección de los Derechos Político-Electorales de la Ciudadanía (</w:t>
      </w:r>
      <w:r w:rsidR="00661078" w:rsidRPr="00A62343">
        <w:rPr>
          <w:rFonts w:ascii="Verdana" w:eastAsia="Arial" w:hAnsi="Verdana" w:cs="Arial"/>
          <w:b/>
          <w:bCs/>
          <w:color w:val="000000"/>
          <w:sz w:val="22"/>
          <w:szCs w:val="22"/>
        </w:rPr>
        <w:t>veintiún</w:t>
      </w:r>
      <w:r w:rsidRPr="00A62343">
        <w:rPr>
          <w:rFonts w:ascii="Verdana" w:eastAsia="Arial" w:hAnsi="Verdana" w:cs="Arial"/>
          <w:b/>
          <w:bCs/>
          <w:color w:val="000000"/>
          <w:sz w:val="22"/>
          <w:szCs w:val="22"/>
        </w:rPr>
        <w:t xml:space="preserve"> Juicios)</w:t>
      </w:r>
    </w:p>
    <w:p w14:paraId="4B834A94" w14:textId="5BFFB7BF" w:rsidR="00563E9E" w:rsidRPr="00A62343" w:rsidRDefault="0065359E" w:rsidP="001F54E1">
      <w:pPr>
        <w:pBdr>
          <w:top w:val="nil"/>
          <w:left w:val="nil"/>
          <w:bottom w:val="nil"/>
          <w:right w:val="nil"/>
          <w:between w:val="nil"/>
        </w:pBd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color w:val="000000"/>
          <w:sz w:val="22"/>
          <w:szCs w:val="22"/>
        </w:rPr>
        <w:t xml:space="preserve">El </w:t>
      </w:r>
      <w:r w:rsidRPr="00A62343">
        <w:rPr>
          <w:rFonts w:ascii="Verdana" w:eastAsia="Arial" w:hAnsi="Verdana" w:cs="Arial"/>
          <w:smallCaps/>
          <w:color w:val="000000"/>
          <w:sz w:val="22"/>
          <w:szCs w:val="22"/>
        </w:rPr>
        <w:t>Acto Impugnado</w:t>
      </w:r>
      <w:r w:rsidRPr="00A62343">
        <w:rPr>
          <w:rFonts w:ascii="Verdana" w:eastAsia="Arial" w:hAnsi="Verdana" w:cs="Arial"/>
          <w:color w:val="000000"/>
          <w:sz w:val="22"/>
          <w:szCs w:val="22"/>
        </w:rPr>
        <w:t xml:space="preserve"> fue aprobado el veintisiete de octubre y publicado en el Periódico Oficial del Estado de Aguascalientes el </w:t>
      </w:r>
      <w:r w:rsidR="00996384" w:rsidRPr="00A62343">
        <w:rPr>
          <w:rFonts w:ascii="Verdana" w:eastAsia="Arial" w:hAnsi="Verdana" w:cs="Arial"/>
          <w:color w:val="000000"/>
          <w:sz w:val="22"/>
          <w:szCs w:val="22"/>
        </w:rPr>
        <w:t>seis</w:t>
      </w:r>
      <w:r w:rsidRPr="00A62343">
        <w:rPr>
          <w:rFonts w:ascii="Verdana" w:eastAsia="Arial" w:hAnsi="Verdana" w:cs="Arial"/>
          <w:color w:val="000000"/>
          <w:sz w:val="22"/>
          <w:szCs w:val="22"/>
        </w:rPr>
        <w:t xml:space="preserve"> de noviembre;</w:t>
      </w:r>
      <w:r w:rsidR="00996384" w:rsidRPr="00A62343">
        <w:rPr>
          <w:rStyle w:val="Refdenotaalpie"/>
          <w:rFonts w:ascii="Verdana" w:eastAsia="Arial" w:hAnsi="Verdana" w:cs="Arial"/>
          <w:color w:val="000000"/>
          <w:sz w:val="22"/>
          <w:szCs w:val="22"/>
        </w:rPr>
        <w:footnoteReference w:id="16"/>
      </w:r>
      <w:r w:rsidRPr="00A62343">
        <w:rPr>
          <w:rFonts w:ascii="Verdana" w:eastAsia="Arial" w:hAnsi="Verdana" w:cs="Arial"/>
          <w:color w:val="000000"/>
          <w:sz w:val="22"/>
          <w:szCs w:val="22"/>
        </w:rPr>
        <w:t xml:space="preserve"> </w:t>
      </w:r>
      <w:r w:rsidR="00996384" w:rsidRPr="00A62343">
        <w:rPr>
          <w:rFonts w:ascii="Verdana" w:eastAsia="Arial" w:hAnsi="Verdana" w:cs="Arial"/>
          <w:color w:val="000000"/>
          <w:sz w:val="22"/>
          <w:szCs w:val="22"/>
        </w:rPr>
        <w:t xml:space="preserve">las demandas fueron presentadas ante la </w:t>
      </w:r>
      <w:r w:rsidR="00996384" w:rsidRPr="00A62343">
        <w:rPr>
          <w:rFonts w:ascii="Verdana" w:eastAsia="Arial" w:hAnsi="Verdana" w:cs="Arial"/>
          <w:smallCaps/>
          <w:color w:val="000000"/>
          <w:sz w:val="22"/>
          <w:szCs w:val="22"/>
        </w:rPr>
        <w:t>Autoridad Responsable</w:t>
      </w:r>
      <w:r w:rsidR="00996384" w:rsidRPr="00A62343">
        <w:rPr>
          <w:rFonts w:ascii="Verdana" w:eastAsia="Arial" w:hAnsi="Verdana" w:cs="Arial"/>
          <w:color w:val="000000"/>
          <w:sz w:val="22"/>
          <w:szCs w:val="22"/>
        </w:rPr>
        <w:t xml:space="preserve"> el siete de noviembre, </w:t>
      </w:r>
      <w:r w:rsidRPr="00A62343">
        <w:rPr>
          <w:rFonts w:ascii="Verdana" w:eastAsia="Arial" w:hAnsi="Verdana" w:cs="Arial"/>
          <w:color w:val="000000"/>
          <w:sz w:val="22"/>
          <w:szCs w:val="22"/>
        </w:rPr>
        <w:t>por tanto, fueron promovid</w:t>
      </w:r>
      <w:r w:rsidR="00841DF4" w:rsidRPr="00A62343">
        <w:rPr>
          <w:rFonts w:ascii="Verdana" w:eastAsia="Arial" w:hAnsi="Verdana" w:cs="Arial"/>
          <w:color w:val="000000"/>
          <w:sz w:val="22"/>
          <w:szCs w:val="22"/>
        </w:rPr>
        <w:t>a</w:t>
      </w:r>
      <w:r w:rsidRPr="00A62343">
        <w:rPr>
          <w:rFonts w:ascii="Verdana" w:eastAsia="Arial" w:hAnsi="Verdana" w:cs="Arial"/>
          <w:color w:val="000000"/>
          <w:sz w:val="22"/>
          <w:szCs w:val="22"/>
        </w:rPr>
        <w:t>s dentro del plazo legal de cuatro días.</w:t>
      </w:r>
      <w:r w:rsidR="00661078" w:rsidRPr="00A62343">
        <w:rPr>
          <w:rStyle w:val="Refdenotaalpie"/>
          <w:rFonts w:ascii="Verdana" w:eastAsia="Arial" w:hAnsi="Verdana" w:cs="Arial"/>
          <w:color w:val="000000"/>
          <w:sz w:val="22"/>
          <w:szCs w:val="22"/>
        </w:rPr>
        <w:footnoteReference w:id="17"/>
      </w:r>
    </w:p>
    <w:p w14:paraId="37B0DD74" w14:textId="7B46F000" w:rsidR="00BA63AD" w:rsidRPr="00A62343" w:rsidRDefault="00BA63AD" w:rsidP="001F54E1">
      <w:pPr>
        <w:pBdr>
          <w:top w:val="nil"/>
          <w:left w:val="nil"/>
          <w:bottom w:val="nil"/>
          <w:right w:val="nil"/>
          <w:between w:val="nil"/>
        </w:pBdr>
        <w:spacing w:before="100" w:beforeAutospacing="1" w:after="100" w:afterAutospacing="1" w:line="360" w:lineRule="auto"/>
        <w:jc w:val="both"/>
        <w:rPr>
          <w:rFonts w:ascii="Verdana" w:eastAsia="Arial" w:hAnsi="Verdana" w:cs="Arial"/>
          <w:b/>
          <w:color w:val="000000"/>
          <w:sz w:val="22"/>
          <w:szCs w:val="22"/>
        </w:rPr>
      </w:pPr>
      <w:r w:rsidRPr="00A62343">
        <w:rPr>
          <w:rFonts w:ascii="Verdana" w:eastAsia="Arial" w:hAnsi="Verdana" w:cs="Arial"/>
          <w:b/>
          <w:color w:val="000000"/>
          <w:sz w:val="22"/>
          <w:szCs w:val="22"/>
        </w:rPr>
        <w:t xml:space="preserve">3. Legitimación y personería. </w:t>
      </w:r>
      <w:r w:rsidR="0037035A" w:rsidRPr="00A62343">
        <w:rPr>
          <w:rFonts w:ascii="Verdana" w:eastAsia="Arial" w:hAnsi="Verdana" w:cs="Arial"/>
          <w:color w:val="000000"/>
          <w:sz w:val="22"/>
          <w:szCs w:val="22"/>
        </w:rPr>
        <w:t>Los</w:t>
      </w:r>
      <w:r w:rsidRPr="00A62343">
        <w:rPr>
          <w:rFonts w:ascii="Verdana" w:eastAsia="Arial" w:hAnsi="Verdana" w:cs="Arial"/>
          <w:color w:val="000000"/>
          <w:sz w:val="22"/>
          <w:szCs w:val="22"/>
        </w:rPr>
        <w:t xml:space="preserve"> </w:t>
      </w:r>
      <w:r w:rsidR="0065359E" w:rsidRPr="00A62343">
        <w:rPr>
          <w:rFonts w:ascii="Verdana" w:eastAsia="Arial" w:hAnsi="Verdana" w:cs="Arial"/>
          <w:color w:val="000000"/>
          <w:sz w:val="22"/>
          <w:szCs w:val="22"/>
        </w:rPr>
        <w:t xml:space="preserve">Recursos de Apelación </w:t>
      </w:r>
      <w:r w:rsidRPr="00A62343">
        <w:rPr>
          <w:rFonts w:ascii="Verdana" w:eastAsia="Arial" w:hAnsi="Verdana" w:cs="Arial"/>
          <w:color w:val="000000"/>
          <w:sz w:val="22"/>
          <w:szCs w:val="22"/>
        </w:rPr>
        <w:t>fue</w:t>
      </w:r>
      <w:r w:rsidR="0037035A" w:rsidRPr="00A62343">
        <w:rPr>
          <w:rFonts w:ascii="Verdana" w:eastAsia="Arial" w:hAnsi="Verdana" w:cs="Arial"/>
          <w:color w:val="000000"/>
          <w:sz w:val="22"/>
          <w:szCs w:val="22"/>
        </w:rPr>
        <w:t>ron</w:t>
      </w:r>
      <w:r w:rsidRPr="00A62343">
        <w:rPr>
          <w:rFonts w:ascii="Verdana" w:eastAsia="Arial" w:hAnsi="Verdana" w:cs="Arial"/>
          <w:color w:val="000000"/>
          <w:sz w:val="22"/>
          <w:szCs w:val="22"/>
        </w:rPr>
        <w:t xml:space="preserve"> interpuesto</w:t>
      </w:r>
      <w:r w:rsidR="0037035A" w:rsidRPr="00A62343">
        <w:rPr>
          <w:rFonts w:ascii="Verdana" w:eastAsia="Arial" w:hAnsi="Verdana" w:cs="Arial"/>
          <w:color w:val="000000"/>
          <w:sz w:val="22"/>
          <w:szCs w:val="22"/>
        </w:rPr>
        <w:t>s</w:t>
      </w:r>
      <w:r w:rsidRPr="00A62343">
        <w:rPr>
          <w:rFonts w:ascii="Verdana" w:eastAsia="Arial" w:hAnsi="Verdana" w:cs="Arial"/>
          <w:color w:val="000000"/>
          <w:sz w:val="22"/>
          <w:szCs w:val="22"/>
        </w:rPr>
        <w:t xml:space="preserve"> por </w:t>
      </w:r>
      <w:r w:rsidR="0037035A" w:rsidRPr="00A62343">
        <w:rPr>
          <w:rFonts w:ascii="Verdana" w:eastAsia="Arial" w:hAnsi="Verdana" w:cs="Arial"/>
          <w:color w:val="000000"/>
          <w:sz w:val="22"/>
          <w:szCs w:val="22"/>
        </w:rPr>
        <w:t xml:space="preserve">los </w:t>
      </w:r>
      <w:r w:rsidR="0065359E" w:rsidRPr="00A62343">
        <w:rPr>
          <w:rFonts w:ascii="Verdana" w:hAnsi="Verdana" w:cs="Arial"/>
          <w:sz w:val="22"/>
          <w:szCs w:val="22"/>
          <w:lang w:val="es-ES_tradnl"/>
        </w:rPr>
        <w:t xml:space="preserve">Partidos Políticos </w:t>
      </w:r>
      <w:r w:rsidR="005F27A8" w:rsidRPr="00A62343">
        <w:rPr>
          <w:rFonts w:ascii="Verdana" w:eastAsia="Arial" w:hAnsi="Verdana" w:cs="Arial"/>
          <w:smallCaps/>
          <w:color w:val="000000"/>
          <w:sz w:val="22"/>
          <w:szCs w:val="22"/>
        </w:rPr>
        <w:t>PAN</w:t>
      </w:r>
      <w:r w:rsidR="0065359E" w:rsidRPr="00A62343">
        <w:rPr>
          <w:rFonts w:ascii="Verdana" w:hAnsi="Verdana" w:cs="Arial"/>
          <w:sz w:val="22"/>
          <w:szCs w:val="22"/>
          <w:lang w:val="es-ES_tradnl"/>
        </w:rPr>
        <w:t xml:space="preserve"> y</w:t>
      </w:r>
      <w:r w:rsidR="0065359E" w:rsidRPr="00A62343">
        <w:rPr>
          <w:rFonts w:ascii="Verdana" w:eastAsia="Arial" w:hAnsi="Verdana" w:cs="Arial"/>
          <w:bCs/>
          <w:sz w:val="22"/>
          <w:szCs w:val="22"/>
          <w:lang w:val="es-MX"/>
        </w:rPr>
        <w:t xml:space="preserve"> </w:t>
      </w:r>
      <w:r w:rsidR="005F27A8" w:rsidRPr="00A62343">
        <w:rPr>
          <w:rFonts w:ascii="Verdana" w:eastAsia="Arial" w:hAnsi="Verdana" w:cs="Arial"/>
          <w:smallCaps/>
          <w:color w:val="000000"/>
          <w:sz w:val="22"/>
          <w:szCs w:val="22"/>
        </w:rPr>
        <w:t>PRI</w:t>
      </w:r>
      <w:r w:rsidR="0065359E" w:rsidRPr="00A62343">
        <w:rPr>
          <w:rFonts w:ascii="Verdana" w:eastAsia="Arial" w:hAnsi="Verdana" w:cs="Arial"/>
          <w:bCs/>
          <w:sz w:val="22"/>
          <w:szCs w:val="22"/>
          <w:lang w:val="es-MX"/>
        </w:rPr>
        <w:t xml:space="preserve">, por conducto de sus </w:t>
      </w:r>
      <w:r w:rsidR="0065359E" w:rsidRPr="00A62343">
        <w:rPr>
          <w:rFonts w:ascii="Verdana" w:eastAsia="Arial" w:hAnsi="Verdana" w:cs="Arial"/>
          <w:bCs/>
          <w:sz w:val="22"/>
          <w:szCs w:val="22"/>
          <w:lang w:val="es-MX"/>
        </w:rPr>
        <w:lastRenderedPageBreak/>
        <w:t xml:space="preserve">representaciones </w:t>
      </w:r>
      <w:r w:rsidR="007A1C83" w:rsidRPr="00A62343">
        <w:rPr>
          <w:rFonts w:ascii="Verdana" w:eastAsia="Arial" w:hAnsi="Verdana" w:cs="Arial"/>
          <w:color w:val="000000"/>
          <w:sz w:val="22"/>
          <w:szCs w:val="22"/>
        </w:rPr>
        <w:t xml:space="preserve">suplente y </w:t>
      </w:r>
      <w:r w:rsidR="0037035A" w:rsidRPr="00A62343">
        <w:rPr>
          <w:rFonts w:ascii="Verdana" w:eastAsia="Arial" w:hAnsi="Verdana" w:cs="Arial"/>
          <w:color w:val="000000"/>
          <w:sz w:val="22"/>
          <w:szCs w:val="22"/>
        </w:rPr>
        <w:t xml:space="preserve">propietario </w:t>
      </w:r>
      <w:r w:rsidR="007A1C83" w:rsidRPr="00A62343">
        <w:rPr>
          <w:rFonts w:ascii="Verdana" w:eastAsia="Arial" w:hAnsi="Verdana" w:cs="Arial"/>
          <w:color w:val="000000"/>
          <w:sz w:val="22"/>
          <w:szCs w:val="22"/>
        </w:rPr>
        <w:t>respectivamente</w:t>
      </w:r>
      <w:r w:rsidR="0037035A" w:rsidRPr="00A62343">
        <w:rPr>
          <w:rFonts w:ascii="Verdana" w:eastAsia="Arial" w:hAnsi="Verdana" w:cs="Arial"/>
          <w:color w:val="000000"/>
          <w:sz w:val="22"/>
          <w:szCs w:val="22"/>
        </w:rPr>
        <w:t xml:space="preserve">, calidades que les fueron reconocidas por la </w:t>
      </w:r>
      <w:r w:rsidR="0037035A" w:rsidRPr="00A62343">
        <w:rPr>
          <w:rFonts w:ascii="Verdana" w:eastAsia="Arial" w:hAnsi="Verdana" w:cs="Arial"/>
          <w:smallCaps/>
          <w:color w:val="000000"/>
          <w:sz w:val="22"/>
          <w:szCs w:val="22"/>
        </w:rPr>
        <w:t>Autoridad Responsable</w:t>
      </w:r>
      <w:r w:rsidR="0037035A" w:rsidRPr="00A62343">
        <w:rPr>
          <w:rFonts w:ascii="Verdana" w:eastAsia="Arial" w:hAnsi="Verdana" w:cs="Arial"/>
          <w:color w:val="000000"/>
          <w:sz w:val="22"/>
          <w:szCs w:val="22"/>
        </w:rPr>
        <w:t xml:space="preserve"> y </w:t>
      </w:r>
      <w:r w:rsidR="007A1C83" w:rsidRPr="00A62343">
        <w:rPr>
          <w:rFonts w:ascii="Verdana" w:eastAsia="Arial" w:hAnsi="Verdana" w:cs="Arial"/>
          <w:color w:val="000000"/>
          <w:sz w:val="22"/>
          <w:szCs w:val="22"/>
        </w:rPr>
        <w:t>que fueron</w:t>
      </w:r>
      <w:r w:rsidR="0037035A" w:rsidRPr="00A62343">
        <w:rPr>
          <w:rFonts w:ascii="Verdana" w:eastAsia="Arial" w:hAnsi="Verdana" w:cs="Arial"/>
          <w:color w:val="000000"/>
          <w:sz w:val="22"/>
          <w:szCs w:val="22"/>
        </w:rPr>
        <w:t xml:space="preserve"> acreditad</w:t>
      </w:r>
      <w:r w:rsidR="007A1C83" w:rsidRPr="00A62343">
        <w:rPr>
          <w:rFonts w:ascii="Verdana" w:eastAsia="Arial" w:hAnsi="Verdana" w:cs="Arial"/>
          <w:color w:val="000000"/>
          <w:sz w:val="22"/>
          <w:szCs w:val="22"/>
        </w:rPr>
        <w:t>as</w:t>
      </w:r>
      <w:r w:rsidR="0037035A" w:rsidRPr="00A62343">
        <w:rPr>
          <w:rFonts w:ascii="Verdana" w:eastAsia="Arial" w:hAnsi="Verdana" w:cs="Arial"/>
          <w:color w:val="000000"/>
          <w:sz w:val="22"/>
          <w:szCs w:val="22"/>
        </w:rPr>
        <w:t xml:space="preserve"> conforme a la</w:t>
      </w:r>
      <w:r w:rsidR="00ED6ACA" w:rsidRPr="00A62343">
        <w:rPr>
          <w:rFonts w:ascii="Verdana" w:eastAsia="Arial" w:hAnsi="Verdana" w:cs="Arial"/>
          <w:color w:val="000000"/>
          <w:sz w:val="22"/>
          <w:szCs w:val="22"/>
        </w:rPr>
        <w:t>s</w:t>
      </w:r>
      <w:r w:rsidR="0037035A" w:rsidRPr="00A62343">
        <w:rPr>
          <w:rFonts w:ascii="Verdana" w:eastAsia="Arial" w:hAnsi="Verdana" w:cs="Arial"/>
          <w:color w:val="000000"/>
          <w:sz w:val="22"/>
          <w:szCs w:val="22"/>
        </w:rPr>
        <w:t xml:space="preserve"> constancia</w:t>
      </w:r>
      <w:r w:rsidR="00ED6ACA" w:rsidRPr="00A62343">
        <w:rPr>
          <w:rFonts w:ascii="Verdana" w:eastAsia="Arial" w:hAnsi="Verdana" w:cs="Arial"/>
          <w:color w:val="000000"/>
          <w:sz w:val="22"/>
          <w:szCs w:val="22"/>
        </w:rPr>
        <w:t>s</w:t>
      </w:r>
      <w:r w:rsidR="0037035A" w:rsidRPr="00A62343">
        <w:rPr>
          <w:rFonts w:ascii="Verdana" w:eastAsia="Arial" w:hAnsi="Verdana" w:cs="Arial"/>
          <w:color w:val="000000"/>
          <w:sz w:val="22"/>
          <w:szCs w:val="22"/>
        </w:rPr>
        <w:t xml:space="preserve"> </w:t>
      </w:r>
      <w:r w:rsidR="007A1C83" w:rsidRPr="00A62343">
        <w:rPr>
          <w:rFonts w:ascii="Verdana" w:eastAsia="Arial" w:hAnsi="Verdana" w:cs="Arial"/>
          <w:color w:val="000000"/>
          <w:sz w:val="22"/>
          <w:szCs w:val="22"/>
        </w:rPr>
        <w:t>expedidas</w:t>
      </w:r>
      <w:r w:rsidR="0037035A" w:rsidRPr="00A62343">
        <w:rPr>
          <w:rFonts w:ascii="Verdana" w:eastAsia="Arial" w:hAnsi="Verdana" w:cs="Arial"/>
          <w:color w:val="000000"/>
          <w:sz w:val="22"/>
          <w:szCs w:val="22"/>
        </w:rPr>
        <w:t>.</w:t>
      </w:r>
    </w:p>
    <w:p w14:paraId="2076ED5D" w14:textId="5C99D122" w:rsidR="0065359E" w:rsidRPr="00A62343" w:rsidRDefault="0065359E" w:rsidP="001F54E1">
      <w:pPr>
        <w:pBdr>
          <w:top w:val="nil"/>
          <w:left w:val="nil"/>
          <w:bottom w:val="nil"/>
          <w:right w:val="nil"/>
          <w:between w:val="nil"/>
        </w:pBd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color w:val="000000"/>
          <w:sz w:val="22"/>
          <w:szCs w:val="22"/>
        </w:rPr>
        <w:t xml:space="preserve">Por su parte, los Juicios para la Protección de los Derechos Político-Electorales de la Ciudadanía, fueron promovidos por personas ciudadanas </w:t>
      </w:r>
      <w:r w:rsidR="005F27A8" w:rsidRPr="00A62343">
        <w:rPr>
          <w:rFonts w:ascii="Verdana" w:eastAsia="Arial" w:hAnsi="Verdana" w:cs="Arial"/>
          <w:bCs/>
          <w:color w:val="000000"/>
          <w:sz w:val="22"/>
          <w:szCs w:val="22"/>
          <w:lang w:val="es-MX"/>
        </w:rPr>
        <w:t>auto adscribiéndose como personas pertenecientes a las poblaciones y/o comunidades y/o naciones mexicanas,</w:t>
      </w:r>
      <w:r w:rsidR="005F27A8" w:rsidRPr="00A62343">
        <w:rPr>
          <w:rFonts w:ascii="Verdana" w:eastAsia="Arial" w:hAnsi="Verdana" w:cs="Arial"/>
          <w:color w:val="000000"/>
          <w:sz w:val="22"/>
          <w:szCs w:val="22"/>
        </w:rPr>
        <w:t xml:space="preserve"> </w:t>
      </w:r>
      <w:r w:rsidRPr="00A62343">
        <w:rPr>
          <w:rFonts w:ascii="Verdana" w:eastAsia="Arial" w:hAnsi="Verdana" w:cs="Arial"/>
          <w:color w:val="000000"/>
          <w:sz w:val="22"/>
          <w:szCs w:val="22"/>
        </w:rPr>
        <w:t xml:space="preserve">que comparecen </w:t>
      </w:r>
      <w:r w:rsidR="00632355" w:rsidRPr="00A62343">
        <w:rPr>
          <w:rFonts w:ascii="Verdana" w:eastAsia="Arial" w:hAnsi="Verdana" w:cs="Arial"/>
          <w:color w:val="000000"/>
          <w:sz w:val="22"/>
          <w:szCs w:val="22"/>
        </w:rPr>
        <w:t xml:space="preserve">aduciendo que el </w:t>
      </w:r>
      <w:r w:rsidR="00632355" w:rsidRPr="00A62343">
        <w:rPr>
          <w:rFonts w:ascii="Verdana" w:eastAsia="Arial" w:hAnsi="Verdana" w:cs="Arial"/>
          <w:smallCaps/>
          <w:color w:val="000000"/>
          <w:sz w:val="22"/>
          <w:szCs w:val="22"/>
        </w:rPr>
        <w:t>Acto Impugnado</w:t>
      </w:r>
      <w:r w:rsidR="00632355" w:rsidRPr="00A62343">
        <w:rPr>
          <w:rFonts w:ascii="Verdana" w:eastAsia="Arial" w:hAnsi="Verdana" w:cs="Arial"/>
          <w:color w:val="000000"/>
          <w:sz w:val="22"/>
          <w:szCs w:val="22"/>
        </w:rPr>
        <w:t xml:space="preserve"> vulnera sus derechos político-electorales.</w:t>
      </w:r>
    </w:p>
    <w:p w14:paraId="28013CBB" w14:textId="1329509E" w:rsidR="00BA63AD" w:rsidRPr="00A62343" w:rsidRDefault="00BA63AD" w:rsidP="001F54E1">
      <w:pPr>
        <w:pBdr>
          <w:top w:val="nil"/>
          <w:left w:val="nil"/>
          <w:bottom w:val="nil"/>
          <w:right w:val="nil"/>
          <w:between w:val="nil"/>
        </w:pBd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b/>
          <w:color w:val="000000"/>
          <w:sz w:val="22"/>
          <w:szCs w:val="22"/>
        </w:rPr>
        <w:t>4.</w:t>
      </w:r>
      <w:r w:rsidRPr="00A62343">
        <w:rPr>
          <w:rFonts w:ascii="Verdana" w:eastAsia="Arial" w:hAnsi="Verdana" w:cs="Arial"/>
          <w:color w:val="000000"/>
          <w:sz w:val="22"/>
          <w:szCs w:val="22"/>
        </w:rPr>
        <w:t xml:space="preserve"> </w:t>
      </w:r>
      <w:r w:rsidRPr="00A62343">
        <w:rPr>
          <w:rFonts w:ascii="Verdana" w:eastAsia="Arial" w:hAnsi="Verdana" w:cs="Arial"/>
          <w:b/>
          <w:color w:val="000000"/>
          <w:sz w:val="22"/>
          <w:szCs w:val="22"/>
        </w:rPr>
        <w:t xml:space="preserve">Definitividad. </w:t>
      </w:r>
      <w:r w:rsidRPr="00A62343">
        <w:rPr>
          <w:rFonts w:ascii="Verdana" w:eastAsia="Arial" w:hAnsi="Verdana" w:cs="Arial"/>
          <w:color w:val="000000"/>
          <w:sz w:val="22"/>
          <w:szCs w:val="22"/>
        </w:rPr>
        <w:t xml:space="preserve">También se cumple este requisito, porque la ley electoral </w:t>
      </w:r>
      <w:r w:rsidR="00632355" w:rsidRPr="00A62343">
        <w:rPr>
          <w:rFonts w:ascii="Verdana" w:eastAsia="Arial" w:hAnsi="Verdana" w:cs="Arial"/>
          <w:color w:val="000000"/>
          <w:sz w:val="22"/>
          <w:szCs w:val="22"/>
        </w:rPr>
        <w:t xml:space="preserve">no </w:t>
      </w:r>
      <w:r w:rsidRPr="00A62343">
        <w:rPr>
          <w:rFonts w:ascii="Verdana" w:eastAsia="Arial" w:hAnsi="Verdana" w:cs="Arial"/>
          <w:color w:val="000000"/>
          <w:sz w:val="22"/>
          <w:szCs w:val="22"/>
        </w:rPr>
        <w:t xml:space="preserve">prevé </w:t>
      </w:r>
      <w:r w:rsidR="00632355" w:rsidRPr="00A62343">
        <w:rPr>
          <w:rFonts w:ascii="Verdana" w:eastAsia="Arial" w:hAnsi="Verdana" w:cs="Arial"/>
          <w:color w:val="000000"/>
          <w:sz w:val="22"/>
          <w:szCs w:val="22"/>
        </w:rPr>
        <w:t>algún otro medio de impugnación que deba ser agotado previamente</w:t>
      </w:r>
      <w:r w:rsidRPr="00A62343">
        <w:rPr>
          <w:rFonts w:ascii="Verdana" w:eastAsia="Arial" w:hAnsi="Verdana" w:cs="Arial"/>
          <w:color w:val="000000"/>
          <w:sz w:val="22"/>
          <w:szCs w:val="22"/>
        </w:rPr>
        <w:t>.</w:t>
      </w:r>
    </w:p>
    <w:p w14:paraId="7C55EDB3" w14:textId="77777777" w:rsidR="004A0C31" w:rsidRPr="00A62343" w:rsidRDefault="00BA63AD" w:rsidP="001F54E1">
      <w:pPr>
        <w:spacing w:before="100" w:beforeAutospacing="1" w:after="100" w:afterAutospacing="1" w:line="360" w:lineRule="auto"/>
        <w:jc w:val="both"/>
        <w:rPr>
          <w:rFonts w:ascii="Verdana" w:hAnsi="Verdana" w:cs="Tahoma"/>
          <w:b/>
          <w:sz w:val="22"/>
          <w:szCs w:val="22"/>
          <w:lang w:val="es-MX"/>
        </w:rPr>
      </w:pPr>
      <w:r w:rsidRPr="00A62343">
        <w:rPr>
          <w:rFonts w:ascii="Verdana" w:hAnsi="Verdana" w:cs="Tahoma"/>
          <w:b/>
          <w:sz w:val="22"/>
          <w:szCs w:val="22"/>
          <w:lang w:val="es-MX"/>
        </w:rPr>
        <w:t>CUARTA. Pretensión.</w:t>
      </w:r>
      <w:r w:rsidR="00144E97" w:rsidRPr="00A62343">
        <w:rPr>
          <w:rFonts w:ascii="Verdana" w:hAnsi="Verdana" w:cs="Tahoma"/>
          <w:b/>
          <w:sz w:val="22"/>
          <w:szCs w:val="22"/>
          <w:lang w:val="es-MX"/>
        </w:rPr>
        <w:t xml:space="preserve"> </w:t>
      </w:r>
    </w:p>
    <w:p w14:paraId="1B095A2A" w14:textId="68ABCF7A" w:rsidR="00BA63AD" w:rsidRPr="00A62343" w:rsidRDefault="005240C2" w:rsidP="001F54E1">
      <w:pPr>
        <w:spacing w:before="100" w:beforeAutospacing="1" w:after="100" w:afterAutospacing="1" w:line="360" w:lineRule="auto"/>
        <w:jc w:val="both"/>
        <w:rPr>
          <w:rFonts w:ascii="Verdana" w:hAnsi="Verdana" w:cs="Arial"/>
          <w:bCs/>
          <w:sz w:val="22"/>
          <w:szCs w:val="22"/>
        </w:rPr>
      </w:pPr>
      <w:r w:rsidRPr="00A62343">
        <w:rPr>
          <w:rFonts w:ascii="Verdana" w:hAnsi="Verdana" w:cs="Arial"/>
          <w:bCs/>
          <w:sz w:val="22"/>
          <w:szCs w:val="22"/>
          <w:lang w:val="es-MX"/>
        </w:rPr>
        <w:t>De</w:t>
      </w:r>
      <w:r w:rsidR="0037035A" w:rsidRPr="00A62343">
        <w:rPr>
          <w:rFonts w:ascii="Verdana" w:hAnsi="Verdana" w:cs="Arial"/>
          <w:bCs/>
          <w:sz w:val="22"/>
          <w:szCs w:val="22"/>
          <w:lang w:val="es-MX"/>
        </w:rPr>
        <w:t xml:space="preserve"> </w:t>
      </w:r>
      <w:r w:rsidRPr="00A62343">
        <w:rPr>
          <w:rFonts w:ascii="Verdana" w:hAnsi="Verdana" w:cs="Arial"/>
          <w:bCs/>
          <w:sz w:val="22"/>
          <w:szCs w:val="22"/>
          <w:lang w:val="es-MX"/>
        </w:rPr>
        <w:t>l</w:t>
      </w:r>
      <w:r w:rsidR="0037035A" w:rsidRPr="00A62343">
        <w:rPr>
          <w:rFonts w:ascii="Verdana" w:hAnsi="Verdana" w:cs="Arial"/>
          <w:bCs/>
          <w:sz w:val="22"/>
          <w:szCs w:val="22"/>
          <w:lang w:val="es-MX"/>
        </w:rPr>
        <w:t>os</w:t>
      </w:r>
      <w:r w:rsidRPr="00A62343">
        <w:rPr>
          <w:rFonts w:ascii="Verdana" w:hAnsi="Verdana" w:cs="Arial"/>
          <w:bCs/>
          <w:sz w:val="22"/>
          <w:szCs w:val="22"/>
          <w:lang w:val="es-MX"/>
        </w:rPr>
        <w:t xml:space="preserve"> escrito</w:t>
      </w:r>
      <w:r w:rsidR="0037035A" w:rsidRPr="00A62343">
        <w:rPr>
          <w:rFonts w:ascii="Verdana" w:hAnsi="Verdana" w:cs="Arial"/>
          <w:bCs/>
          <w:sz w:val="22"/>
          <w:szCs w:val="22"/>
          <w:lang w:val="es-MX"/>
        </w:rPr>
        <w:t>s</w:t>
      </w:r>
      <w:r w:rsidRPr="00A62343">
        <w:rPr>
          <w:rFonts w:ascii="Verdana" w:hAnsi="Verdana" w:cs="Arial"/>
          <w:bCs/>
          <w:sz w:val="22"/>
          <w:szCs w:val="22"/>
          <w:lang w:val="es-MX"/>
        </w:rPr>
        <w:t xml:space="preserve"> de demanda se advierte que l</w:t>
      </w:r>
      <w:r w:rsidR="00BA63AD" w:rsidRPr="00A62343">
        <w:rPr>
          <w:rFonts w:ascii="Verdana" w:hAnsi="Verdana" w:cs="Arial"/>
          <w:bCs/>
          <w:sz w:val="22"/>
          <w:szCs w:val="22"/>
        </w:rPr>
        <w:t>a pretensión de l</w:t>
      </w:r>
      <w:r w:rsidR="005F27A8" w:rsidRPr="00A62343">
        <w:rPr>
          <w:rFonts w:ascii="Verdana" w:hAnsi="Verdana" w:cs="Arial"/>
          <w:bCs/>
          <w:sz w:val="22"/>
          <w:szCs w:val="22"/>
        </w:rPr>
        <w:t>os</w:t>
      </w:r>
      <w:r w:rsidR="00BA63AD" w:rsidRPr="00A62343">
        <w:rPr>
          <w:rFonts w:ascii="Verdana" w:hAnsi="Verdana" w:cs="Arial"/>
          <w:bCs/>
          <w:sz w:val="22"/>
          <w:szCs w:val="22"/>
        </w:rPr>
        <w:t xml:space="preserve"> </w:t>
      </w:r>
      <w:r w:rsidR="005F27A8" w:rsidRPr="00A62343">
        <w:rPr>
          <w:rFonts w:ascii="Verdana" w:eastAsia="Arial" w:hAnsi="Verdana" w:cs="Arial"/>
          <w:bCs/>
          <w:smallCaps/>
          <w:color w:val="000000"/>
          <w:sz w:val="22"/>
          <w:szCs w:val="22"/>
          <w:lang w:val="es-MX"/>
        </w:rPr>
        <w:t>Partidos Recurrentes</w:t>
      </w:r>
      <w:r w:rsidR="00BA63AD" w:rsidRPr="00A62343">
        <w:rPr>
          <w:rFonts w:ascii="Verdana" w:hAnsi="Verdana" w:cs="Arial"/>
          <w:bCs/>
          <w:sz w:val="22"/>
          <w:szCs w:val="22"/>
        </w:rPr>
        <w:t xml:space="preserve"> es</w:t>
      </w:r>
      <w:r w:rsidR="00D96090" w:rsidRPr="00A62343">
        <w:rPr>
          <w:rFonts w:ascii="Verdana" w:hAnsi="Verdana" w:cs="Arial"/>
          <w:bCs/>
          <w:sz w:val="22"/>
          <w:szCs w:val="22"/>
        </w:rPr>
        <w:t>,</w:t>
      </w:r>
      <w:r w:rsidR="00BA63AD" w:rsidRPr="00A62343">
        <w:rPr>
          <w:rFonts w:ascii="Verdana" w:hAnsi="Verdana" w:cs="Arial"/>
          <w:bCs/>
          <w:sz w:val="22"/>
          <w:szCs w:val="22"/>
        </w:rPr>
        <w:t xml:space="preserve"> que se </w:t>
      </w:r>
      <w:r w:rsidR="003B6276" w:rsidRPr="00A62343">
        <w:rPr>
          <w:rFonts w:ascii="Verdana" w:hAnsi="Verdana" w:cs="Arial"/>
          <w:bCs/>
          <w:sz w:val="22"/>
          <w:szCs w:val="22"/>
        </w:rPr>
        <w:t xml:space="preserve">modifique o </w:t>
      </w:r>
      <w:r w:rsidR="00BA63AD" w:rsidRPr="00A62343">
        <w:rPr>
          <w:rFonts w:ascii="Verdana" w:hAnsi="Verdana" w:cs="Arial"/>
          <w:bCs/>
          <w:sz w:val="22"/>
          <w:szCs w:val="22"/>
        </w:rPr>
        <w:t xml:space="preserve">revoque el </w:t>
      </w:r>
      <w:r w:rsidR="00BA63AD" w:rsidRPr="00A62343">
        <w:rPr>
          <w:rFonts w:ascii="Verdana" w:hAnsi="Verdana"/>
          <w:bCs/>
          <w:smallCaps/>
          <w:sz w:val="22"/>
          <w:szCs w:val="22"/>
        </w:rPr>
        <w:t xml:space="preserve">Acto </w:t>
      </w:r>
      <w:r w:rsidR="00D41D26" w:rsidRPr="00A62343">
        <w:rPr>
          <w:rFonts w:ascii="Verdana" w:hAnsi="Verdana"/>
          <w:bCs/>
          <w:smallCaps/>
          <w:sz w:val="22"/>
          <w:szCs w:val="22"/>
        </w:rPr>
        <w:t>Reclamado</w:t>
      </w:r>
      <w:r w:rsidR="00BA63AD" w:rsidRPr="00A62343">
        <w:rPr>
          <w:rFonts w:ascii="Verdana" w:hAnsi="Verdana" w:cs="Arial"/>
          <w:bCs/>
          <w:sz w:val="22"/>
          <w:szCs w:val="22"/>
        </w:rPr>
        <w:t xml:space="preserve">, </w:t>
      </w:r>
      <w:r w:rsidR="0037035A" w:rsidRPr="00A62343">
        <w:rPr>
          <w:rFonts w:ascii="Verdana" w:hAnsi="Verdana" w:cs="Arial"/>
          <w:bCs/>
          <w:sz w:val="22"/>
          <w:szCs w:val="22"/>
        </w:rPr>
        <w:t xml:space="preserve">al considerar que la </w:t>
      </w:r>
      <w:r w:rsidR="005F27A8" w:rsidRPr="00A62343">
        <w:rPr>
          <w:rFonts w:ascii="Verdana" w:hAnsi="Verdana" w:cs="Arial"/>
          <w:bCs/>
          <w:smallCaps/>
          <w:sz w:val="22"/>
          <w:szCs w:val="22"/>
        </w:rPr>
        <w:t>A</w:t>
      </w:r>
      <w:r w:rsidR="0037035A" w:rsidRPr="00A62343">
        <w:rPr>
          <w:rFonts w:ascii="Verdana" w:hAnsi="Verdana" w:cs="Arial"/>
          <w:bCs/>
          <w:smallCaps/>
          <w:sz w:val="22"/>
          <w:szCs w:val="22"/>
        </w:rPr>
        <w:t xml:space="preserve">utoridad </w:t>
      </w:r>
      <w:r w:rsidR="005F27A8" w:rsidRPr="00A62343">
        <w:rPr>
          <w:rFonts w:ascii="Verdana" w:hAnsi="Verdana" w:cs="Arial"/>
          <w:bCs/>
          <w:smallCaps/>
          <w:sz w:val="22"/>
          <w:szCs w:val="22"/>
        </w:rPr>
        <w:t>R</w:t>
      </w:r>
      <w:r w:rsidR="0037035A" w:rsidRPr="00A62343">
        <w:rPr>
          <w:rFonts w:ascii="Verdana" w:hAnsi="Verdana" w:cs="Arial"/>
          <w:bCs/>
          <w:smallCaps/>
          <w:sz w:val="22"/>
          <w:szCs w:val="22"/>
        </w:rPr>
        <w:t>esponsable</w:t>
      </w:r>
      <w:r w:rsidR="0037035A" w:rsidRPr="00A62343">
        <w:rPr>
          <w:rFonts w:ascii="Verdana" w:hAnsi="Verdana" w:cs="Arial"/>
          <w:bCs/>
          <w:sz w:val="22"/>
          <w:szCs w:val="22"/>
        </w:rPr>
        <w:t xml:space="preserve"> se excedió en sus facultades reglamentarias, pues consideran que arbitrariamente impuso reglas antijurídicas e inconstitucionales, que violan la autodeterminación de los partidos políticos, así como el principio de r</w:t>
      </w:r>
      <w:r w:rsidR="009B355D" w:rsidRPr="00A62343">
        <w:rPr>
          <w:rFonts w:ascii="Verdana" w:hAnsi="Verdana" w:cs="Arial"/>
          <w:bCs/>
          <w:sz w:val="22"/>
          <w:szCs w:val="22"/>
        </w:rPr>
        <w:t>eserva de ley</w:t>
      </w:r>
      <w:r w:rsidR="0037035A" w:rsidRPr="00A62343">
        <w:rPr>
          <w:rFonts w:ascii="Verdana" w:hAnsi="Verdana" w:cs="Arial"/>
          <w:bCs/>
          <w:sz w:val="22"/>
          <w:szCs w:val="22"/>
        </w:rPr>
        <w:t>.</w:t>
      </w:r>
    </w:p>
    <w:p w14:paraId="249C1981" w14:textId="062BB0F5" w:rsidR="00C92DC1" w:rsidRPr="00A62343" w:rsidRDefault="00C92DC1" w:rsidP="001F54E1">
      <w:pPr>
        <w:spacing w:before="100" w:beforeAutospacing="1" w:after="100" w:afterAutospacing="1" w:line="360" w:lineRule="auto"/>
        <w:jc w:val="both"/>
        <w:rPr>
          <w:rFonts w:ascii="Verdana" w:hAnsi="Verdana" w:cs="Arial"/>
          <w:bCs/>
          <w:sz w:val="22"/>
          <w:szCs w:val="22"/>
        </w:rPr>
      </w:pPr>
      <w:r w:rsidRPr="00A62343">
        <w:rPr>
          <w:rFonts w:ascii="Verdana" w:hAnsi="Verdana" w:cs="Arial"/>
          <w:bCs/>
          <w:sz w:val="22"/>
          <w:szCs w:val="22"/>
        </w:rPr>
        <w:t>Mientras que, de</w:t>
      </w:r>
      <w:r w:rsidR="005635D0" w:rsidRPr="00A62343">
        <w:rPr>
          <w:rFonts w:ascii="Verdana" w:hAnsi="Verdana" w:cs="Arial"/>
          <w:bCs/>
          <w:sz w:val="22"/>
          <w:szCs w:val="22"/>
        </w:rPr>
        <w:t>l análisis realizado a la totalidad de</w:t>
      </w:r>
      <w:r w:rsidRPr="00A62343">
        <w:rPr>
          <w:rFonts w:ascii="Verdana" w:hAnsi="Verdana" w:cs="Arial"/>
          <w:bCs/>
          <w:sz w:val="22"/>
          <w:szCs w:val="22"/>
        </w:rPr>
        <w:t xml:space="preserve"> demandas de los </w:t>
      </w:r>
      <w:r w:rsidRPr="00A62343">
        <w:rPr>
          <w:rFonts w:ascii="Verdana" w:eastAsia="Arial" w:hAnsi="Verdana" w:cs="Arial"/>
          <w:color w:val="000000"/>
          <w:sz w:val="22"/>
          <w:szCs w:val="22"/>
        </w:rPr>
        <w:t xml:space="preserve">Juicios para la Protección de los Derechos Político-Electorales de la Ciudadanía, es dable concluir que la pretensión de las </w:t>
      </w:r>
      <w:r w:rsidRPr="00A62343">
        <w:rPr>
          <w:rFonts w:ascii="Verdana" w:hAnsi="Verdana"/>
          <w:bCs/>
          <w:smallCaps/>
          <w:sz w:val="22"/>
          <w:szCs w:val="22"/>
        </w:rPr>
        <w:t>Partes Promoventes</w:t>
      </w:r>
      <w:r w:rsidRPr="00A62343">
        <w:rPr>
          <w:rFonts w:ascii="Verdana" w:eastAsia="Arial" w:hAnsi="Verdana" w:cs="Arial"/>
          <w:color w:val="000000"/>
          <w:sz w:val="22"/>
          <w:szCs w:val="22"/>
        </w:rPr>
        <w:t xml:space="preserve"> es </w:t>
      </w:r>
      <w:r w:rsidR="005635D0" w:rsidRPr="00A62343">
        <w:rPr>
          <w:rFonts w:ascii="Verdana" w:eastAsia="Arial" w:hAnsi="Verdana" w:cs="Arial"/>
          <w:color w:val="000000"/>
          <w:sz w:val="22"/>
          <w:szCs w:val="22"/>
        </w:rPr>
        <w:t xml:space="preserve">la misma, ya que se presentaron escritos idénticos, y esta consiste en </w:t>
      </w:r>
      <w:r w:rsidRPr="00A62343">
        <w:rPr>
          <w:rFonts w:ascii="Verdana" w:eastAsia="Arial" w:hAnsi="Verdana" w:cs="Arial"/>
          <w:color w:val="000000"/>
          <w:sz w:val="22"/>
          <w:szCs w:val="22"/>
        </w:rPr>
        <w:t xml:space="preserve">que se modifique el </w:t>
      </w:r>
      <w:r w:rsidRPr="00A62343">
        <w:rPr>
          <w:rFonts w:ascii="Verdana" w:eastAsia="Arial" w:hAnsi="Verdana" w:cs="Arial"/>
          <w:smallCaps/>
          <w:color w:val="000000"/>
          <w:sz w:val="22"/>
          <w:szCs w:val="22"/>
        </w:rPr>
        <w:t>Acto Impugnado</w:t>
      </w:r>
      <w:r w:rsidRPr="00A62343">
        <w:rPr>
          <w:rFonts w:ascii="Verdana" w:eastAsia="Arial" w:hAnsi="Verdana" w:cs="Arial"/>
          <w:color w:val="000000"/>
          <w:sz w:val="22"/>
          <w:szCs w:val="22"/>
        </w:rPr>
        <w:t>, pues</w:t>
      </w:r>
      <w:r w:rsidR="000336A4" w:rsidRPr="00A62343">
        <w:rPr>
          <w:rFonts w:ascii="Verdana" w:eastAsia="Arial" w:hAnsi="Verdana" w:cs="Arial"/>
          <w:color w:val="000000"/>
          <w:sz w:val="22"/>
          <w:szCs w:val="22"/>
        </w:rPr>
        <w:t>, a su consideración,</w:t>
      </w:r>
      <w:r w:rsidRPr="00A62343">
        <w:rPr>
          <w:rFonts w:ascii="Verdana" w:eastAsia="Arial" w:hAnsi="Verdana" w:cs="Arial"/>
          <w:color w:val="000000"/>
          <w:sz w:val="22"/>
          <w:szCs w:val="22"/>
        </w:rPr>
        <w:t xml:space="preserve"> la </w:t>
      </w:r>
      <w:r w:rsidRPr="00A62343">
        <w:rPr>
          <w:rFonts w:ascii="Verdana" w:eastAsia="Arial" w:hAnsi="Verdana" w:cs="Arial"/>
          <w:smallCaps/>
          <w:color w:val="000000"/>
          <w:sz w:val="22"/>
          <w:szCs w:val="22"/>
        </w:rPr>
        <w:t>Autoridad Responsable</w:t>
      </w:r>
      <w:r w:rsidRPr="00A62343">
        <w:rPr>
          <w:rFonts w:ascii="Verdana" w:eastAsia="Arial" w:hAnsi="Verdana" w:cs="Arial"/>
          <w:color w:val="000000"/>
          <w:sz w:val="22"/>
          <w:szCs w:val="22"/>
        </w:rPr>
        <w:t xml:space="preserve"> omitió</w:t>
      </w:r>
      <w:r w:rsidR="000336A4" w:rsidRPr="00A62343">
        <w:rPr>
          <w:rFonts w:ascii="Verdana" w:eastAsia="Arial" w:hAnsi="Verdana" w:cs="Arial"/>
          <w:color w:val="000000"/>
          <w:sz w:val="22"/>
          <w:szCs w:val="22"/>
        </w:rPr>
        <w:t xml:space="preserve"> considerar una acción afirmativa para los pueblos y/o comunidades indígenas y/o naciones mexicanas</w:t>
      </w:r>
      <w:r w:rsidR="00D150F7" w:rsidRPr="00A62343">
        <w:rPr>
          <w:rFonts w:ascii="Verdana" w:eastAsia="Arial" w:hAnsi="Verdana" w:cs="Arial"/>
          <w:color w:val="000000"/>
          <w:sz w:val="22"/>
          <w:szCs w:val="22"/>
        </w:rPr>
        <w:t>.</w:t>
      </w:r>
    </w:p>
    <w:p w14:paraId="0039D127" w14:textId="19CBFE44" w:rsidR="004A0C31" w:rsidRPr="00A62343" w:rsidRDefault="00BA63AD" w:rsidP="001F54E1">
      <w:pPr>
        <w:spacing w:before="100" w:beforeAutospacing="1" w:after="100" w:afterAutospacing="1" w:line="360" w:lineRule="auto"/>
        <w:jc w:val="both"/>
        <w:rPr>
          <w:rFonts w:ascii="Verdana" w:hAnsi="Verdana" w:cs="Arial"/>
          <w:b/>
          <w:bCs/>
          <w:sz w:val="22"/>
          <w:szCs w:val="22"/>
        </w:rPr>
      </w:pPr>
      <w:r w:rsidRPr="00A62343">
        <w:rPr>
          <w:rFonts w:ascii="Verdana" w:hAnsi="Verdana" w:cs="Arial"/>
          <w:b/>
          <w:sz w:val="22"/>
          <w:szCs w:val="22"/>
        </w:rPr>
        <w:t>QUINTA.</w:t>
      </w:r>
      <w:r w:rsidR="006C5A6C" w:rsidRPr="00A62343">
        <w:rPr>
          <w:rFonts w:ascii="Verdana" w:hAnsi="Verdana" w:cs="Arial"/>
          <w:b/>
          <w:sz w:val="22"/>
          <w:szCs w:val="22"/>
        </w:rPr>
        <w:t xml:space="preserve"> </w:t>
      </w:r>
      <w:r w:rsidRPr="00A62343">
        <w:rPr>
          <w:rFonts w:ascii="Verdana" w:hAnsi="Verdana" w:cs="Arial"/>
          <w:b/>
          <w:sz w:val="22"/>
          <w:szCs w:val="22"/>
        </w:rPr>
        <w:t xml:space="preserve">Acto reclamado. </w:t>
      </w:r>
    </w:p>
    <w:p w14:paraId="4DC5C3D7" w14:textId="055C8198" w:rsidR="007A1C83" w:rsidRPr="00A62343" w:rsidRDefault="00BA63AD" w:rsidP="001F54E1">
      <w:pPr>
        <w:pStyle w:val="NormalWeb"/>
        <w:spacing w:line="360" w:lineRule="auto"/>
        <w:jc w:val="both"/>
        <w:rPr>
          <w:rFonts w:ascii="Verdana" w:hAnsi="Verdana"/>
          <w:bCs/>
          <w:sz w:val="22"/>
          <w:szCs w:val="22"/>
        </w:rPr>
      </w:pPr>
      <w:r w:rsidRPr="00A62343">
        <w:rPr>
          <w:rFonts w:ascii="Verdana" w:hAnsi="Verdana" w:cs="Arial"/>
          <w:bCs/>
          <w:sz w:val="22"/>
          <w:szCs w:val="22"/>
        </w:rPr>
        <w:t xml:space="preserve">Lo constituye </w:t>
      </w:r>
      <w:r w:rsidR="0037035A" w:rsidRPr="00A62343">
        <w:rPr>
          <w:rFonts w:ascii="Verdana" w:hAnsi="Verdana" w:cs="Arial"/>
          <w:bCs/>
          <w:sz w:val="22"/>
          <w:szCs w:val="22"/>
        </w:rPr>
        <w:t xml:space="preserve">el </w:t>
      </w:r>
      <w:r w:rsidR="004A0C31" w:rsidRPr="00A62343">
        <w:rPr>
          <w:rFonts w:ascii="Verdana" w:hAnsi="Verdana" w:cs="Arial"/>
          <w:bCs/>
          <w:sz w:val="22"/>
          <w:szCs w:val="22"/>
        </w:rPr>
        <w:t>A</w:t>
      </w:r>
      <w:r w:rsidR="0037035A" w:rsidRPr="00A62343">
        <w:rPr>
          <w:rFonts w:ascii="Verdana" w:hAnsi="Verdana" w:cs="Arial"/>
          <w:bCs/>
          <w:sz w:val="22"/>
          <w:szCs w:val="22"/>
        </w:rPr>
        <w:t xml:space="preserve">cuerdo </w:t>
      </w:r>
      <w:r w:rsidR="0037035A" w:rsidRPr="00A62343">
        <w:rPr>
          <w:rFonts w:ascii="Verdana" w:eastAsia="Arial" w:hAnsi="Verdana"/>
          <w:sz w:val="22"/>
          <w:szCs w:val="22"/>
        </w:rPr>
        <w:t>CG-A-47/23</w:t>
      </w:r>
      <w:r w:rsidRPr="00A62343">
        <w:rPr>
          <w:rFonts w:ascii="Verdana" w:eastAsia="Arial" w:hAnsi="Verdana"/>
          <w:sz w:val="22"/>
          <w:szCs w:val="22"/>
        </w:rPr>
        <w:t xml:space="preserve"> </w:t>
      </w:r>
      <w:r w:rsidRPr="00A62343">
        <w:rPr>
          <w:rFonts w:ascii="Verdana" w:hAnsi="Verdana" w:cs="Arial"/>
          <w:bCs/>
          <w:sz w:val="22"/>
          <w:szCs w:val="22"/>
        </w:rPr>
        <w:t xml:space="preserve">de fecha </w:t>
      </w:r>
      <w:r w:rsidR="0037035A" w:rsidRPr="00A62343">
        <w:rPr>
          <w:rFonts w:ascii="Verdana" w:hAnsi="Verdana" w:cs="Arial"/>
          <w:bCs/>
          <w:sz w:val="22"/>
          <w:szCs w:val="22"/>
        </w:rPr>
        <w:t xml:space="preserve">veintisiete de octubre </w:t>
      </w:r>
      <w:r w:rsidRPr="00A62343">
        <w:rPr>
          <w:rFonts w:ascii="Verdana" w:hAnsi="Verdana" w:cs="Arial"/>
          <w:bCs/>
          <w:sz w:val="22"/>
          <w:szCs w:val="22"/>
        </w:rPr>
        <w:t xml:space="preserve">en </w:t>
      </w:r>
      <w:r w:rsidR="004A0C31" w:rsidRPr="00A62343">
        <w:rPr>
          <w:rFonts w:ascii="Verdana" w:hAnsi="Verdana" w:cs="Arial"/>
          <w:bCs/>
          <w:sz w:val="22"/>
          <w:szCs w:val="22"/>
        </w:rPr>
        <w:t>el</w:t>
      </w:r>
      <w:r w:rsidRPr="00A62343">
        <w:rPr>
          <w:rFonts w:ascii="Verdana" w:hAnsi="Verdana" w:cs="Arial"/>
          <w:bCs/>
          <w:sz w:val="22"/>
          <w:szCs w:val="22"/>
        </w:rPr>
        <w:t xml:space="preserve"> que la </w:t>
      </w:r>
      <w:r w:rsidRPr="00A62343">
        <w:rPr>
          <w:rFonts w:ascii="Verdana" w:hAnsi="Verdana" w:cs="Arial"/>
          <w:bCs/>
          <w:smallCaps/>
          <w:sz w:val="22"/>
          <w:szCs w:val="22"/>
        </w:rPr>
        <w:t>Autoridad Responsable</w:t>
      </w:r>
      <w:r w:rsidR="0037035A" w:rsidRPr="00A62343">
        <w:rPr>
          <w:rFonts w:ascii="Verdana" w:hAnsi="Verdana"/>
          <w:bCs/>
          <w:sz w:val="22"/>
          <w:szCs w:val="22"/>
        </w:rPr>
        <w:t xml:space="preserve"> aprobó </w:t>
      </w:r>
      <w:r w:rsidR="007A1C83" w:rsidRPr="00A62343">
        <w:rPr>
          <w:rFonts w:ascii="Verdana" w:hAnsi="Verdana"/>
          <w:bCs/>
          <w:sz w:val="22"/>
          <w:szCs w:val="22"/>
        </w:rPr>
        <w:t>l</w:t>
      </w:r>
      <w:r w:rsidR="0037035A" w:rsidRPr="00A62343">
        <w:rPr>
          <w:rFonts w:ascii="Verdana" w:hAnsi="Verdana"/>
          <w:bCs/>
          <w:sz w:val="22"/>
          <w:szCs w:val="22"/>
        </w:rPr>
        <w:t xml:space="preserve">os </w:t>
      </w:r>
      <w:r w:rsidR="004A0C31" w:rsidRPr="00A62343">
        <w:rPr>
          <w:rFonts w:ascii="Verdana" w:hAnsi="Verdana"/>
          <w:bCs/>
          <w:sz w:val="22"/>
          <w:szCs w:val="22"/>
        </w:rPr>
        <w:t>L</w:t>
      </w:r>
      <w:r w:rsidR="0037035A" w:rsidRPr="00A62343">
        <w:rPr>
          <w:rFonts w:ascii="Verdana" w:hAnsi="Verdana"/>
          <w:bCs/>
          <w:sz w:val="22"/>
          <w:szCs w:val="22"/>
        </w:rPr>
        <w:t>ineamientos para la implementación de acciones afirmativas en favor de los grupos de atención prioritaria en la postulación de candidaturas, en el proceso electoral concurrente 2023-2024 en Aguascalientes.</w:t>
      </w:r>
    </w:p>
    <w:p w14:paraId="7CE523BC" w14:textId="1B563648" w:rsidR="004A0C31" w:rsidRPr="00A62343" w:rsidRDefault="006C5A6C" w:rsidP="001F54E1">
      <w:pPr>
        <w:pStyle w:val="NormalWeb"/>
        <w:spacing w:line="360" w:lineRule="auto"/>
        <w:jc w:val="both"/>
        <w:rPr>
          <w:rFonts w:ascii="Verdana" w:hAnsi="Verdana" w:cs="Arial"/>
          <w:b/>
          <w:sz w:val="22"/>
          <w:szCs w:val="22"/>
        </w:rPr>
      </w:pPr>
      <w:r w:rsidRPr="00A62343">
        <w:rPr>
          <w:rFonts w:ascii="Verdana" w:hAnsi="Verdana" w:cs="Arial"/>
          <w:b/>
          <w:sz w:val="22"/>
          <w:szCs w:val="22"/>
        </w:rPr>
        <w:t>S</w:t>
      </w:r>
      <w:r w:rsidR="009174F3" w:rsidRPr="00A62343">
        <w:rPr>
          <w:rFonts w:ascii="Verdana" w:hAnsi="Verdana" w:cs="Arial"/>
          <w:b/>
          <w:sz w:val="22"/>
          <w:szCs w:val="22"/>
        </w:rPr>
        <w:t>EXT</w:t>
      </w:r>
      <w:r w:rsidRPr="00A62343">
        <w:rPr>
          <w:rFonts w:ascii="Verdana" w:hAnsi="Verdana" w:cs="Arial"/>
          <w:b/>
          <w:sz w:val="22"/>
          <w:szCs w:val="22"/>
        </w:rPr>
        <w:t>A</w:t>
      </w:r>
      <w:r w:rsidR="00BA63AD" w:rsidRPr="00A62343">
        <w:rPr>
          <w:rFonts w:ascii="Verdana" w:hAnsi="Verdana" w:cs="Arial"/>
          <w:b/>
          <w:sz w:val="22"/>
          <w:szCs w:val="22"/>
        </w:rPr>
        <w:t>. Síntesis de agravios.</w:t>
      </w:r>
      <w:r w:rsidR="007A1C83" w:rsidRPr="00A62343">
        <w:rPr>
          <w:rFonts w:ascii="Verdana" w:hAnsi="Verdana" w:cs="Arial"/>
          <w:b/>
          <w:sz w:val="22"/>
          <w:szCs w:val="22"/>
        </w:rPr>
        <w:t xml:space="preserve"> </w:t>
      </w:r>
    </w:p>
    <w:p w14:paraId="749E9B7A" w14:textId="5448B28F" w:rsidR="00AE3341" w:rsidRPr="00A62343" w:rsidRDefault="004A0C31" w:rsidP="001F54E1">
      <w:pPr>
        <w:pStyle w:val="NormalWeb"/>
        <w:spacing w:line="360" w:lineRule="auto"/>
        <w:jc w:val="both"/>
        <w:rPr>
          <w:rFonts w:ascii="Verdana" w:hAnsi="Verdana" w:cs="Arial"/>
          <w:sz w:val="22"/>
          <w:szCs w:val="22"/>
          <w:lang w:val="es-MX"/>
        </w:rPr>
      </w:pPr>
      <w:r w:rsidRPr="00A62343">
        <w:rPr>
          <w:rFonts w:ascii="Verdana" w:hAnsi="Verdana" w:cs="Arial"/>
          <w:sz w:val="22"/>
          <w:szCs w:val="22"/>
          <w:lang w:val="es-MX"/>
        </w:rPr>
        <w:lastRenderedPageBreak/>
        <w:t xml:space="preserve">De los agravios contenidos en los escritos de demanda </w:t>
      </w:r>
      <w:r w:rsidR="00D150F7" w:rsidRPr="00A62343">
        <w:rPr>
          <w:rFonts w:ascii="Verdana" w:hAnsi="Verdana" w:cs="Arial"/>
          <w:sz w:val="22"/>
          <w:szCs w:val="22"/>
          <w:lang w:val="es-MX"/>
        </w:rPr>
        <w:t xml:space="preserve">de los Recursos de Apelación presentados por los </w:t>
      </w:r>
      <w:r w:rsidR="00D150F7" w:rsidRPr="00A62343">
        <w:rPr>
          <w:rFonts w:ascii="Verdana" w:eastAsia="Arial" w:hAnsi="Verdana" w:cs="Arial"/>
          <w:bCs/>
          <w:smallCaps/>
          <w:color w:val="000000"/>
          <w:sz w:val="22"/>
          <w:szCs w:val="22"/>
          <w:lang w:val="es-MX"/>
        </w:rPr>
        <w:t>Partidos Recurrentes,</w:t>
      </w:r>
      <w:r w:rsidR="00D150F7" w:rsidRPr="00A62343">
        <w:rPr>
          <w:rFonts w:ascii="Verdana" w:hAnsi="Verdana" w:cs="Arial"/>
          <w:sz w:val="22"/>
          <w:szCs w:val="22"/>
          <w:lang w:val="es-MX"/>
        </w:rPr>
        <w:t xml:space="preserve"> </w:t>
      </w:r>
      <w:r w:rsidRPr="00A62343">
        <w:rPr>
          <w:rFonts w:ascii="Verdana" w:hAnsi="Verdana" w:cs="Arial"/>
          <w:sz w:val="22"/>
          <w:szCs w:val="22"/>
          <w:lang w:val="es-MX"/>
        </w:rPr>
        <w:t>se pueden extraer temáticas comunes, los cuales se sintetizan de la siguiente manera</w:t>
      </w:r>
      <w:r w:rsidR="00BA63AD" w:rsidRPr="00A62343">
        <w:rPr>
          <w:rFonts w:ascii="Verdana" w:hAnsi="Verdana" w:cs="Arial"/>
          <w:sz w:val="22"/>
          <w:szCs w:val="22"/>
          <w:lang w:val="es-MX"/>
        </w:rPr>
        <w:t>:</w:t>
      </w:r>
      <w:r w:rsidR="00BA63AD" w:rsidRPr="00A62343">
        <w:rPr>
          <w:rStyle w:val="Refdenotaalpie"/>
          <w:rFonts w:ascii="Verdana" w:hAnsi="Verdana" w:cs="Arial"/>
          <w:bCs/>
          <w:sz w:val="22"/>
          <w:szCs w:val="22"/>
        </w:rPr>
        <w:footnoteReference w:id="18"/>
      </w:r>
      <w:r w:rsidR="00BA63AD" w:rsidRPr="00A62343">
        <w:rPr>
          <w:rFonts w:ascii="Verdana" w:hAnsi="Verdana" w:cs="Arial"/>
          <w:bCs/>
          <w:sz w:val="22"/>
          <w:szCs w:val="22"/>
        </w:rPr>
        <w:t xml:space="preserve"> </w:t>
      </w:r>
    </w:p>
    <w:p w14:paraId="405BBC51" w14:textId="7846B617" w:rsidR="00961493" w:rsidRPr="00A62343" w:rsidRDefault="00961493" w:rsidP="001F54E1">
      <w:pPr>
        <w:pStyle w:val="NormalWeb"/>
        <w:numPr>
          <w:ilvl w:val="0"/>
          <w:numId w:val="1"/>
        </w:numPr>
        <w:spacing w:line="360" w:lineRule="auto"/>
        <w:jc w:val="both"/>
        <w:rPr>
          <w:rFonts w:ascii="Verdana" w:hAnsi="Verdana" w:cs="Arial"/>
          <w:sz w:val="22"/>
          <w:szCs w:val="22"/>
        </w:rPr>
      </w:pPr>
      <w:bookmarkStart w:id="1" w:name="_Hlk150617271"/>
      <w:r w:rsidRPr="00A62343">
        <w:rPr>
          <w:rFonts w:ascii="Verdana" w:eastAsia="Arial" w:hAnsi="Verdana" w:cs="Arial"/>
          <w:sz w:val="22"/>
          <w:szCs w:val="22"/>
        </w:rPr>
        <w:t xml:space="preserve">El </w:t>
      </w:r>
      <w:r w:rsidRPr="00A62343">
        <w:rPr>
          <w:rFonts w:ascii="Verdana" w:hAnsi="Verdana"/>
          <w:bCs/>
          <w:smallCaps/>
          <w:sz w:val="22"/>
          <w:szCs w:val="22"/>
        </w:rPr>
        <w:t xml:space="preserve">Acto </w:t>
      </w:r>
      <w:r w:rsidR="00632355" w:rsidRPr="00A62343">
        <w:rPr>
          <w:rFonts w:ascii="Verdana" w:hAnsi="Verdana"/>
          <w:bCs/>
          <w:smallCaps/>
          <w:sz w:val="22"/>
          <w:szCs w:val="22"/>
        </w:rPr>
        <w:t>Impugnado</w:t>
      </w:r>
      <w:r w:rsidRPr="00A62343">
        <w:rPr>
          <w:rFonts w:ascii="Verdana" w:hAnsi="Verdana"/>
          <w:bCs/>
          <w:smallCaps/>
          <w:sz w:val="22"/>
          <w:szCs w:val="22"/>
        </w:rPr>
        <w:t xml:space="preserve"> </w:t>
      </w:r>
      <w:r w:rsidRPr="00A62343">
        <w:rPr>
          <w:rFonts w:ascii="Verdana" w:eastAsia="Arial" w:hAnsi="Verdana" w:cs="Arial"/>
          <w:sz w:val="22"/>
          <w:szCs w:val="22"/>
        </w:rPr>
        <w:t>carece de debida fundamentación y motivación,</w:t>
      </w:r>
      <w:r w:rsidR="008F63D5" w:rsidRPr="00A62343">
        <w:rPr>
          <w:rFonts w:ascii="Verdana" w:eastAsia="Arial" w:hAnsi="Verdana" w:cs="Arial"/>
          <w:sz w:val="22"/>
          <w:szCs w:val="22"/>
        </w:rPr>
        <w:t xml:space="preserve"> ya que la </w:t>
      </w:r>
      <w:r w:rsidR="008F63D5" w:rsidRPr="00A62343">
        <w:rPr>
          <w:rFonts w:ascii="Verdana" w:eastAsia="Arial" w:hAnsi="Verdana" w:cs="Arial"/>
          <w:smallCaps/>
          <w:sz w:val="22"/>
          <w:szCs w:val="22"/>
        </w:rPr>
        <w:t>Autoridad Responsable</w:t>
      </w:r>
      <w:r w:rsidRPr="00A62343">
        <w:rPr>
          <w:rFonts w:ascii="Verdana" w:eastAsia="Arial" w:hAnsi="Verdana" w:cs="Arial"/>
          <w:sz w:val="22"/>
          <w:szCs w:val="22"/>
        </w:rPr>
        <w:t xml:space="preserve"> </w:t>
      </w:r>
      <w:r w:rsidR="008F63D5" w:rsidRPr="00A62343">
        <w:rPr>
          <w:rFonts w:ascii="Verdana" w:eastAsia="Arial" w:hAnsi="Verdana" w:cs="Arial"/>
          <w:sz w:val="22"/>
          <w:szCs w:val="22"/>
        </w:rPr>
        <w:t>no es competente para emitir los lineamientos impugnados</w:t>
      </w:r>
      <w:r w:rsidR="00AA6C88" w:rsidRPr="00A62343">
        <w:rPr>
          <w:rFonts w:ascii="Verdana" w:eastAsia="Arial" w:hAnsi="Verdana" w:cs="Arial"/>
          <w:sz w:val="22"/>
          <w:szCs w:val="22"/>
        </w:rPr>
        <w:t>;</w:t>
      </w:r>
    </w:p>
    <w:p w14:paraId="443C46E3" w14:textId="4F2F8C97" w:rsidR="008F63D5" w:rsidRPr="00A62343" w:rsidRDefault="008F63D5" w:rsidP="001F54E1">
      <w:pPr>
        <w:pStyle w:val="NormalWeb"/>
        <w:numPr>
          <w:ilvl w:val="0"/>
          <w:numId w:val="1"/>
        </w:numPr>
        <w:spacing w:line="360" w:lineRule="auto"/>
        <w:jc w:val="both"/>
        <w:rPr>
          <w:rFonts w:ascii="Verdana" w:hAnsi="Verdana" w:cs="Arial"/>
          <w:sz w:val="22"/>
          <w:szCs w:val="22"/>
        </w:rPr>
      </w:pPr>
      <w:r w:rsidRPr="00A62343">
        <w:rPr>
          <w:rFonts w:ascii="Verdana" w:eastAsia="Arial" w:hAnsi="Verdana" w:cs="Arial"/>
          <w:sz w:val="22"/>
          <w:szCs w:val="22"/>
        </w:rPr>
        <w:t xml:space="preserve">La </w:t>
      </w:r>
      <w:r w:rsidRPr="00A62343">
        <w:rPr>
          <w:rFonts w:ascii="Verdana" w:eastAsia="Arial" w:hAnsi="Verdana" w:cs="Arial"/>
          <w:smallCaps/>
          <w:sz w:val="22"/>
          <w:szCs w:val="22"/>
        </w:rPr>
        <w:t xml:space="preserve">Autoridad Responsable </w:t>
      </w:r>
      <w:r w:rsidRPr="00A62343">
        <w:rPr>
          <w:rFonts w:ascii="Verdana" w:eastAsia="Arial" w:hAnsi="Verdana" w:cs="Arial"/>
          <w:sz w:val="22"/>
          <w:szCs w:val="22"/>
        </w:rPr>
        <w:t>carece de competencia para aprobar dichos lineamientos, puesto que pretende atribuirse facultades reservadas al Congreso Local</w:t>
      </w:r>
      <w:r w:rsidR="00AA6C88" w:rsidRPr="00A62343">
        <w:rPr>
          <w:rFonts w:ascii="Verdana" w:eastAsia="Arial" w:hAnsi="Verdana" w:cs="Arial"/>
          <w:sz w:val="22"/>
          <w:szCs w:val="22"/>
        </w:rPr>
        <w:t>;</w:t>
      </w:r>
    </w:p>
    <w:p w14:paraId="6C4940DE" w14:textId="793EB526" w:rsidR="00606A4A" w:rsidRPr="00A62343" w:rsidRDefault="00606A4A" w:rsidP="001F54E1">
      <w:pPr>
        <w:pStyle w:val="Prrafodelista"/>
        <w:numPr>
          <w:ilvl w:val="0"/>
          <w:numId w:val="1"/>
        </w:numPr>
        <w:spacing w:before="100" w:beforeAutospacing="1" w:after="100" w:afterAutospacing="1" w:line="360" w:lineRule="auto"/>
        <w:jc w:val="both"/>
        <w:rPr>
          <w:rFonts w:ascii="Verdana" w:hAnsi="Verdana" w:cs="Arial"/>
          <w:bCs/>
          <w:sz w:val="22"/>
          <w:szCs w:val="22"/>
        </w:rPr>
      </w:pPr>
      <w:r w:rsidRPr="00A62343">
        <w:rPr>
          <w:rFonts w:ascii="Verdana" w:eastAsia="Arial" w:hAnsi="Verdana" w:cs="Arial"/>
          <w:sz w:val="22"/>
          <w:szCs w:val="22"/>
        </w:rPr>
        <w:t xml:space="preserve">El </w:t>
      </w:r>
      <w:r w:rsidRPr="00A62343">
        <w:rPr>
          <w:rFonts w:ascii="Verdana" w:hAnsi="Verdana"/>
          <w:bCs/>
          <w:smallCaps/>
          <w:sz w:val="22"/>
          <w:szCs w:val="22"/>
        </w:rPr>
        <w:t xml:space="preserve">Acto Reclamado </w:t>
      </w:r>
      <w:r w:rsidRPr="00A62343">
        <w:rPr>
          <w:rFonts w:ascii="Verdana" w:hAnsi="Verdana" w:cs="Arial"/>
          <w:bCs/>
          <w:sz w:val="22"/>
          <w:szCs w:val="22"/>
        </w:rPr>
        <w:t>resulta violatorio del principio de reserva de ley, ya que invade el ámbito constitucional de competencias del órgano legislativo</w:t>
      </w:r>
      <w:r w:rsidR="00AA6C88" w:rsidRPr="00A62343">
        <w:rPr>
          <w:rFonts w:ascii="Verdana" w:hAnsi="Verdana" w:cs="Arial"/>
          <w:bCs/>
          <w:sz w:val="22"/>
          <w:szCs w:val="22"/>
        </w:rPr>
        <w:t>;</w:t>
      </w:r>
    </w:p>
    <w:p w14:paraId="1CC8D4A9" w14:textId="3CEACA76" w:rsidR="00B560E7" w:rsidRPr="00A62343" w:rsidRDefault="00961493" w:rsidP="001F54E1">
      <w:pPr>
        <w:pStyle w:val="NormalWeb"/>
        <w:numPr>
          <w:ilvl w:val="0"/>
          <w:numId w:val="1"/>
        </w:numPr>
        <w:spacing w:line="360" w:lineRule="auto"/>
        <w:jc w:val="both"/>
        <w:rPr>
          <w:rFonts w:ascii="Verdana" w:hAnsi="Verdana"/>
          <w:bCs/>
          <w:sz w:val="22"/>
          <w:szCs w:val="22"/>
        </w:rPr>
      </w:pPr>
      <w:r w:rsidRPr="00A62343">
        <w:rPr>
          <w:rFonts w:ascii="Verdana" w:eastAsia="Arial" w:hAnsi="Verdana" w:cs="Arial"/>
          <w:sz w:val="22"/>
          <w:szCs w:val="22"/>
        </w:rPr>
        <w:t xml:space="preserve">El </w:t>
      </w:r>
      <w:r w:rsidRPr="00A62343">
        <w:rPr>
          <w:rFonts w:ascii="Verdana" w:hAnsi="Verdana"/>
          <w:bCs/>
          <w:smallCaps/>
          <w:sz w:val="22"/>
          <w:szCs w:val="22"/>
        </w:rPr>
        <w:t xml:space="preserve">Acto Reclamado </w:t>
      </w:r>
      <w:r w:rsidRPr="00A62343">
        <w:rPr>
          <w:rFonts w:ascii="Verdana" w:hAnsi="Verdana" w:cs="Arial"/>
          <w:bCs/>
          <w:sz w:val="22"/>
          <w:szCs w:val="22"/>
        </w:rPr>
        <w:t>resulta violatorio de los principios</w:t>
      </w:r>
      <w:r w:rsidR="00B560E7" w:rsidRPr="00A62343">
        <w:rPr>
          <w:rFonts w:ascii="Verdana" w:hAnsi="Verdana" w:cs="Arial"/>
          <w:bCs/>
          <w:sz w:val="22"/>
          <w:szCs w:val="22"/>
        </w:rPr>
        <w:t xml:space="preserve"> de a</w:t>
      </w:r>
      <w:r w:rsidR="00AE3341" w:rsidRPr="00A62343">
        <w:rPr>
          <w:rFonts w:ascii="Verdana" w:hAnsi="Verdana" w:cs="Arial"/>
          <w:bCs/>
          <w:sz w:val="22"/>
          <w:szCs w:val="22"/>
        </w:rPr>
        <w:t>utoorganización y autodeterminación de los partidos políticos</w:t>
      </w:r>
      <w:r w:rsidR="00C37BC0" w:rsidRPr="00A62343">
        <w:rPr>
          <w:rFonts w:ascii="Verdana" w:hAnsi="Verdana" w:cs="Arial"/>
          <w:bCs/>
          <w:sz w:val="22"/>
          <w:szCs w:val="22"/>
        </w:rPr>
        <w:t xml:space="preserve"> que</w:t>
      </w:r>
      <w:r w:rsidR="00AE3341" w:rsidRPr="00A62343">
        <w:rPr>
          <w:rFonts w:ascii="Verdana" w:hAnsi="Verdana" w:cs="Arial"/>
          <w:bCs/>
          <w:sz w:val="22"/>
          <w:szCs w:val="22"/>
        </w:rPr>
        <w:t xml:space="preserve"> implica la facultad de establecer su propio régimen de organización al interior de la estructura</w:t>
      </w:r>
      <w:r w:rsidR="002845F6" w:rsidRPr="00A62343">
        <w:rPr>
          <w:rFonts w:ascii="Verdana" w:hAnsi="Verdana" w:cs="Arial"/>
          <w:bCs/>
          <w:sz w:val="22"/>
          <w:szCs w:val="22"/>
        </w:rPr>
        <w:t xml:space="preserve">; lo que conlleva al detrimento de los derechos y prerrogativas que la legislación en materia electoral </w:t>
      </w:r>
      <w:proofErr w:type="gramStart"/>
      <w:r w:rsidR="002845F6" w:rsidRPr="00A62343">
        <w:rPr>
          <w:rFonts w:ascii="Verdana" w:hAnsi="Verdana" w:cs="Arial"/>
          <w:bCs/>
          <w:sz w:val="22"/>
          <w:szCs w:val="22"/>
        </w:rPr>
        <w:t>le</w:t>
      </w:r>
      <w:proofErr w:type="gramEnd"/>
      <w:r w:rsidR="002845F6" w:rsidRPr="00A62343">
        <w:rPr>
          <w:rFonts w:ascii="Verdana" w:hAnsi="Verdana" w:cs="Arial"/>
          <w:bCs/>
          <w:sz w:val="22"/>
          <w:szCs w:val="22"/>
        </w:rPr>
        <w:t xml:space="preserve"> otorga a los partidos políticos, haciendo nugatorio </w:t>
      </w:r>
      <w:r w:rsidR="002C424B" w:rsidRPr="00A62343">
        <w:rPr>
          <w:rFonts w:ascii="Verdana" w:hAnsi="Verdana" w:cs="Arial"/>
          <w:bCs/>
          <w:sz w:val="22"/>
          <w:szCs w:val="22"/>
        </w:rPr>
        <w:t>el derecho a realizar procesos internos adecuados</w:t>
      </w:r>
      <w:r w:rsidR="00AA6C88" w:rsidRPr="00A62343">
        <w:rPr>
          <w:rFonts w:ascii="Verdana" w:hAnsi="Verdana" w:cs="Arial"/>
          <w:bCs/>
          <w:sz w:val="22"/>
          <w:szCs w:val="22"/>
        </w:rPr>
        <w:t>;</w:t>
      </w:r>
    </w:p>
    <w:p w14:paraId="007FB567" w14:textId="2E2A518B" w:rsidR="00A231B6" w:rsidRPr="00A62343" w:rsidRDefault="00A231B6" w:rsidP="001F54E1">
      <w:pPr>
        <w:pStyle w:val="NormalWeb"/>
        <w:numPr>
          <w:ilvl w:val="0"/>
          <w:numId w:val="1"/>
        </w:numPr>
        <w:spacing w:line="360" w:lineRule="auto"/>
        <w:jc w:val="both"/>
        <w:rPr>
          <w:rFonts w:ascii="Verdana" w:hAnsi="Verdana"/>
          <w:bCs/>
          <w:sz w:val="22"/>
          <w:szCs w:val="22"/>
        </w:rPr>
      </w:pPr>
      <w:r w:rsidRPr="00A62343">
        <w:rPr>
          <w:rFonts w:ascii="Verdana" w:eastAsia="Arial" w:hAnsi="Verdana" w:cs="Arial"/>
          <w:sz w:val="22"/>
          <w:szCs w:val="22"/>
        </w:rPr>
        <w:t xml:space="preserve">El </w:t>
      </w:r>
      <w:r w:rsidRPr="00A62343">
        <w:rPr>
          <w:rFonts w:ascii="Verdana" w:hAnsi="Verdana"/>
          <w:bCs/>
          <w:smallCaps/>
          <w:sz w:val="22"/>
          <w:szCs w:val="22"/>
        </w:rPr>
        <w:t xml:space="preserve">Acto Reclamado </w:t>
      </w:r>
      <w:r w:rsidRPr="00A62343">
        <w:rPr>
          <w:rFonts w:ascii="Verdana" w:hAnsi="Verdana" w:cs="Arial"/>
          <w:bCs/>
          <w:sz w:val="22"/>
          <w:szCs w:val="22"/>
        </w:rPr>
        <w:t>es extemporáneo, violentando el principio de certeza, que consiste en que las leyes electorales federales y locales deberán promulgarse y publicarse por lo menos noventa días antes de que inicie el proceso electoral en que vayan a aplicarse y durante el mismo no podrá haber modificaciones legales fundamentales</w:t>
      </w:r>
      <w:r w:rsidR="00AA6C88" w:rsidRPr="00A62343">
        <w:rPr>
          <w:rFonts w:ascii="Verdana" w:hAnsi="Verdana" w:cs="Arial"/>
          <w:bCs/>
          <w:sz w:val="22"/>
          <w:szCs w:val="22"/>
        </w:rPr>
        <w:t>; y,</w:t>
      </w:r>
    </w:p>
    <w:p w14:paraId="13BECCF2" w14:textId="77777777" w:rsidR="006F50B8" w:rsidRPr="00A62343" w:rsidRDefault="00075A1E" w:rsidP="001F54E1">
      <w:pPr>
        <w:pStyle w:val="NormalWeb"/>
        <w:numPr>
          <w:ilvl w:val="0"/>
          <w:numId w:val="1"/>
        </w:numPr>
        <w:spacing w:line="360" w:lineRule="auto"/>
        <w:jc w:val="both"/>
        <w:rPr>
          <w:rFonts w:ascii="Verdana" w:hAnsi="Verdana" w:cs="Arial"/>
          <w:bCs/>
          <w:sz w:val="22"/>
          <w:szCs w:val="22"/>
        </w:rPr>
      </w:pPr>
      <w:r w:rsidRPr="00A62343">
        <w:rPr>
          <w:rFonts w:ascii="Verdana" w:hAnsi="Verdana" w:cs="Arial"/>
          <w:bCs/>
          <w:sz w:val="22"/>
          <w:szCs w:val="22"/>
        </w:rPr>
        <w:t xml:space="preserve">Es inconsistente el criterio adoptado por la </w:t>
      </w:r>
      <w:r w:rsidRPr="00A62343">
        <w:rPr>
          <w:rFonts w:ascii="Verdana" w:hAnsi="Verdana" w:cs="Arial"/>
          <w:bCs/>
          <w:smallCaps/>
          <w:sz w:val="22"/>
          <w:szCs w:val="22"/>
        </w:rPr>
        <w:t xml:space="preserve">Autoridad Responsable </w:t>
      </w:r>
      <w:r w:rsidRPr="00A62343">
        <w:rPr>
          <w:rFonts w:ascii="Verdana" w:hAnsi="Verdana" w:cs="Arial"/>
          <w:bCs/>
          <w:sz w:val="22"/>
          <w:szCs w:val="22"/>
        </w:rPr>
        <w:t xml:space="preserve">al señalar que se tomará en consideración </w:t>
      </w:r>
      <w:r w:rsidR="006F50B8" w:rsidRPr="00A62343">
        <w:rPr>
          <w:rFonts w:ascii="Verdana" w:hAnsi="Verdana" w:cs="Arial"/>
          <w:bCs/>
          <w:sz w:val="22"/>
          <w:szCs w:val="22"/>
        </w:rPr>
        <w:t xml:space="preserve">para la postulación de candidaturas a los grupos de atención prioritaria, el Proceso Electoral Concurrente Ordinario 2020-2021, puesto que pasa por alto la </w:t>
      </w:r>
      <w:proofErr w:type="spellStart"/>
      <w:r w:rsidR="006F50B8" w:rsidRPr="00A62343">
        <w:rPr>
          <w:rFonts w:ascii="Verdana" w:hAnsi="Verdana" w:cs="Arial"/>
          <w:bCs/>
          <w:sz w:val="22"/>
          <w:szCs w:val="22"/>
        </w:rPr>
        <w:t>distritación</w:t>
      </w:r>
      <w:proofErr w:type="spellEnd"/>
      <w:r w:rsidR="006F50B8" w:rsidRPr="00A62343">
        <w:rPr>
          <w:rFonts w:ascii="Verdana" w:hAnsi="Verdana" w:cs="Arial"/>
          <w:bCs/>
          <w:sz w:val="22"/>
          <w:szCs w:val="22"/>
        </w:rPr>
        <w:t xml:space="preserve"> y el </w:t>
      </w:r>
      <w:proofErr w:type="spellStart"/>
      <w:r w:rsidR="006F50B8" w:rsidRPr="00A62343">
        <w:rPr>
          <w:rFonts w:ascii="Verdana" w:hAnsi="Verdana" w:cs="Arial"/>
          <w:bCs/>
          <w:sz w:val="22"/>
          <w:szCs w:val="22"/>
        </w:rPr>
        <w:t>reseccionamiento</w:t>
      </w:r>
      <w:proofErr w:type="spellEnd"/>
      <w:r w:rsidR="006F50B8" w:rsidRPr="00A62343">
        <w:rPr>
          <w:rFonts w:ascii="Verdana" w:hAnsi="Verdana" w:cs="Arial"/>
          <w:bCs/>
          <w:sz w:val="22"/>
          <w:szCs w:val="22"/>
        </w:rPr>
        <w:t xml:space="preserve"> realizado en el Estado recientemente.</w:t>
      </w:r>
    </w:p>
    <w:p w14:paraId="214715ED" w14:textId="738D1FB4" w:rsidR="002845F6" w:rsidRPr="00A62343" w:rsidRDefault="007624A3" w:rsidP="001F54E1">
      <w:pPr>
        <w:pStyle w:val="NormalWeb"/>
        <w:spacing w:line="360" w:lineRule="auto"/>
        <w:jc w:val="both"/>
        <w:rPr>
          <w:rFonts w:ascii="Verdana" w:hAnsi="Verdana" w:cs="Arial"/>
          <w:bCs/>
          <w:sz w:val="22"/>
          <w:szCs w:val="22"/>
        </w:rPr>
      </w:pPr>
      <w:r w:rsidRPr="00A62343">
        <w:rPr>
          <w:rFonts w:ascii="Verdana" w:hAnsi="Verdana" w:cs="Arial"/>
          <w:bCs/>
          <w:sz w:val="22"/>
          <w:szCs w:val="22"/>
        </w:rPr>
        <w:lastRenderedPageBreak/>
        <w:t xml:space="preserve">Agravios aducidos </w:t>
      </w:r>
      <w:r w:rsidR="00490623" w:rsidRPr="00A62343">
        <w:rPr>
          <w:rFonts w:ascii="Verdana" w:hAnsi="Verdana" w:cs="Arial"/>
          <w:bCs/>
          <w:sz w:val="22"/>
          <w:szCs w:val="22"/>
        </w:rPr>
        <w:t xml:space="preserve">de manera idéntica </w:t>
      </w:r>
      <w:r w:rsidRPr="00A62343">
        <w:rPr>
          <w:rFonts w:ascii="Verdana" w:hAnsi="Verdana" w:cs="Arial"/>
          <w:bCs/>
          <w:sz w:val="22"/>
          <w:szCs w:val="22"/>
        </w:rPr>
        <w:t xml:space="preserve">en los Juicios </w:t>
      </w:r>
      <w:r w:rsidRPr="00A62343">
        <w:rPr>
          <w:rFonts w:ascii="Verdana" w:hAnsi="Verdana" w:cs="Arial"/>
          <w:sz w:val="22"/>
          <w:szCs w:val="22"/>
        </w:rPr>
        <w:t>para la Protección de los Derechos Político-Electorales de la Ciudadanía</w:t>
      </w:r>
      <w:r w:rsidRPr="00A62343">
        <w:rPr>
          <w:rFonts w:ascii="Verdana" w:hAnsi="Verdana" w:cs="Arial"/>
          <w:bCs/>
          <w:sz w:val="22"/>
          <w:szCs w:val="22"/>
        </w:rPr>
        <w:t xml:space="preserve"> por </w:t>
      </w:r>
      <w:r w:rsidRPr="00A62343">
        <w:rPr>
          <w:rFonts w:ascii="Verdana" w:hAnsi="Verdana" w:cs="Arial"/>
          <w:sz w:val="22"/>
          <w:szCs w:val="22"/>
        </w:rPr>
        <w:t xml:space="preserve">las </w:t>
      </w:r>
      <w:r w:rsidRPr="00A62343">
        <w:rPr>
          <w:rFonts w:ascii="Verdana" w:hAnsi="Verdana"/>
          <w:bCs/>
          <w:smallCaps/>
          <w:sz w:val="22"/>
          <w:szCs w:val="22"/>
        </w:rPr>
        <w:t>Partes Promoventes:</w:t>
      </w:r>
      <w:r w:rsidRPr="00A62343">
        <w:rPr>
          <w:rFonts w:ascii="Verdana" w:hAnsi="Verdana" w:cs="Arial"/>
          <w:bCs/>
          <w:sz w:val="22"/>
          <w:szCs w:val="22"/>
        </w:rPr>
        <w:t xml:space="preserve"> </w:t>
      </w:r>
    </w:p>
    <w:p w14:paraId="1C442F19" w14:textId="60227B94" w:rsidR="00632355" w:rsidRPr="00A62343" w:rsidRDefault="006F50B8" w:rsidP="001F54E1">
      <w:pPr>
        <w:pStyle w:val="NormalWeb"/>
        <w:numPr>
          <w:ilvl w:val="0"/>
          <w:numId w:val="3"/>
        </w:numPr>
        <w:spacing w:line="360" w:lineRule="auto"/>
        <w:jc w:val="both"/>
        <w:rPr>
          <w:rFonts w:ascii="Verdana" w:hAnsi="Verdana" w:cs="Arial"/>
          <w:bCs/>
          <w:sz w:val="22"/>
          <w:szCs w:val="22"/>
        </w:rPr>
      </w:pPr>
      <w:r w:rsidRPr="00A62343">
        <w:rPr>
          <w:rFonts w:ascii="Verdana" w:hAnsi="Verdana" w:cs="Arial"/>
          <w:bCs/>
          <w:sz w:val="22"/>
          <w:szCs w:val="22"/>
        </w:rPr>
        <w:t xml:space="preserve">La </w:t>
      </w:r>
      <w:r w:rsidR="00EC5369" w:rsidRPr="00A62343">
        <w:rPr>
          <w:rFonts w:ascii="Verdana" w:hAnsi="Verdana" w:cs="Arial"/>
          <w:bCs/>
          <w:sz w:val="22"/>
          <w:szCs w:val="22"/>
        </w:rPr>
        <w:t xml:space="preserve">omisión de la </w:t>
      </w:r>
      <w:r w:rsidR="00EC5369" w:rsidRPr="00A62343">
        <w:rPr>
          <w:rFonts w:ascii="Verdana" w:hAnsi="Verdana" w:cs="Arial"/>
          <w:bCs/>
          <w:smallCaps/>
          <w:sz w:val="22"/>
          <w:szCs w:val="22"/>
        </w:rPr>
        <w:t>Autoridad Responsable</w:t>
      </w:r>
      <w:r w:rsidR="00EC5369" w:rsidRPr="00A62343">
        <w:rPr>
          <w:rFonts w:ascii="Verdana" w:hAnsi="Verdana" w:cs="Arial"/>
          <w:bCs/>
          <w:sz w:val="22"/>
          <w:szCs w:val="22"/>
        </w:rPr>
        <w:t xml:space="preserve"> de no haber considerado una acción afirmativa para los pueblos y/o comunidades indígenas y/o naciones mexicanas, transgrediendo el artículo 2 de la </w:t>
      </w:r>
      <w:r w:rsidR="00EC5369" w:rsidRPr="00A62343">
        <w:rPr>
          <w:rFonts w:ascii="Verdana" w:hAnsi="Verdana" w:cs="Arial"/>
          <w:bCs/>
          <w:smallCaps/>
          <w:sz w:val="22"/>
          <w:szCs w:val="22"/>
        </w:rPr>
        <w:t>Constitución Federal</w:t>
      </w:r>
      <w:r w:rsidR="00AA6C88" w:rsidRPr="00A62343">
        <w:rPr>
          <w:rFonts w:ascii="Verdana" w:hAnsi="Verdana" w:cs="Arial"/>
          <w:bCs/>
          <w:sz w:val="22"/>
          <w:szCs w:val="22"/>
        </w:rPr>
        <w:t>;</w:t>
      </w:r>
    </w:p>
    <w:p w14:paraId="7CA644C2" w14:textId="62809F2C" w:rsidR="00EC5369" w:rsidRPr="00A62343" w:rsidRDefault="00BF2F5F" w:rsidP="001F54E1">
      <w:pPr>
        <w:pStyle w:val="NormalWeb"/>
        <w:numPr>
          <w:ilvl w:val="0"/>
          <w:numId w:val="3"/>
        </w:numPr>
        <w:spacing w:line="360" w:lineRule="auto"/>
        <w:jc w:val="both"/>
        <w:rPr>
          <w:rFonts w:ascii="Verdana" w:hAnsi="Verdana" w:cs="Arial"/>
          <w:bCs/>
          <w:sz w:val="22"/>
          <w:szCs w:val="22"/>
        </w:rPr>
      </w:pPr>
      <w:r w:rsidRPr="00A62343">
        <w:rPr>
          <w:rFonts w:ascii="Verdana" w:hAnsi="Verdana" w:cs="Arial"/>
          <w:bCs/>
          <w:sz w:val="22"/>
          <w:szCs w:val="22"/>
        </w:rPr>
        <w:t>Violación al principio de progresividad</w:t>
      </w:r>
      <w:r w:rsidR="00AA6C88" w:rsidRPr="00A62343">
        <w:rPr>
          <w:rFonts w:ascii="Verdana" w:hAnsi="Verdana" w:cs="Arial"/>
          <w:bCs/>
          <w:sz w:val="22"/>
          <w:szCs w:val="22"/>
        </w:rPr>
        <w:t>;</w:t>
      </w:r>
    </w:p>
    <w:p w14:paraId="477E00E0" w14:textId="43DD97BE" w:rsidR="00EC2079" w:rsidRPr="00A62343" w:rsidRDefault="00B341AC" w:rsidP="001F54E1">
      <w:pPr>
        <w:pStyle w:val="NormalWeb"/>
        <w:numPr>
          <w:ilvl w:val="0"/>
          <w:numId w:val="3"/>
        </w:numPr>
        <w:spacing w:line="360" w:lineRule="auto"/>
        <w:jc w:val="both"/>
        <w:rPr>
          <w:rFonts w:ascii="Verdana" w:hAnsi="Verdana" w:cs="Arial"/>
          <w:bCs/>
          <w:sz w:val="22"/>
          <w:szCs w:val="22"/>
        </w:rPr>
      </w:pPr>
      <w:r w:rsidRPr="00A62343">
        <w:rPr>
          <w:rFonts w:ascii="Verdana" w:hAnsi="Verdana" w:cs="Arial"/>
          <w:bCs/>
          <w:sz w:val="22"/>
          <w:szCs w:val="22"/>
        </w:rPr>
        <w:t>No se consideró la población total indígena en Aguascalientes, ni la población indígena en cada municipio</w:t>
      </w:r>
      <w:r w:rsidR="00AA6C88" w:rsidRPr="00A62343">
        <w:rPr>
          <w:rFonts w:ascii="Verdana" w:hAnsi="Verdana" w:cs="Arial"/>
          <w:bCs/>
          <w:sz w:val="22"/>
          <w:szCs w:val="22"/>
        </w:rPr>
        <w:t>;</w:t>
      </w:r>
    </w:p>
    <w:p w14:paraId="6729F7EB" w14:textId="7FE08A83" w:rsidR="00B341AC" w:rsidRPr="00A62343" w:rsidRDefault="00B341AC" w:rsidP="001F54E1">
      <w:pPr>
        <w:pStyle w:val="NormalWeb"/>
        <w:numPr>
          <w:ilvl w:val="0"/>
          <w:numId w:val="3"/>
        </w:numPr>
        <w:spacing w:line="360" w:lineRule="auto"/>
        <w:jc w:val="both"/>
        <w:rPr>
          <w:rFonts w:ascii="Verdana" w:hAnsi="Verdana" w:cs="Arial"/>
          <w:bCs/>
          <w:sz w:val="22"/>
          <w:szCs w:val="22"/>
        </w:rPr>
      </w:pPr>
      <w:r w:rsidRPr="00A62343">
        <w:rPr>
          <w:rFonts w:ascii="Verdana" w:hAnsi="Verdana" w:cs="Arial"/>
          <w:bCs/>
          <w:sz w:val="22"/>
          <w:szCs w:val="22"/>
        </w:rPr>
        <w:t xml:space="preserve">La omisión de la </w:t>
      </w:r>
      <w:r w:rsidRPr="00A62343">
        <w:rPr>
          <w:rFonts w:ascii="Verdana" w:hAnsi="Verdana" w:cs="Arial"/>
          <w:bCs/>
          <w:smallCaps/>
          <w:sz w:val="22"/>
          <w:szCs w:val="22"/>
        </w:rPr>
        <w:t>Autoridad Responsable</w:t>
      </w:r>
      <w:r w:rsidRPr="00A62343">
        <w:rPr>
          <w:rFonts w:ascii="Verdana" w:hAnsi="Verdana" w:cs="Arial"/>
          <w:bCs/>
          <w:sz w:val="22"/>
          <w:szCs w:val="22"/>
        </w:rPr>
        <w:t xml:space="preserve"> de realizar una consulta </w:t>
      </w:r>
      <w:r w:rsidR="003B6276" w:rsidRPr="00A62343">
        <w:rPr>
          <w:rFonts w:ascii="Verdana" w:hAnsi="Verdana" w:cs="Arial"/>
          <w:bCs/>
          <w:sz w:val="22"/>
          <w:szCs w:val="22"/>
        </w:rPr>
        <w:t xml:space="preserve">previa, libre, informada y de buena fe </w:t>
      </w:r>
      <w:r w:rsidRPr="00A62343">
        <w:rPr>
          <w:rFonts w:ascii="Verdana" w:hAnsi="Verdana" w:cs="Arial"/>
          <w:bCs/>
          <w:sz w:val="22"/>
          <w:szCs w:val="22"/>
        </w:rPr>
        <w:t>a las personas indígenas</w:t>
      </w:r>
      <w:r w:rsidR="003B6276" w:rsidRPr="00A62343">
        <w:rPr>
          <w:rFonts w:ascii="Verdana" w:hAnsi="Verdana" w:cs="Arial"/>
          <w:bCs/>
          <w:sz w:val="22"/>
          <w:szCs w:val="22"/>
        </w:rPr>
        <w:t>.</w:t>
      </w:r>
    </w:p>
    <w:bookmarkEnd w:id="1"/>
    <w:p w14:paraId="0B3FD240" w14:textId="767EEB85" w:rsidR="00527373" w:rsidRPr="00A62343" w:rsidRDefault="009174F3" w:rsidP="001F54E1">
      <w:pPr>
        <w:spacing w:before="100" w:beforeAutospacing="1" w:after="100" w:afterAutospacing="1" w:line="360" w:lineRule="auto"/>
        <w:jc w:val="both"/>
        <w:rPr>
          <w:rFonts w:ascii="Verdana" w:hAnsi="Verdana" w:cs="Arial"/>
          <w:b/>
          <w:sz w:val="22"/>
          <w:szCs w:val="22"/>
        </w:rPr>
      </w:pPr>
      <w:r w:rsidRPr="00A62343">
        <w:rPr>
          <w:rFonts w:ascii="Verdana" w:hAnsi="Verdana" w:cs="Arial"/>
          <w:b/>
          <w:sz w:val="22"/>
          <w:szCs w:val="22"/>
        </w:rPr>
        <w:t>SÉPTIM</w:t>
      </w:r>
      <w:r w:rsidR="006C5A6C" w:rsidRPr="00A62343">
        <w:rPr>
          <w:rFonts w:ascii="Verdana" w:hAnsi="Verdana" w:cs="Arial"/>
          <w:b/>
          <w:sz w:val="22"/>
          <w:szCs w:val="22"/>
        </w:rPr>
        <w:t>A</w:t>
      </w:r>
      <w:r w:rsidR="00BA63AD" w:rsidRPr="00A62343">
        <w:rPr>
          <w:rFonts w:ascii="Verdana" w:hAnsi="Verdana" w:cs="Arial"/>
          <w:b/>
          <w:sz w:val="22"/>
          <w:szCs w:val="22"/>
        </w:rPr>
        <w:t>. Metodología.</w:t>
      </w:r>
      <w:r w:rsidR="00527373" w:rsidRPr="00A62343">
        <w:rPr>
          <w:rFonts w:ascii="Verdana" w:hAnsi="Verdana" w:cs="Arial"/>
          <w:b/>
          <w:sz w:val="22"/>
          <w:szCs w:val="22"/>
        </w:rPr>
        <w:t xml:space="preserve"> </w:t>
      </w:r>
      <w:r w:rsidR="00BA63AD" w:rsidRPr="00A62343">
        <w:rPr>
          <w:rFonts w:ascii="Verdana" w:hAnsi="Verdana" w:cs="Arial"/>
          <w:sz w:val="22"/>
          <w:szCs w:val="22"/>
        </w:rPr>
        <w:t xml:space="preserve">Los agravios </w:t>
      </w:r>
      <w:r w:rsidR="00527373" w:rsidRPr="00A62343">
        <w:rPr>
          <w:rFonts w:ascii="Verdana" w:hAnsi="Verdana" w:cs="Arial"/>
          <w:sz w:val="22"/>
          <w:szCs w:val="22"/>
        </w:rPr>
        <w:t>que expone</w:t>
      </w:r>
      <w:r w:rsidR="007624A3" w:rsidRPr="00A62343">
        <w:rPr>
          <w:rFonts w:ascii="Verdana" w:hAnsi="Verdana" w:cs="Arial"/>
          <w:sz w:val="22"/>
          <w:szCs w:val="22"/>
        </w:rPr>
        <w:t xml:space="preserve">n los </w:t>
      </w:r>
      <w:r w:rsidR="007624A3" w:rsidRPr="00A62343">
        <w:rPr>
          <w:rFonts w:ascii="Verdana" w:eastAsia="Arial" w:hAnsi="Verdana" w:cs="Arial"/>
          <w:bCs/>
          <w:smallCaps/>
          <w:color w:val="000000"/>
          <w:sz w:val="22"/>
          <w:szCs w:val="22"/>
          <w:lang w:val="es-MX"/>
        </w:rPr>
        <w:t>Partidos Recurrentes,</w:t>
      </w:r>
      <w:r w:rsidR="007624A3" w:rsidRPr="00A62343">
        <w:rPr>
          <w:rFonts w:ascii="Verdana" w:hAnsi="Verdana" w:cs="Arial"/>
          <w:sz w:val="22"/>
          <w:szCs w:val="22"/>
        </w:rPr>
        <w:t xml:space="preserve"> así como las </w:t>
      </w:r>
      <w:r w:rsidR="007624A3" w:rsidRPr="00A62343">
        <w:rPr>
          <w:rFonts w:ascii="Verdana" w:hAnsi="Verdana"/>
          <w:bCs/>
          <w:smallCaps/>
          <w:sz w:val="22"/>
          <w:szCs w:val="22"/>
        </w:rPr>
        <w:t>Partes Promoventes</w:t>
      </w:r>
      <w:r w:rsidR="003C0CB3" w:rsidRPr="00A62343">
        <w:rPr>
          <w:rFonts w:ascii="Verdana" w:eastAsia="Arial" w:hAnsi="Verdana" w:cs="Arial"/>
          <w:smallCaps/>
          <w:color w:val="000000"/>
          <w:sz w:val="22"/>
          <w:szCs w:val="22"/>
        </w:rPr>
        <w:t xml:space="preserve">, </w:t>
      </w:r>
      <w:r w:rsidR="003C0CB3" w:rsidRPr="00A62343">
        <w:rPr>
          <w:rFonts w:ascii="Verdana" w:eastAsia="Arial" w:hAnsi="Verdana" w:cs="Arial"/>
          <w:color w:val="000000"/>
          <w:sz w:val="22"/>
          <w:szCs w:val="22"/>
        </w:rPr>
        <w:t xml:space="preserve">serán analizados de acuerdo con los temas expuestos </w:t>
      </w:r>
      <w:r w:rsidR="00D466D9" w:rsidRPr="00A62343">
        <w:rPr>
          <w:rFonts w:ascii="Verdana" w:eastAsia="Arial" w:hAnsi="Verdana" w:cs="Arial"/>
          <w:color w:val="000000"/>
          <w:sz w:val="22"/>
          <w:szCs w:val="22"/>
        </w:rPr>
        <w:t>en estos</w:t>
      </w:r>
      <w:r w:rsidR="003C0CB3" w:rsidRPr="00A62343">
        <w:rPr>
          <w:rFonts w:ascii="Verdana" w:eastAsia="Arial" w:hAnsi="Verdana" w:cs="Arial"/>
          <w:color w:val="000000"/>
          <w:sz w:val="22"/>
          <w:szCs w:val="22"/>
        </w:rPr>
        <w:t>; en el entendido que los agravios comunes se analizarán de manera conjunta, lo que no genera perjuicio alguno, pues lo trascendente es que serán estudiados todos sus planteamientos</w:t>
      </w:r>
      <w:r w:rsidR="00527373" w:rsidRPr="00A62343">
        <w:rPr>
          <w:rFonts w:ascii="Verdana" w:hAnsi="Verdana" w:cs="Arial"/>
          <w:sz w:val="22"/>
          <w:szCs w:val="22"/>
        </w:rPr>
        <w:t>.</w:t>
      </w:r>
      <w:r w:rsidR="00527373" w:rsidRPr="00A62343">
        <w:rPr>
          <w:rStyle w:val="Refdenotaalpie"/>
          <w:rFonts w:ascii="Verdana" w:hAnsi="Verdana" w:cs="Arial"/>
          <w:sz w:val="22"/>
          <w:szCs w:val="22"/>
        </w:rPr>
        <w:footnoteReference w:id="19"/>
      </w:r>
    </w:p>
    <w:p w14:paraId="420EFD1B" w14:textId="237BFB53" w:rsidR="00BA63AD" w:rsidRPr="00A62343" w:rsidRDefault="009174F3" w:rsidP="001F54E1">
      <w:pPr>
        <w:spacing w:before="100" w:beforeAutospacing="1" w:after="100" w:afterAutospacing="1" w:line="360" w:lineRule="auto"/>
        <w:jc w:val="both"/>
        <w:rPr>
          <w:rFonts w:ascii="Verdana" w:hAnsi="Verdana" w:cs="Arial"/>
          <w:b/>
          <w:sz w:val="22"/>
          <w:szCs w:val="22"/>
        </w:rPr>
      </w:pPr>
      <w:r w:rsidRPr="00A62343">
        <w:rPr>
          <w:rFonts w:ascii="Verdana" w:hAnsi="Verdana" w:cs="Arial"/>
          <w:b/>
          <w:sz w:val="22"/>
          <w:szCs w:val="22"/>
        </w:rPr>
        <w:t>OCTAVA</w:t>
      </w:r>
      <w:r w:rsidR="00BA63AD" w:rsidRPr="00A62343">
        <w:rPr>
          <w:rFonts w:ascii="Verdana" w:hAnsi="Verdana" w:cs="Arial"/>
          <w:b/>
          <w:sz w:val="22"/>
          <w:szCs w:val="22"/>
        </w:rPr>
        <w:t>. Estudio de fondo.</w:t>
      </w:r>
    </w:p>
    <w:p w14:paraId="5410CD13" w14:textId="33EC2A12" w:rsidR="00BA63AD" w:rsidRPr="00A62343" w:rsidRDefault="009A48DD" w:rsidP="001F54E1">
      <w:pPr>
        <w:pStyle w:val="Prrafodelista"/>
        <w:spacing w:before="100" w:beforeAutospacing="1" w:after="100" w:afterAutospacing="1" w:line="360" w:lineRule="auto"/>
        <w:ind w:left="0"/>
        <w:jc w:val="both"/>
        <w:rPr>
          <w:rFonts w:ascii="Verdana" w:hAnsi="Verdana" w:cs="Arial"/>
          <w:b/>
          <w:bCs/>
          <w:sz w:val="22"/>
          <w:szCs w:val="22"/>
        </w:rPr>
      </w:pPr>
      <w:r w:rsidRPr="00A62343">
        <w:rPr>
          <w:rFonts w:ascii="Verdana" w:hAnsi="Verdana" w:cs="Arial"/>
          <w:b/>
          <w:bCs/>
          <w:sz w:val="22"/>
          <w:szCs w:val="22"/>
        </w:rPr>
        <w:t xml:space="preserve">1. </w:t>
      </w:r>
      <w:r w:rsidR="00BA63AD" w:rsidRPr="00A62343">
        <w:rPr>
          <w:rFonts w:ascii="Verdana" w:hAnsi="Verdana" w:cs="Arial"/>
          <w:b/>
          <w:bCs/>
          <w:sz w:val="22"/>
          <w:szCs w:val="22"/>
        </w:rPr>
        <w:t>Caso concreto.</w:t>
      </w:r>
    </w:p>
    <w:p w14:paraId="76E99829" w14:textId="19045A2E" w:rsidR="009F19BC" w:rsidRPr="00A62343" w:rsidRDefault="00BA63AD" w:rsidP="001F54E1">
      <w:pPr>
        <w:spacing w:before="100" w:beforeAutospacing="1" w:after="100" w:afterAutospacing="1" w:line="360" w:lineRule="auto"/>
        <w:jc w:val="both"/>
        <w:rPr>
          <w:rFonts w:ascii="Verdana" w:hAnsi="Verdana" w:cs="Arial"/>
          <w:bCs/>
          <w:sz w:val="22"/>
          <w:szCs w:val="22"/>
        </w:rPr>
      </w:pPr>
      <w:r w:rsidRPr="00A62343">
        <w:rPr>
          <w:rFonts w:ascii="Verdana" w:eastAsia="Arial" w:hAnsi="Verdana" w:cs="Arial"/>
          <w:sz w:val="22"/>
          <w:szCs w:val="22"/>
        </w:rPr>
        <w:t xml:space="preserve">La </w:t>
      </w:r>
      <w:r w:rsidRPr="00A62343">
        <w:rPr>
          <w:rFonts w:ascii="Verdana" w:eastAsia="Arial" w:hAnsi="Verdana" w:cs="Arial"/>
          <w:smallCaps/>
          <w:sz w:val="22"/>
          <w:szCs w:val="22"/>
        </w:rPr>
        <w:t>Autoridad Responsable</w:t>
      </w:r>
      <w:r w:rsidRPr="00A62343">
        <w:rPr>
          <w:rFonts w:ascii="Verdana" w:eastAsia="Arial" w:hAnsi="Verdana" w:cs="Arial"/>
          <w:sz w:val="22"/>
          <w:szCs w:val="22"/>
        </w:rPr>
        <w:t>,</w:t>
      </w:r>
      <w:r w:rsidR="000A6968" w:rsidRPr="00A62343">
        <w:rPr>
          <w:rFonts w:ascii="Verdana" w:hAnsi="Verdana" w:cs="Arial"/>
          <w:sz w:val="22"/>
          <w:szCs w:val="22"/>
        </w:rPr>
        <w:t xml:space="preserve"> </w:t>
      </w:r>
      <w:r w:rsidR="002774C5" w:rsidRPr="00A62343">
        <w:rPr>
          <w:rFonts w:ascii="Verdana" w:hAnsi="Verdana" w:cs="Arial"/>
          <w:bCs/>
          <w:sz w:val="22"/>
          <w:szCs w:val="22"/>
        </w:rPr>
        <w:t xml:space="preserve">aprobó los </w:t>
      </w:r>
      <w:r w:rsidR="00C37BC0" w:rsidRPr="00A62343">
        <w:rPr>
          <w:rFonts w:ascii="Verdana" w:hAnsi="Verdana" w:cs="Arial"/>
          <w:bCs/>
          <w:sz w:val="22"/>
          <w:szCs w:val="22"/>
        </w:rPr>
        <w:t>L</w:t>
      </w:r>
      <w:r w:rsidR="002774C5" w:rsidRPr="00A62343">
        <w:rPr>
          <w:rFonts w:ascii="Verdana" w:hAnsi="Verdana" w:cs="Arial"/>
          <w:bCs/>
          <w:sz w:val="22"/>
          <w:szCs w:val="22"/>
        </w:rPr>
        <w:t>ineamientos del Instituto Estatal Electoral de Aguascalientes, para la implementación de acciones afirmativas en favor de los grupos de atención prioritaria en la postulación de candidaturas, en el proceso electoral concurrente 2023-2024 en Aguascalientes</w:t>
      </w:r>
      <w:r w:rsidR="00C37BC0" w:rsidRPr="00A62343">
        <w:rPr>
          <w:rFonts w:ascii="Verdana" w:hAnsi="Verdana" w:cs="Arial"/>
          <w:bCs/>
          <w:sz w:val="22"/>
          <w:szCs w:val="22"/>
        </w:rPr>
        <w:t>.</w:t>
      </w:r>
    </w:p>
    <w:p w14:paraId="0363B480" w14:textId="0BBB3EAB" w:rsidR="003B6276" w:rsidRPr="00A62343" w:rsidRDefault="00C37BC0" w:rsidP="001F54E1">
      <w:pPr>
        <w:spacing w:before="100" w:beforeAutospacing="1" w:after="100" w:afterAutospacing="1" w:line="360" w:lineRule="auto"/>
        <w:jc w:val="both"/>
        <w:rPr>
          <w:rFonts w:ascii="Verdana" w:hAnsi="Verdana"/>
          <w:color w:val="5B9BD5" w:themeColor="accent5"/>
          <w:sz w:val="22"/>
          <w:szCs w:val="22"/>
        </w:rPr>
      </w:pPr>
      <w:r w:rsidRPr="00A62343">
        <w:rPr>
          <w:rFonts w:ascii="Verdana" w:hAnsi="Verdana"/>
          <w:bCs/>
          <w:sz w:val="22"/>
          <w:szCs w:val="22"/>
        </w:rPr>
        <w:t>L</w:t>
      </w:r>
      <w:r w:rsidR="003B6276" w:rsidRPr="00A62343">
        <w:rPr>
          <w:rFonts w:ascii="Verdana" w:hAnsi="Verdana"/>
          <w:bCs/>
          <w:sz w:val="22"/>
          <w:szCs w:val="22"/>
        </w:rPr>
        <w:t xml:space="preserve">os </w:t>
      </w:r>
      <w:r w:rsidR="003B6276" w:rsidRPr="00A62343">
        <w:rPr>
          <w:rFonts w:ascii="Verdana" w:hAnsi="Verdana"/>
          <w:bCs/>
          <w:smallCaps/>
          <w:sz w:val="22"/>
          <w:szCs w:val="22"/>
        </w:rPr>
        <w:t>Partidos Recurrentes</w:t>
      </w:r>
      <w:r w:rsidR="003B6276" w:rsidRPr="00A62343">
        <w:rPr>
          <w:rFonts w:ascii="Verdana" w:hAnsi="Verdana"/>
          <w:bCs/>
          <w:sz w:val="22"/>
          <w:szCs w:val="22"/>
        </w:rPr>
        <w:t xml:space="preserve"> consideran que la </w:t>
      </w:r>
      <w:r w:rsidR="003B6276" w:rsidRPr="00A62343">
        <w:rPr>
          <w:rFonts w:ascii="Verdana" w:hAnsi="Verdana"/>
          <w:bCs/>
          <w:smallCaps/>
          <w:sz w:val="22"/>
          <w:szCs w:val="22"/>
        </w:rPr>
        <w:t>Autoridad Responsable</w:t>
      </w:r>
      <w:r w:rsidR="003B6276" w:rsidRPr="00A62343">
        <w:rPr>
          <w:rFonts w:ascii="Verdana" w:hAnsi="Verdana"/>
          <w:bCs/>
          <w:sz w:val="22"/>
          <w:szCs w:val="22"/>
        </w:rPr>
        <w:t>:</w:t>
      </w:r>
      <w:r w:rsidRPr="00A62343">
        <w:rPr>
          <w:rFonts w:ascii="Verdana" w:hAnsi="Verdana"/>
          <w:bCs/>
          <w:sz w:val="22"/>
          <w:szCs w:val="22"/>
        </w:rPr>
        <w:t xml:space="preserve"> </w:t>
      </w:r>
      <w:r w:rsidR="003B6276" w:rsidRPr="00A62343">
        <w:rPr>
          <w:rFonts w:ascii="Verdana" w:hAnsi="Verdana"/>
          <w:b/>
          <w:bCs/>
          <w:sz w:val="22"/>
          <w:szCs w:val="22"/>
        </w:rPr>
        <w:t>i)</w:t>
      </w:r>
      <w:r w:rsidR="003B6276" w:rsidRPr="00A62343">
        <w:rPr>
          <w:rFonts w:ascii="Verdana" w:hAnsi="Verdana"/>
          <w:sz w:val="22"/>
          <w:szCs w:val="22"/>
        </w:rPr>
        <w:t xml:space="preserve"> vulneró lo dispuesto por los artículos 14 y 16 de la </w:t>
      </w:r>
      <w:r w:rsidR="003B6276" w:rsidRPr="00A62343">
        <w:rPr>
          <w:rFonts w:ascii="Verdana" w:hAnsi="Verdana"/>
          <w:smallCaps/>
          <w:sz w:val="22"/>
          <w:szCs w:val="22"/>
        </w:rPr>
        <w:t>Constitución Federal</w:t>
      </w:r>
      <w:r w:rsidR="003B6276" w:rsidRPr="00A62343">
        <w:rPr>
          <w:rFonts w:ascii="Verdana" w:hAnsi="Verdana"/>
          <w:sz w:val="22"/>
          <w:szCs w:val="22"/>
        </w:rPr>
        <w:t xml:space="preserve">, referente a que no se puede privar a su partido representado de derecho alguno, sino solamente a través de un juicio seguido ante los tribunales y que el acto de molestia debe ser debidamente fundado y motivado y emitido por autoridad competente, puesto que pretende atribuirse facultades reservadas al Congreso Local; </w:t>
      </w:r>
      <w:proofErr w:type="spellStart"/>
      <w:r w:rsidR="003B6276" w:rsidRPr="00A62343">
        <w:rPr>
          <w:rFonts w:ascii="Verdana" w:hAnsi="Verdana"/>
          <w:b/>
          <w:bCs/>
          <w:sz w:val="22"/>
          <w:szCs w:val="22"/>
        </w:rPr>
        <w:t>ii</w:t>
      </w:r>
      <w:proofErr w:type="spellEnd"/>
      <w:r w:rsidR="003B6276" w:rsidRPr="00A62343">
        <w:rPr>
          <w:rFonts w:ascii="Verdana" w:hAnsi="Verdana"/>
          <w:b/>
          <w:bCs/>
          <w:sz w:val="22"/>
          <w:szCs w:val="22"/>
        </w:rPr>
        <w:t>)</w:t>
      </w:r>
      <w:r w:rsidR="003B6276" w:rsidRPr="00A62343">
        <w:rPr>
          <w:rFonts w:ascii="Verdana" w:hAnsi="Verdana"/>
          <w:sz w:val="22"/>
          <w:szCs w:val="22"/>
        </w:rPr>
        <w:t xml:space="preserve"> violenta los principios de autodeterminación y autoorganización de los partidos políticos; </w:t>
      </w:r>
      <w:proofErr w:type="spellStart"/>
      <w:r w:rsidR="003B6276" w:rsidRPr="00A62343">
        <w:rPr>
          <w:rFonts w:ascii="Verdana" w:hAnsi="Verdana"/>
          <w:b/>
          <w:bCs/>
          <w:sz w:val="22"/>
          <w:szCs w:val="22"/>
        </w:rPr>
        <w:t>iii</w:t>
      </w:r>
      <w:proofErr w:type="spellEnd"/>
      <w:r w:rsidR="003B6276" w:rsidRPr="00A62343">
        <w:rPr>
          <w:rFonts w:ascii="Verdana" w:hAnsi="Verdana"/>
          <w:b/>
          <w:bCs/>
          <w:sz w:val="22"/>
          <w:szCs w:val="22"/>
        </w:rPr>
        <w:t>)</w:t>
      </w:r>
      <w:r w:rsidR="003B6276" w:rsidRPr="00A62343">
        <w:rPr>
          <w:rFonts w:ascii="Verdana" w:hAnsi="Verdana"/>
          <w:sz w:val="22"/>
          <w:szCs w:val="22"/>
        </w:rPr>
        <w:t xml:space="preserve"> que </w:t>
      </w:r>
      <w:r w:rsidR="003B6276" w:rsidRPr="00A62343">
        <w:rPr>
          <w:rFonts w:ascii="Verdana" w:hAnsi="Verdana"/>
          <w:sz w:val="22"/>
          <w:szCs w:val="22"/>
        </w:rPr>
        <w:lastRenderedPageBreak/>
        <w:t xml:space="preserve">el criterio adoptado es inconsistente, pues señala que la elección que habrá de tomarse en consideración para la postulación de las candidaturas a los grupos de atención prioritaria, lo es el proceso electoral concurrente ordinario 2020-2021; y, </w:t>
      </w:r>
      <w:proofErr w:type="spellStart"/>
      <w:r w:rsidR="003B6276" w:rsidRPr="00A62343">
        <w:rPr>
          <w:rFonts w:ascii="Verdana" w:hAnsi="Verdana"/>
          <w:b/>
          <w:bCs/>
          <w:sz w:val="22"/>
          <w:szCs w:val="22"/>
        </w:rPr>
        <w:t>iv</w:t>
      </w:r>
      <w:proofErr w:type="spellEnd"/>
      <w:r w:rsidR="003B6276" w:rsidRPr="00A62343">
        <w:rPr>
          <w:rFonts w:ascii="Verdana" w:hAnsi="Verdana"/>
          <w:b/>
          <w:bCs/>
          <w:sz w:val="22"/>
          <w:szCs w:val="22"/>
        </w:rPr>
        <w:t>)</w:t>
      </w:r>
      <w:r w:rsidR="003B6276" w:rsidRPr="00A62343">
        <w:rPr>
          <w:rFonts w:ascii="Verdana" w:hAnsi="Verdana"/>
          <w:sz w:val="22"/>
          <w:szCs w:val="22"/>
        </w:rPr>
        <w:t xml:space="preserve"> violenta principios constitucionales y de legalidad, al ser extemporáneo.</w:t>
      </w:r>
    </w:p>
    <w:p w14:paraId="2358881C" w14:textId="0478593D" w:rsidR="00C37BC0" w:rsidRPr="00A62343" w:rsidRDefault="003B6276" w:rsidP="001F54E1">
      <w:pPr>
        <w:spacing w:before="100" w:beforeAutospacing="1" w:after="100" w:afterAutospacing="1" w:line="360" w:lineRule="auto"/>
        <w:jc w:val="both"/>
        <w:rPr>
          <w:rFonts w:ascii="Verdana" w:eastAsia="Arial" w:hAnsi="Verdana" w:cs="Arial"/>
          <w:sz w:val="22"/>
          <w:szCs w:val="22"/>
        </w:rPr>
      </w:pPr>
      <w:r w:rsidRPr="00A62343">
        <w:rPr>
          <w:rFonts w:ascii="Verdana" w:hAnsi="Verdana" w:cs="Arial"/>
          <w:sz w:val="22"/>
          <w:szCs w:val="22"/>
        </w:rPr>
        <w:t xml:space="preserve">Por otro lado, las </w:t>
      </w:r>
      <w:r w:rsidRPr="00A62343">
        <w:rPr>
          <w:rFonts w:ascii="Verdana" w:hAnsi="Verdana" w:cs="Arial"/>
          <w:smallCaps/>
          <w:sz w:val="22"/>
          <w:szCs w:val="22"/>
        </w:rPr>
        <w:t>Partes Promoventes</w:t>
      </w:r>
      <w:r w:rsidRPr="00A62343">
        <w:rPr>
          <w:rFonts w:ascii="Verdana" w:hAnsi="Verdana" w:cs="Arial"/>
          <w:sz w:val="22"/>
          <w:szCs w:val="22"/>
        </w:rPr>
        <w:t xml:space="preserve"> consideran que en el </w:t>
      </w:r>
      <w:r w:rsidRPr="00A62343">
        <w:rPr>
          <w:rFonts w:ascii="Verdana" w:hAnsi="Verdana" w:cs="Arial"/>
          <w:smallCaps/>
          <w:sz w:val="22"/>
          <w:szCs w:val="22"/>
        </w:rPr>
        <w:t>Acto Impugnado</w:t>
      </w:r>
      <w:r w:rsidRPr="00A62343">
        <w:rPr>
          <w:rFonts w:ascii="Verdana" w:hAnsi="Verdana" w:cs="Arial"/>
          <w:sz w:val="22"/>
          <w:szCs w:val="22"/>
        </w:rPr>
        <w:t xml:space="preserve"> se </w:t>
      </w:r>
      <w:r w:rsidRPr="00A62343">
        <w:rPr>
          <w:rFonts w:ascii="Verdana" w:hAnsi="Verdana"/>
          <w:bCs/>
          <w:sz w:val="22"/>
          <w:szCs w:val="22"/>
        </w:rPr>
        <w:t>omitió incluir a los pueblos, y/o comunidades indígenas y/o naciones mexicanas en las cuotas y/o acciones afirmativas para los cargos de elección popular.</w:t>
      </w:r>
    </w:p>
    <w:p w14:paraId="20D247C5" w14:textId="3E352518" w:rsidR="00AA3000" w:rsidRPr="00A62343" w:rsidRDefault="009A48DD" w:rsidP="001F54E1">
      <w:pPr>
        <w:pStyle w:val="Prrafodelista"/>
        <w:spacing w:before="100" w:beforeAutospacing="1" w:after="100" w:afterAutospacing="1" w:line="360" w:lineRule="auto"/>
        <w:ind w:left="0"/>
        <w:jc w:val="both"/>
        <w:rPr>
          <w:rFonts w:ascii="Verdana" w:hAnsi="Verdana" w:cs="Arial"/>
          <w:b/>
          <w:sz w:val="22"/>
          <w:szCs w:val="22"/>
        </w:rPr>
      </w:pPr>
      <w:r w:rsidRPr="00A62343">
        <w:rPr>
          <w:rFonts w:ascii="Verdana" w:hAnsi="Verdana" w:cs="Arial"/>
          <w:b/>
          <w:sz w:val="22"/>
          <w:szCs w:val="22"/>
        </w:rPr>
        <w:t xml:space="preserve">2. </w:t>
      </w:r>
      <w:r w:rsidR="00BA63AD" w:rsidRPr="00A62343">
        <w:rPr>
          <w:rFonts w:ascii="Verdana" w:hAnsi="Verdana" w:cs="Arial"/>
          <w:b/>
          <w:sz w:val="22"/>
          <w:szCs w:val="22"/>
        </w:rPr>
        <w:t>Marco normativo</w:t>
      </w:r>
      <w:r w:rsidR="002774C5" w:rsidRPr="00A62343">
        <w:rPr>
          <w:rFonts w:ascii="Verdana" w:hAnsi="Verdana" w:cs="Arial"/>
          <w:b/>
          <w:sz w:val="22"/>
          <w:szCs w:val="22"/>
        </w:rPr>
        <w:t>.</w:t>
      </w:r>
    </w:p>
    <w:p w14:paraId="363989A5" w14:textId="77777777" w:rsidR="00E3794E" w:rsidRPr="00A62343" w:rsidRDefault="00E3794E" w:rsidP="001F54E1">
      <w:pPr>
        <w:spacing w:before="100" w:beforeAutospacing="1" w:after="100" w:afterAutospacing="1" w:line="360" w:lineRule="auto"/>
        <w:jc w:val="both"/>
        <w:rPr>
          <w:rFonts w:ascii="Verdana" w:hAnsi="Verdana" w:cs="Arial"/>
          <w:sz w:val="22"/>
          <w:szCs w:val="22"/>
          <w:lang w:val="es-MX"/>
        </w:rPr>
      </w:pPr>
      <w:r w:rsidRPr="00A62343">
        <w:rPr>
          <w:rFonts w:ascii="Verdana" w:hAnsi="Verdana" w:cs="Arial"/>
          <w:sz w:val="22"/>
          <w:szCs w:val="22"/>
          <w:lang w:val="es-MX"/>
        </w:rPr>
        <w:t xml:space="preserve">El artículo 116, fracción IV, inciso c) de la </w:t>
      </w:r>
      <w:r w:rsidRPr="00A62343">
        <w:rPr>
          <w:rFonts w:ascii="Verdana" w:hAnsi="Verdana" w:cs="Arial"/>
          <w:smallCaps/>
          <w:sz w:val="22"/>
          <w:szCs w:val="22"/>
          <w:lang w:val="es-MX"/>
        </w:rPr>
        <w:t>Constitución Federal</w:t>
      </w:r>
      <w:r w:rsidRPr="00A62343">
        <w:rPr>
          <w:rFonts w:ascii="Verdana" w:hAnsi="Verdana" w:cs="Arial"/>
          <w:sz w:val="22"/>
          <w:szCs w:val="22"/>
          <w:lang w:val="es-MX"/>
        </w:rPr>
        <w:t>, señala que, de conformidad con las bases establecidas en esa Constitución y las leyes generales en la materia, las Constituciones y leyes de los Estados en materia electoral, garantizarán que las autoridades que tengan a su cargo la organización de las elecciones gocen de autonomía en su funcionamiento, e independencia en sus decisiones.</w:t>
      </w:r>
    </w:p>
    <w:p w14:paraId="586244A0" w14:textId="638AB830" w:rsidR="00E3794E" w:rsidRPr="00A62343" w:rsidRDefault="00E3794E"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Por su parte, el </w:t>
      </w:r>
      <w:bookmarkStart w:id="2" w:name="_Hlk126102699"/>
      <w:r w:rsidRPr="00A62343">
        <w:rPr>
          <w:rFonts w:ascii="Verdana" w:hAnsi="Verdana" w:cs="Arial"/>
          <w:sz w:val="22"/>
          <w:szCs w:val="22"/>
        </w:rPr>
        <w:t xml:space="preserve">artículo 98, de la </w:t>
      </w:r>
      <w:bookmarkStart w:id="3" w:name="_Hlk128005773"/>
      <w:bookmarkEnd w:id="2"/>
      <w:r w:rsidR="00923918" w:rsidRPr="00A62343">
        <w:rPr>
          <w:rFonts w:ascii="Verdana" w:hAnsi="Verdana" w:cs="Arial"/>
          <w:sz w:val="22"/>
          <w:szCs w:val="22"/>
        </w:rPr>
        <w:t>Ley General de Instituciones y Procedimientos Electorales (</w:t>
      </w:r>
      <w:r w:rsidRPr="00A62343">
        <w:rPr>
          <w:rFonts w:ascii="Verdana" w:hAnsi="Verdana" w:cs="Arial"/>
          <w:smallCaps/>
          <w:sz w:val="22"/>
          <w:szCs w:val="22"/>
        </w:rPr>
        <w:t>LEGIPE</w:t>
      </w:r>
      <w:bookmarkEnd w:id="3"/>
      <w:r w:rsidR="00923918" w:rsidRPr="00A62343">
        <w:rPr>
          <w:rFonts w:ascii="Verdana" w:hAnsi="Verdana" w:cs="Arial"/>
          <w:sz w:val="22"/>
          <w:szCs w:val="22"/>
        </w:rPr>
        <w:t>)</w:t>
      </w:r>
      <w:r w:rsidRPr="00A62343">
        <w:rPr>
          <w:rFonts w:ascii="Verdana" w:hAnsi="Verdana" w:cs="Arial"/>
          <w:smallCaps/>
          <w:sz w:val="22"/>
          <w:szCs w:val="22"/>
        </w:rPr>
        <w:t>,</w:t>
      </w:r>
      <w:r w:rsidRPr="00A62343">
        <w:rPr>
          <w:rFonts w:ascii="Verdana" w:hAnsi="Verdana" w:cs="Arial"/>
          <w:sz w:val="22"/>
          <w:szCs w:val="22"/>
        </w:rPr>
        <w:t xml:space="preserve"> señala que los Organismos Públicos Locales (</w:t>
      </w:r>
      <w:r w:rsidRPr="00A62343">
        <w:rPr>
          <w:rFonts w:ascii="Verdana" w:hAnsi="Verdana" w:cs="Arial"/>
          <w:smallCaps/>
          <w:sz w:val="22"/>
          <w:szCs w:val="22"/>
        </w:rPr>
        <w:t>OPLES</w:t>
      </w:r>
      <w:r w:rsidRPr="00A62343">
        <w:rPr>
          <w:rFonts w:ascii="Verdana" w:hAnsi="Verdana" w:cs="Arial"/>
          <w:sz w:val="22"/>
          <w:szCs w:val="22"/>
        </w:rPr>
        <w:t xml:space="preserve">) están dotados de personalidad jurídica y patrimonio propios. Gozarán de autonomía en su funcionamiento e independencia en sus decisiones, en los términos previstos en la </w:t>
      </w:r>
      <w:r w:rsidRPr="00A62343">
        <w:rPr>
          <w:rFonts w:ascii="Verdana" w:hAnsi="Verdana" w:cs="Arial"/>
          <w:smallCaps/>
          <w:sz w:val="22"/>
          <w:szCs w:val="22"/>
        </w:rPr>
        <w:t>Constitución Federal</w:t>
      </w:r>
      <w:r w:rsidRPr="00A62343">
        <w:rPr>
          <w:rFonts w:ascii="Verdana" w:hAnsi="Verdana" w:cs="Arial"/>
          <w:sz w:val="22"/>
          <w:szCs w:val="22"/>
        </w:rPr>
        <w:t>, y de la LEGIPE, las constituciones y leyes locales. Serán profesionales en su desempeño. Se regirán por los principios de certeza, imparcialidad, independencia, legalidad, máxima publicidad y objetividad.</w:t>
      </w:r>
    </w:p>
    <w:p w14:paraId="4CEF851E" w14:textId="77777777" w:rsidR="00E3794E" w:rsidRPr="00A62343" w:rsidRDefault="00E3794E"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Asimismo, los </w:t>
      </w:r>
      <w:r w:rsidRPr="00A62343">
        <w:rPr>
          <w:rFonts w:ascii="Verdana" w:hAnsi="Verdana" w:cs="Arial"/>
          <w:smallCaps/>
          <w:sz w:val="22"/>
          <w:szCs w:val="22"/>
        </w:rPr>
        <w:t>OPLES</w:t>
      </w:r>
      <w:r w:rsidRPr="00A62343">
        <w:rPr>
          <w:rFonts w:ascii="Verdana" w:hAnsi="Verdana" w:cs="Arial"/>
          <w:sz w:val="22"/>
          <w:szCs w:val="22"/>
        </w:rPr>
        <w:t xml:space="preserve"> son autoridad en la materia electoral, en los términos que establece la </w:t>
      </w:r>
      <w:r w:rsidRPr="00A62343">
        <w:rPr>
          <w:rFonts w:ascii="Verdana" w:hAnsi="Verdana" w:cs="Arial"/>
          <w:smallCaps/>
          <w:sz w:val="22"/>
          <w:szCs w:val="22"/>
        </w:rPr>
        <w:t>Constitución Federal</w:t>
      </w:r>
      <w:r w:rsidRPr="00A62343">
        <w:rPr>
          <w:rFonts w:ascii="Verdana" w:hAnsi="Verdana" w:cs="Arial"/>
          <w:sz w:val="22"/>
          <w:szCs w:val="22"/>
        </w:rPr>
        <w:t>, la LEGIPE y las leyes locales correspondientes.</w:t>
      </w:r>
    </w:p>
    <w:p w14:paraId="1BD2A552" w14:textId="77777777" w:rsidR="00E3794E" w:rsidRPr="00A62343" w:rsidRDefault="00E3794E"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Al respecto, el articulo 17 base B de la Constitución Política del Estado de Aguascalientes (</w:t>
      </w:r>
      <w:r w:rsidRPr="00A62343">
        <w:rPr>
          <w:rFonts w:ascii="Verdana" w:hAnsi="Verdana" w:cs="Arial"/>
          <w:smallCaps/>
          <w:sz w:val="22"/>
          <w:szCs w:val="22"/>
        </w:rPr>
        <w:t>Constitución Local</w:t>
      </w:r>
      <w:r w:rsidRPr="00A62343">
        <w:rPr>
          <w:rFonts w:ascii="Verdana" w:hAnsi="Verdana" w:cs="Arial"/>
          <w:sz w:val="22"/>
          <w:szCs w:val="22"/>
        </w:rPr>
        <w:t xml:space="preserve">), dispone que el </w:t>
      </w:r>
      <w:r w:rsidRPr="00A62343">
        <w:rPr>
          <w:rFonts w:ascii="Verdana" w:hAnsi="Verdana" w:cs="Arial"/>
          <w:smallCaps/>
          <w:sz w:val="22"/>
          <w:szCs w:val="22"/>
        </w:rPr>
        <w:t>Instituto Electoral</w:t>
      </w:r>
      <w:r w:rsidRPr="00A62343">
        <w:rPr>
          <w:rFonts w:ascii="Verdana" w:hAnsi="Verdana" w:cs="Arial"/>
          <w:sz w:val="22"/>
          <w:szCs w:val="22"/>
        </w:rPr>
        <w:t xml:space="preserve">, como ente de interés público, será autoridad en la materia, actuará con autonomía en su funcionamiento, en el ejercicio de su presupuesto y con independencia en sus decisiones, y contará con un órgano de dirección superior integrado por un consejero Presidente y seis consejeros electorales, con derecho a voz y voto; el Secretario </w:t>
      </w:r>
      <w:r w:rsidRPr="00A62343">
        <w:rPr>
          <w:rFonts w:ascii="Verdana" w:hAnsi="Verdana" w:cs="Arial"/>
          <w:sz w:val="22"/>
          <w:szCs w:val="22"/>
        </w:rPr>
        <w:lastRenderedPageBreak/>
        <w:t>Ejecutivo y los representantes de los partidos políticos concurrirán a las sesiones sólo con derecho a voz; cada partido político contará con un representante en dicho órgano.</w:t>
      </w:r>
    </w:p>
    <w:p w14:paraId="7B1CF0F5" w14:textId="34A2C635" w:rsidR="00E3794E" w:rsidRPr="00A62343" w:rsidRDefault="00E3794E"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Ergo, el artículo 66 del </w:t>
      </w:r>
      <w:r w:rsidRPr="00A62343">
        <w:rPr>
          <w:rFonts w:ascii="Verdana" w:hAnsi="Verdana" w:cs="Arial"/>
          <w:smallCaps/>
          <w:sz w:val="22"/>
          <w:szCs w:val="22"/>
        </w:rPr>
        <w:t>Código Electoral</w:t>
      </w:r>
      <w:r w:rsidRPr="00A62343">
        <w:rPr>
          <w:rFonts w:ascii="Verdana" w:hAnsi="Verdana" w:cs="Arial"/>
          <w:sz w:val="22"/>
          <w:szCs w:val="22"/>
        </w:rPr>
        <w:t xml:space="preserve">, expresa que el </w:t>
      </w:r>
      <w:r w:rsidR="00923918" w:rsidRPr="00A62343">
        <w:rPr>
          <w:rFonts w:ascii="Verdana" w:hAnsi="Verdana" w:cs="Arial"/>
          <w:smallCaps/>
          <w:sz w:val="22"/>
          <w:szCs w:val="22"/>
        </w:rPr>
        <w:t>Instituto Electoral</w:t>
      </w:r>
      <w:r w:rsidRPr="00A62343">
        <w:rPr>
          <w:rFonts w:ascii="Verdana" w:hAnsi="Verdana" w:cs="Arial"/>
          <w:sz w:val="22"/>
          <w:szCs w:val="22"/>
        </w:rPr>
        <w:t xml:space="preserve"> es un organismo público dotado de personalidad jurídica y patrimonio propio, así como profesional en su desempeño; gozará de autonomía en su funcionamiento e independencia en sus decisiones y es el depositario del ejercicio de la función estatal de organizar las elecciones, así como los procesos de participación ciudadana y la educación cívica en el Estado, en los términos de las leyes de la materia. Sus principios rectores serán la certeza, la legalidad, la imparcialidad, la independencia, máxima publicidad, definitividad y objetividad, paridad y se realizarán con perspectiva de género.</w:t>
      </w:r>
    </w:p>
    <w:p w14:paraId="5C15A70E" w14:textId="65AE6E87" w:rsidR="0046709F" w:rsidRPr="00A62343" w:rsidRDefault="0046709F"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Por su parte, el artículo 104, numeral 1, inciso a) de la </w:t>
      </w:r>
      <w:r w:rsidR="00923918" w:rsidRPr="00A62343">
        <w:rPr>
          <w:rFonts w:ascii="Verdana" w:hAnsi="Verdana" w:cs="Arial"/>
          <w:smallCaps/>
          <w:sz w:val="22"/>
          <w:szCs w:val="22"/>
        </w:rPr>
        <w:t>LEGIPE</w:t>
      </w:r>
      <w:r w:rsidRPr="00A62343">
        <w:rPr>
          <w:rFonts w:ascii="Verdana" w:hAnsi="Verdana" w:cs="Arial"/>
          <w:sz w:val="22"/>
          <w:szCs w:val="22"/>
        </w:rPr>
        <w:t>, establece que corresponde a los Organismos Públicos Locales aplicar las disposiciones generales, reglas, lineamientos, criterios y formatos que, en ejercicio de las facultades que le confiere la Constitución y esta Ley, establezca el Instituto.</w:t>
      </w:r>
    </w:p>
    <w:p w14:paraId="50836710" w14:textId="7046A057" w:rsidR="0046709F" w:rsidRPr="00A62343" w:rsidRDefault="0046709F"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A su vez, el artículo 7, numeral 1, fracción I, del Reglamento Interior del Instituto Estatal Electoral de Aguascalientes, señala que, para el cumplimiento de sus atribuciones, corresponde al Consejo expedir los reglamentos, lineamientos, criterios y demás normatividad interna necesaria para el buen funcionamiento y cumplimiento de los fines del </w:t>
      </w:r>
      <w:r w:rsidR="00923918" w:rsidRPr="00A62343">
        <w:rPr>
          <w:rFonts w:ascii="Verdana" w:hAnsi="Verdana" w:cs="Arial"/>
          <w:smallCaps/>
          <w:sz w:val="22"/>
          <w:szCs w:val="22"/>
        </w:rPr>
        <w:t>Instituto Electoral</w:t>
      </w:r>
      <w:r w:rsidRPr="00A62343">
        <w:rPr>
          <w:rFonts w:ascii="Verdana" w:hAnsi="Verdana" w:cs="Arial"/>
          <w:sz w:val="22"/>
          <w:szCs w:val="22"/>
        </w:rPr>
        <w:t>.</w:t>
      </w:r>
    </w:p>
    <w:p w14:paraId="2F5CAE25" w14:textId="77777777" w:rsidR="00B23742" w:rsidRPr="00A62343" w:rsidRDefault="00B23742" w:rsidP="00B23742">
      <w:pPr>
        <w:shd w:val="clear" w:color="auto" w:fill="FFFFFF"/>
        <w:spacing w:before="280" w:after="280" w:line="360" w:lineRule="auto"/>
        <w:jc w:val="both"/>
        <w:rPr>
          <w:rFonts w:ascii="Verdana" w:hAnsi="Verdana" w:cs="Arial"/>
          <w:b/>
          <w:bCs/>
          <w:sz w:val="22"/>
          <w:szCs w:val="22"/>
        </w:rPr>
      </w:pPr>
      <w:r w:rsidRPr="00A62343">
        <w:rPr>
          <w:rFonts w:ascii="Verdana" w:hAnsi="Verdana" w:cs="Arial"/>
          <w:b/>
          <w:bCs/>
          <w:sz w:val="22"/>
          <w:szCs w:val="22"/>
        </w:rPr>
        <w:t>Autoorganización y autodeterminación de los Partidos Políticos</w:t>
      </w:r>
    </w:p>
    <w:p w14:paraId="78FE3E0E" w14:textId="1772242C" w:rsidR="00CD3DF4" w:rsidRPr="00A62343" w:rsidRDefault="00CD3DF4" w:rsidP="001F54E1">
      <w:pPr>
        <w:spacing w:before="100" w:beforeAutospacing="1" w:after="100" w:afterAutospacing="1" w:line="360" w:lineRule="auto"/>
        <w:jc w:val="both"/>
        <w:rPr>
          <w:rFonts w:ascii="Verdana" w:hAnsi="Verdana" w:cs="Arial"/>
          <w:bCs/>
          <w:sz w:val="22"/>
          <w:szCs w:val="22"/>
        </w:rPr>
      </w:pPr>
      <w:r w:rsidRPr="00A62343">
        <w:rPr>
          <w:rFonts w:ascii="Verdana" w:hAnsi="Verdana" w:cs="Arial"/>
          <w:bCs/>
          <w:sz w:val="22"/>
          <w:szCs w:val="22"/>
        </w:rPr>
        <w:t xml:space="preserve">El artículo 41, fracción I, tercer párrafo de la </w:t>
      </w:r>
      <w:r w:rsidRPr="00A62343">
        <w:rPr>
          <w:rFonts w:ascii="Verdana" w:hAnsi="Verdana" w:cs="Arial"/>
          <w:bCs/>
          <w:smallCaps/>
          <w:sz w:val="22"/>
          <w:szCs w:val="22"/>
        </w:rPr>
        <w:t>Constitución Federal</w:t>
      </w:r>
      <w:r w:rsidRPr="00A62343">
        <w:rPr>
          <w:rFonts w:ascii="Verdana" w:hAnsi="Verdana" w:cs="Arial"/>
          <w:bCs/>
          <w:sz w:val="22"/>
          <w:szCs w:val="22"/>
        </w:rPr>
        <w:t xml:space="preserve"> establece que </w:t>
      </w:r>
      <w:r w:rsidR="00C760CB" w:rsidRPr="00A62343">
        <w:rPr>
          <w:rFonts w:ascii="Verdana" w:hAnsi="Verdana" w:cs="Arial"/>
          <w:bCs/>
          <w:sz w:val="22"/>
          <w:szCs w:val="22"/>
        </w:rPr>
        <w:t>las autoridades electorales únicamente podrán intervenir en los asuntos internos de los partidos políticos en los términos que señale la propia Constitución y la ley.</w:t>
      </w:r>
    </w:p>
    <w:p w14:paraId="59FEDC33" w14:textId="6018275D" w:rsidR="00C760CB" w:rsidRPr="00A62343" w:rsidRDefault="009A38D3" w:rsidP="001F54E1">
      <w:pPr>
        <w:spacing w:before="100" w:beforeAutospacing="1" w:after="100" w:afterAutospacing="1" w:line="360" w:lineRule="auto"/>
        <w:jc w:val="both"/>
        <w:rPr>
          <w:rFonts w:ascii="Verdana" w:hAnsi="Verdana" w:cs="Arial"/>
          <w:bCs/>
          <w:sz w:val="22"/>
          <w:szCs w:val="22"/>
        </w:rPr>
      </w:pPr>
      <w:r w:rsidRPr="00A62343">
        <w:rPr>
          <w:rFonts w:ascii="Verdana" w:hAnsi="Verdana" w:cs="Arial"/>
          <w:bCs/>
          <w:sz w:val="22"/>
          <w:szCs w:val="22"/>
        </w:rPr>
        <w:t>La Ley General de Partidos Políticos</w:t>
      </w:r>
      <w:r w:rsidR="00C25E94" w:rsidRPr="00A62343">
        <w:rPr>
          <w:rFonts w:ascii="Verdana" w:hAnsi="Verdana" w:cs="Arial"/>
          <w:bCs/>
          <w:sz w:val="22"/>
          <w:szCs w:val="22"/>
        </w:rPr>
        <w:t xml:space="preserve"> (</w:t>
      </w:r>
      <w:r w:rsidR="00C25E94" w:rsidRPr="00A62343">
        <w:rPr>
          <w:rFonts w:ascii="Verdana" w:hAnsi="Verdana"/>
          <w:smallCaps/>
          <w:sz w:val="22"/>
          <w:szCs w:val="22"/>
        </w:rPr>
        <w:t>Ley General de Partidos)</w:t>
      </w:r>
      <w:r w:rsidRPr="00A62343">
        <w:rPr>
          <w:rFonts w:ascii="Verdana" w:hAnsi="Verdana" w:cs="Arial"/>
          <w:bCs/>
          <w:sz w:val="22"/>
          <w:szCs w:val="22"/>
        </w:rPr>
        <w:t>, en su artículo 23, numeral 1, inciso c), precisa que son derechos de los partidos políticos gozar de facultades para regular su vida interna y determinar su organización interior y los procedimientos correspondientes.</w:t>
      </w:r>
    </w:p>
    <w:p w14:paraId="37DAC6D0" w14:textId="451AB073" w:rsidR="00D80967" w:rsidRPr="00A62343" w:rsidRDefault="00C25E9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Este mismo ordenamiento, en el numeral 1 de su artículo 34, precisa que</w:t>
      </w:r>
      <w:r w:rsidR="00D80967" w:rsidRPr="00A62343">
        <w:rPr>
          <w:rFonts w:ascii="Verdana" w:hAnsi="Verdana" w:cs="Arial"/>
          <w:sz w:val="22"/>
          <w:szCs w:val="22"/>
        </w:rPr>
        <w:t xml:space="preserve"> los asuntos internos de los partidos políticos </w:t>
      </w:r>
      <w:r w:rsidRPr="00A62343">
        <w:rPr>
          <w:rFonts w:ascii="Verdana" w:hAnsi="Verdana" w:cs="Arial"/>
          <w:sz w:val="22"/>
          <w:szCs w:val="22"/>
        </w:rPr>
        <w:t>son aquellos</w:t>
      </w:r>
      <w:r w:rsidR="00D80967" w:rsidRPr="00A62343">
        <w:rPr>
          <w:rFonts w:ascii="Verdana" w:hAnsi="Verdana" w:cs="Arial"/>
          <w:sz w:val="22"/>
          <w:szCs w:val="22"/>
        </w:rPr>
        <w:t xml:space="preserve"> actos y </w:t>
      </w:r>
      <w:r w:rsidR="00D80967" w:rsidRPr="00A62343">
        <w:rPr>
          <w:rFonts w:ascii="Verdana" w:hAnsi="Verdana" w:cs="Arial"/>
          <w:sz w:val="22"/>
          <w:szCs w:val="22"/>
        </w:rPr>
        <w:lastRenderedPageBreak/>
        <w:t xml:space="preserve">procedimientos relativos a su organización y funcionamiento, con base en las disposiciones previstas en la </w:t>
      </w:r>
      <w:r w:rsidR="00D80967" w:rsidRPr="00A62343">
        <w:rPr>
          <w:rFonts w:ascii="Verdana" w:hAnsi="Verdana" w:cs="Arial"/>
          <w:smallCaps/>
          <w:sz w:val="22"/>
          <w:szCs w:val="22"/>
        </w:rPr>
        <w:t>Constitución Federal</w:t>
      </w:r>
      <w:r w:rsidR="00D80967" w:rsidRPr="00A62343">
        <w:rPr>
          <w:rFonts w:ascii="Verdana" w:hAnsi="Verdana" w:cs="Arial"/>
          <w:sz w:val="22"/>
          <w:szCs w:val="22"/>
        </w:rPr>
        <w:t>, en la citada Ley, así como en sus Estatutos y reglamentos, entre los cuales están expresamente previstos los procedimientos para la elección de los integrantes de sus órganos internos</w:t>
      </w:r>
      <w:r w:rsidRPr="00A62343">
        <w:rPr>
          <w:rFonts w:ascii="Verdana" w:hAnsi="Verdana" w:cs="Arial"/>
          <w:sz w:val="22"/>
          <w:szCs w:val="22"/>
        </w:rPr>
        <w:t>.</w:t>
      </w:r>
    </w:p>
    <w:p w14:paraId="2BF005FE" w14:textId="0BA86B55" w:rsidR="00170D4C" w:rsidRPr="00A62343" w:rsidRDefault="00170D4C"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También precisa que son los asuntos internos de los partidos políticos, los siguientes:</w:t>
      </w:r>
    </w:p>
    <w:p w14:paraId="7B71FBEA" w14:textId="17D5E506" w:rsidR="00170D4C" w:rsidRPr="00A62343" w:rsidRDefault="00170D4C"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b/>
          <w:bCs/>
          <w:sz w:val="22"/>
          <w:szCs w:val="22"/>
        </w:rPr>
        <w:t>a)</w:t>
      </w:r>
      <w:r w:rsidRPr="00A62343">
        <w:rPr>
          <w:rFonts w:ascii="Verdana" w:hAnsi="Verdana" w:cs="Arial"/>
          <w:sz w:val="22"/>
          <w:szCs w:val="22"/>
        </w:rPr>
        <w:t xml:space="preserve"> </w:t>
      </w:r>
      <w:r w:rsidR="008A3655" w:rsidRPr="00A62343">
        <w:rPr>
          <w:rFonts w:ascii="Verdana" w:hAnsi="Verdana" w:cs="Arial"/>
          <w:sz w:val="22"/>
          <w:szCs w:val="22"/>
        </w:rPr>
        <w:t>Elaborar y modificar</w:t>
      </w:r>
      <w:r w:rsidRPr="00A62343">
        <w:rPr>
          <w:rFonts w:ascii="Verdana" w:hAnsi="Verdana" w:cs="Arial"/>
          <w:sz w:val="22"/>
          <w:szCs w:val="22"/>
        </w:rPr>
        <w:t xml:space="preserve"> sus documentos básicos, las cuales en ningún caso se podrán hacer una vez iniciado el proceso electoral;</w:t>
      </w:r>
    </w:p>
    <w:p w14:paraId="0629E1B0" w14:textId="200DB9CD" w:rsidR="008A3655" w:rsidRPr="00A62343" w:rsidRDefault="00170D4C"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b/>
          <w:bCs/>
          <w:sz w:val="22"/>
          <w:szCs w:val="22"/>
        </w:rPr>
        <w:t>b)</w:t>
      </w:r>
      <w:r w:rsidRPr="00A62343">
        <w:rPr>
          <w:rFonts w:ascii="Verdana" w:hAnsi="Verdana" w:cs="Arial"/>
          <w:sz w:val="22"/>
          <w:szCs w:val="22"/>
        </w:rPr>
        <w:t xml:space="preserve"> </w:t>
      </w:r>
      <w:r w:rsidR="008A3655" w:rsidRPr="00A62343">
        <w:rPr>
          <w:rFonts w:ascii="Verdana" w:hAnsi="Verdana" w:cs="Arial"/>
          <w:sz w:val="22"/>
          <w:szCs w:val="22"/>
        </w:rPr>
        <w:t>Determinar</w:t>
      </w:r>
      <w:r w:rsidRPr="00A62343">
        <w:rPr>
          <w:rFonts w:ascii="Verdana" w:hAnsi="Verdana" w:cs="Arial"/>
          <w:sz w:val="22"/>
          <w:szCs w:val="22"/>
        </w:rPr>
        <w:t xml:space="preserve"> los requisitos y mecanismos para la libre y voluntaria afiliación de los ciudadanos a éstos; </w:t>
      </w:r>
    </w:p>
    <w:p w14:paraId="65366EA7" w14:textId="77777777" w:rsidR="008A3655" w:rsidRPr="00A62343" w:rsidRDefault="00170D4C"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b/>
          <w:bCs/>
          <w:sz w:val="22"/>
          <w:szCs w:val="22"/>
        </w:rPr>
        <w:t>c)</w:t>
      </w:r>
      <w:r w:rsidRPr="00A62343">
        <w:rPr>
          <w:rFonts w:ascii="Verdana" w:hAnsi="Verdana" w:cs="Arial"/>
          <w:sz w:val="22"/>
          <w:szCs w:val="22"/>
        </w:rPr>
        <w:t xml:space="preserve"> La elección de los integrantes de sus órganos internos; </w:t>
      </w:r>
    </w:p>
    <w:p w14:paraId="540BBD3F" w14:textId="25B74C3D" w:rsidR="008A3655" w:rsidRPr="00A62343" w:rsidRDefault="00170D4C"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b/>
          <w:bCs/>
          <w:sz w:val="22"/>
          <w:szCs w:val="22"/>
        </w:rPr>
        <w:t>d)</w:t>
      </w:r>
      <w:r w:rsidRPr="00A62343">
        <w:rPr>
          <w:rFonts w:ascii="Verdana" w:hAnsi="Verdana" w:cs="Arial"/>
          <w:sz w:val="22"/>
          <w:szCs w:val="22"/>
        </w:rPr>
        <w:t xml:space="preserve"> Los procedimientos y requisitos para la selección de sus precandidat</w:t>
      </w:r>
      <w:r w:rsidR="008A3655" w:rsidRPr="00A62343">
        <w:rPr>
          <w:rFonts w:ascii="Verdana" w:hAnsi="Verdana" w:cs="Arial"/>
          <w:sz w:val="22"/>
          <w:szCs w:val="22"/>
        </w:rPr>
        <w:t>ura</w:t>
      </w:r>
      <w:r w:rsidRPr="00A62343">
        <w:rPr>
          <w:rFonts w:ascii="Verdana" w:hAnsi="Verdana" w:cs="Arial"/>
          <w:sz w:val="22"/>
          <w:szCs w:val="22"/>
        </w:rPr>
        <w:t>s y candidat</w:t>
      </w:r>
      <w:r w:rsidR="008A3655" w:rsidRPr="00A62343">
        <w:rPr>
          <w:rFonts w:ascii="Verdana" w:hAnsi="Verdana" w:cs="Arial"/>
          <w:sz w:val="22"/>
          <w:szCs w:val="22"/>
        </w:rPr>
        <w:t>uras</w:t>
      </w:r>
      <w:r w:rsidRPr="00A62343">
        <w:rPr>
          <w:rFonts w:ascii="Verdana" w:hAnsi="Verdana" w:cs="Arial"/>
          <w:sz w:val="22"/>
          <w:szCs w:val="22"/>
        </w:rPr>
        <w:t xml:space="preserve"> a cargos de elección popular; </w:t>
      </w:r>
    </w:p>
    <w:p w14:paraId="04A7959D" w14:textId="77777777" w:rsidR="008A3655" w:rsidRPr="00A62343" w:rsidRDefault="00170D4C"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b/>
          <w:bCs/>
          <w:sz w:val="22"/>
          <w:szCs w:val="22"/>
        </w:rPr>
        <w:t>e)</w:t>
      </w:r>
      <w:r w:rsidRPr="00A62343">
        <w:rPr>
          <w:rFonts w:ascii="Verdana" w:hAnsi="Verdana" w:cs="Arial"/>
          <w:sz w:val="22"/>
          <w:szCs w:val="22"/>
        </w:rPr>
        <w:t xml:space="preserve"> Los procesos deliberativos para la definición de sus estrategias políticas y electorales y, en general, para la toma de decisiones por sus órganos internos y de los organismos que agrupen a sus militantes, y</w:t>
      </w:r>
    </w:p>
    <w:p w14:paraId="7AA889A1" w14:textId="4EDA4B2C" w:rsidR="00170D4C" w:rsidRPr="00A62343" w:rsidRDefault="00170D4C"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b/>
          <w:bCs/>
          <w:sz w:val="22"/>
          <w:szCs w:val="22"/>
        </w:rPr>
        <w:t>f)</w:t>
      </w:r>
      <w:r w:rsidRPr="00A62343">
        <w:rPr>
          <w:rFonts w:ascii="Verdana" w:hAnsi="Verdana" w:cs="Arial"/>
          <w:sz w:val="22"/>
          <w:szCs w:val="22"/>
        </w:rPr>
        <w:t xml:space="preserve"> La emisión de los reglamentos internos y acuerdos de carácter general que se requieran para el cumplimiento de sus documentos básicos.</w:t>
      </w:r>
    </w:p>
    <w:p w14:paraId="0828E870" w14:textId="5B6BAE43" w:rsidR="007524E8" w:rsidRPr="00A62343" w:rsidRDefault="00A429D9" w:rsidP="001F54E1">
      <w:pPr>
        <w:spacing w:before="100" w:beforeAutospacing="1" w:after="100" w:afterAutospacing="1" w:line="360" w:lineRule="auto"/>
        <w:jc w:val="both"/>
        <w:rPr>
          <w:rFonts w:ascii="Verdana" w:hAnsi="Verdana" w:cs="Arial"/>
          <w:b/>
          <w:bCs/>
          <w:sz w:val="22"/>
          <w:szCs w:val="22"/>
        </w:rPr>
      </w:pPr>
      <w:r w:rsidRPr="00A62343">
        <w:rPr>
          <w:rFonts w:ascii="Verdana" w:hAnsi="Verdana" w:cs="Arial"/>
          <w:b/>
          <w:bCs/>
          <w:sz w:val="22"/>
          <w:szCs w:val="22"/>
        </w:rPr>
        <w:t xml:space="preserve">Derecho a la </w:t>
      </w:r>
      <w:r w:rsidR="007524E8" w:rsidRPr="00A62343">
        <w:rPr>
          <w:rFonts w:ascii="Verdana" w:hAnsi="Verdana" w:cs="Arial"/>
          <w:b/>
          <w:bCs/>
          <w:sz w:val="22"/>
          <w:szCs w:val="22"/>
        </w:rPr>
        <w:t xml:space="preserve">Consulta Indígena </w:t>
      </w:r>
    </w:p>
    <w:p w14:paraId="1FA4A20A" w14:textId="77777777"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 xml:space="preserve">El artículo 2° de la </w:t>
      </w:r>
      <w:r w:rsidRPr="00A62343">
        <w:rPr>
          <w:rFonts w:ascii="Verdana" w:hAnsi="Verdana" w:cs="Arial"/>
          <w:smallCaps/>
          <w:sz w:val="22"/>
          <w:szCs w:val="22"/>
        </w:rPr>
        <w:t>Constitución Federal</w:t>
      </w:r>
      <w:r w:rsidRPr="00A62343">
        <w:rPr>
          <w:rFonts w:ascii="Verdana" w:hAnsi="Verdana" w:cs="Arial"/>
          <w:sz w:val="22"/>
          <w:szCs w:val="22"/>
        </w:rPr>
        <w:t>, es el núcleo del reconocimiento de los derechos colectivos de los pueblos indígenas en México.</w:t>
      </w:r>
    </w:p>
    <w:p w14:paraId="09E921A4" w14:textId="77777777"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Tal precepto dispone que la Nación mexicana tiene una composición pluricultural sustentada originalmente en sus pueblos indígenas, a quienes define como aquellos que descienden de poblaciones que habitaban en el territorio actual del país al iniciarse la colonización y que conservan sus propias instituciones sociales, económicas, culturales y políticas, o parte de ellas.</w:t>
      </w:r>
    </w:p>
    <w:p w14:paraId="3FBA34B5" w14:textId="7A2C9CE8"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Al respecto, el Convenio 169 de la Organización Internacional del Trabajo (</w:t>
      </w:r>
      <w:r w:rsidRPr="00A62343">
        <w:rPr>
          <w:rFonts w:ascii="Verdana" w:hAnsi="Verdana" w:cs="Arial"/>
          <w:smallCaps/>
          <w:sz w:val="22"/>
          <w:szCs w:val="22"/>
        </w:rPr>
        <w:t>Convenio 169</w:t>
      </w:r>
      <w:r w:rsidRPr="00A62343">
        <w:rPr>
          <w:rFonts w:ascii="Verdana" w:hAnsi="Verdana" w:cs="Arial"/>
          <w:sz w:val="22"/>
          <w:szCs w:val="22"/>
        </w:rPr>
        <w:t xml:space="preserve">) prevé, en los artículos 6, 7 y 15, la obligación de los Estados de consultar a los pueblos indígenas, de buena fe y con el </w:t>
      </w:r>
      <w:r w:rsidRPr="00A62343">
        <w:rPr>
          <w:rFonts w:ascii="Verdana" w:hAnsi="Verdana" w:cs="Arial"/>
          <w:sz w:val="22"/>
          <w:szCs w:val="22"/>
        </w:rPr>
        <w:lastRenderedPageBreak/>
        <w:t>objetivo de llegar a un acuerdo u obtener su consentimiento sobre asuntos que les afecten en distintos contextos.</w:t>
      </w:r>
    </w:p>
    <w:p w14:paraId="6584C9A9" w14:textId="000DFFAC"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La Organización Internacional del Trabajo (OIT) ha señalado que existe una interrelación de los conceptos de consulta y de participación, lo que implica que los pueblos y comunidades indígenas no sólo deben dar a conocer su respuesta y ser capaces de influir sobre las propuestas emprendidas desde el exterior, sino que además deben participar activamente y proponer medidas, programas y actividades que les permitan construir su desarrollo.</w:t>
      </w:r>
      <w:r w:rsidRPr="00A62343">
        <w:rPr>
          <w:rStyle w:val="Refdenotaalpie"/>
          <w:rFonts w:ascii="Verdana" w:hAnsi="Verdana" w:cs="Arial"/>
          <w:sz w:val="22"/>
          <w:szCs w:val="22"/>
        </w:rPr>
        <w:footnoteReference w:id="20"/>
      </w:r>
    </w:p>
    <w:p w14:paraId="3239444B" w14:textId="66AA8534"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 xml:space="preserve">Ahora, la Comisión de Expertos en Aplicación de Convenios y Recomendaciones de la Organización Internacional del Trabajo ha considerado que este derecho a la consulta y participación tiene un enfoque amplio, que constituye la piedra angular del </w:t>
      </w:r>
      <w:r w:rsidRPr="00A62343">
        <w:rPr>
          <w:rFonts w:ascii="Verdana" w:hAnsi="Verdana" w:cs="Arial"/>
          <w:smallCaps/>
          <w:sz w:val="22"/>
          <w:szCs w:val="22"/>
        </w:rPr>
        <w:t>Convenio 169</w:t>
      </w:r>
      <w:r w:rsidRPr="00A62343">
        <w:rPr>
          <w:rFonts w:ascii="Verdana" w:hAnsi="Verdana" w:cs="Arial"/>
          <w:sz w:val="22"/>
          <w:szCs w:val="22"/>
        </w:rPr>
        <w:t xml:space="preserve"> y la base de todas sus disposiciones.</w:t>
      </w:r>
      <w:r w:rsidRPr="00A62343">
        <w:rPr>
          <w:rStyle w:val="Refdenotaalpie"/>
          <w:rFonts w:ascii="Verdana" w:hAnsi="Verdana" w:cs="Arial"/>
          <w:sz w:val="22"/>
          <w:szCs w:val="22"/>
        </w:rPr>
        <w:footnoteReference w:id="21"/>
      </w:r>
    </w:p>
    <w:p w14:paraId="59FDBA4D" w14:textId="77777777"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También, precisó que las formas y contenido de los procedimientos y mecanismos de consulta deben permitir la plena expresión de las opiniones de los pueblos interesados, con suficiente antelación y sobre la base del entendimiento pleno de las cuestiones planteadas, a fin de que puedan influir en los resultados y lograr un consenso que resulte aceptable para todas las partes.</w:t>
      </w:r>
    </w:p>
    <w:p w14:paraId="75E0F9A1" w14:textId="77777777"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De esta forma, el derecho a la consulta constituye un instrumento de diálogo auténtico, de cohesión social y desempeña un papel decisivo en la prevención y resolución de conflictos.</w:t>
      </w:r>
    </w:p>
    <w:p w14:paraId="52D597A3" w14:textId="77777777"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Por su parte, la Declaración de las Naciones Unidas sobre los Derechos de los Pueblos Indígenas</w:t>
      </w:r>
      <w:r w:rsidRPr="00A62343">
        <w:rPr>
          <w:rStyle w:val="Refdenotaalpie"/>
          <w:rFonts w:ascii="Verdana" w:hAnsi="Verdana" w:cs="Arial"/>
          <w:sz w:val="22"/>
          <w:szCs w:val="22"/>
        </w:rPr>
        <w:footnoteReference w:id="22"/>
      </w:r>
      <w:r w:rsidRPr="00A62343">
        <w:rPr>
          <w:rFonts w:ascii="Verdana" w:hAnsi="Verdana" w:cs="Arial"/>
          <w:sz w:val="22"/>
          <w:szCs w:val="22"/>
        </w:rPr>
        <w:t xml:space="preserve"> establece en su artículo 19 que los Estados deben consultar y cooperar de buena fe con los pueblos indígenas interesados, por medio de sus instituciones representativas, antes de adoptar y aplicar medidas legislativas y administrativas que los afecten.</w:t>
      </w:r>
    </w:p>
    <w:p w14:paraId="672735AF" w14:textId="413E48A0"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 xml:space="preserve">De acuerdo con el Relator Especial sobre los Derechos de los Pueblos Indígenas señaló que “la falta de una consulta apropiada lleva siempre a </w:t>
      </w:r>
      <w:r w:rsidRPr="00A62343">
        <w:rPr>
          <w:rFonts w:ascii="Verdana" w:hAnsi="Verdana" w:cs="Arial"/>
          <w:sz w:val="22"/>
          <w:szCs w:val="22"/>
        </w:rPr>
        <w:lastRenderedPageBreak/>
        <w:t>situaciones conflictivas en que los indígenas manifiestan su cólera y su desconfianza y que, en algunos casos, han degenerado en actos de violencia”.</w:t>
      </w:r>
      <w:r w:rsidRPr="00A62343">
        <w:rPr>
          <w:rStyle w:val="Refdenotaalpie"/>
          <w:rFonts w:ascii="Verdana" w:hAnsi="Verdana" w:cs="Arial"/>
          <w:sz w:val="22"/>
          <w:szCs w:val="22"/>
        </w:rPr>
        <w:footnoteReference w:id="23"/>
      </w:r>
    </w:p>
    <w:p w14:paraId="664362DF" w14:textId="77777777"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 xml:space="preserve">El Relator destacó que este </w:t>
      </w:r>
      <w:r w:rsidRPr="00A62343">
        <w:rPr>
          <w:rFonts w:ascii="Verdana" w:hAnsi="Verdana" w:cs="Arial"/>
          <w:b/>
          <w:bCs/>
          <w:sz w:val="22"/>
          <w:szCs w:val="22"/>
        </w:rPr>
        <w:t>deber de consulta deriva del derecho a la libre determinación, sin el cual no podrían ejercerse plenamente los derechos de los pueblos indígenas tanto colectivos como los individuales.</w:t>
      </w:r>
    </w:p>
    <w:p w14:paraId="4234FF38" w14:textId="5CB95B7A"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Asimismo, la Declaración Americana de los Derechos de los Pueblos Indígenas aprobada el 14 de junio de 2016, señala que es obligación de los Estados celebrar consultas con los pueblos indígenas interesados antes de adoptar y aplicar medidas legislativas o administrativas que los afecten, a fin de obtener su consentimiento libre, previo e informado.</w:t>
      </w:r>
      <w:r w:rsidRPr="00A62343">
        <w:rPr>
          <w:rStyle w:val="Refdenotaalpie"/>
          <w:rFonts w:ascii="Verdana" w:hAnsi="Verdana" w:cs="Arial"/>
          <w:sz w:val="22"/>
          <w:szCs w:val="22"/>
        </w:rPr>
        <w:footnoteReference w:id="24"/>
      </w:r>
      <w:r w:rsidRPr="00A62343">
        <w:rPr>
          <w:rFonts w:ascii="Verdana" w:hAnsi="Verdana" w:cs="Arial"/>
          <w:sz w:val="22"/>
          <w:szCs w:val="22"/>
        </w:rPr>
        <w:t xml:space="preserve"> </w:t>
      </w:r>
    </w:p>
    <w:p w14:paraId="062FEB01" w14:textId="359935D8"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Al respecto, la Corte Interamericana de Derechos Humanos</w:t>
      </w:r>
      <w:r w:rsidR="00AA6C88" w:rsidRPr="00A62343">
        <w:rPr>
          <w:rFonts w:ascii="Verdana" w:hAnsi="Verdana" w:cs="Arial"/>
          <w:sz w:val="22"/>
          <w:szCs w:val="22"/>
        </w:rPr>
        <w:t xml:space="preserve"> (</w:t>
      </w:r>
      <w:r w:rsidR="00AA6C88" w:rsidRPr="00A62343">
        <w:rPr>
          <w:rFonts w:ascii="Verdana" w:hAnsi="Verdana" w:cs="Arial"/>
          <w:smallCaps/>
          <w:sz w:val="22"/>
          <w:szCs w:val="22"/>
        </w:rPr>
        <w:t>Co</w:t>
      </w:r>
      <w:r w:rsidR="00287D88" w:rsidRPr="00A62343">
        <w:rPr>
          <w:rFonts w:ascii="Verdana" w:hAnsi="Verdana" w:cs="Arial"/>
          <w:smallCaps/>
          <w:sz w:val="22"/>
          <w:szCs w:val="22"/>
        </w:rPr>
        <w:t xml:space="preserve">rte </w:t>
      </w:r>
      <w:r w:rsidR="00AA6C88" w:rsidRPr="00A62343">
        <w:rPr>
          <w:rFonts w:ascii="Verdana" w:hAnsi="Verdana" w:cs="Arial"/>
          <w:smallCaps/>
          <w:sz w:val="22"/>
          <w:szCs w:val="22"/>
        </w:rPr>
        <w:t>IDH</w:t>
      </w:r>
      <w:r w:rsidR="00AA6C88" w:rsidRPr="00A62343">
        <w:rPr>
          <w:rFonts w:ascii="Verdana" w:hAnsi="Verdana" w:cs="Arial"/>
          <w:sz w:val="22"/>
          <w:szCs w:val="22"/>
        </w:rPr>
        <w:t>)</w:t>
      </w:r>
      <w:r w:rsidRPr="00A62343">
        <w:rPr>
          <w:rFonts w:ascii="Verdana" w:hAnsi="Verdana" w:cs="Arial"/>
          <w:sz w:val="22"/>
          <w:szCs w:val="22"/>
        </w:rPr>
        <w:t xml:space="preserve"> ha destacado también el derecho a la consulta, al resolver el caso Pueblos </w:t>
      </w:r>
      <w:proofErr w:type="spellStart"/>
      <w:r w:rsidRPr="00A62343">
        <w:rPr>
          <w:rFonts w:ascii="Verdana" w:hAnsi="Verdana" w:cs="Arial"/>
          <w:sz w:val="22"/>
          <w:szCs w:val="22"/>
        </w:rPr>
        <w:t>Kaliña</w:t>
      </w:r>
      <w:proofErr w:type="spellEnd"/>
      <w:r w:rsidRPr="00A62343">
        <w:rPr>
          <w:rFonts w:ascii="Verdana" w:hAnsi="Verdana" w:cs="Arial"/>
          <w:sz w:val="22"/>
          <w:szCs w:val="22"/>
        </w:rPr>
        <w:t xml:space="preserve"> y </w:t>
      </w:r>
      <w:proofErr w:type="spellStart"/>
      <w:r w:rsidRPr="00A62343">
        <w:rPr>
          <w:rFonts w:ascii="Verdana" w:hAnsi="Verdana" w:cs="Arial"/>
          <w:sz w:val="22"/>
          <w:szCs w:val="22"/>
        </w:rPr>
        <w:t>Lokono</w:t>
      </w:r>
      <w:proofErr w:type="spellEnd"/>
      <w:r w:rsidRPr="00A62343">
        <w:rPr>
          <w:rFonts w:ascii="Verdana" w:hAnsi="Verdana" w:cs="Arial"/>
          <w:sz w:val="22"/>
          <w:szCs w:val="22"/>
        </w:rPr>
        <w:t xml:space="preserve"> vs. Surinam que la falta de mecanismos expresos que garanticen el acceso, uso y la participación efectiva de los pueblos indígenas configura una violación del deber de adoptar las disposiciones que fueren necesarias para garantizar sus derechos.</w:t>
      </w:r>
      <w:r w:rsidRPr="00A62343">
        <w:rPr>
          <w:rStyle w:val="Refdenotaalpie"/>
          <w:rFonts w:ascii="Verdana" w:hAnsi="Verdana" w:cs="Arial"/>
          <w:sz w:val="22"/>
          <w:szCs w:val="22"/>
        </w:rPr>
        <w:footnoteReference w:id="25"/>
      </w:r>
    </w:p>
    <w:p w14:paraId="775728CD" w14:textId="418D2AEA"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Por otra parte, la Suprema Corte de Justicia de la Nación (</w:t>
      </w:r>
      <w:r w:rsidRPr="00A62343">
        <w:rPr>
          <w:rFonts w:ascii="Verdana" w:hAnsi="Verdana" w:cs="Arial"/>
          <w:smallCaps/>
          <w:sz w:val="22"/>
          <w:szCs w:val="22"/>
        </w:rPr>
        <w:t>Suprema Corte</w:t>
      </w:r>
      <w:r w:rsidRPr="00A62343">
        <w:rPr>
          <w:rFonts w:ascii="Verdana" w:hAnsi="Verdana" w:cs="Arial"/>
          <w:sz w:val="22"/>
          <w:szCs w:val="22"/>
        </w:rPr>
        <w:t>),</w:t>
      </w:r>
      <w:r w:rsidRPr="00A62343">
        <w:rPr>
          <w:rStyle w:val="Refdenotaalpie"/>
          <w:rFonts w:ascii="Verdana" w:hAnsi="Verdana" w:cs="Arial"/>
          <w:i/>
          <w:iCs/>
          <w:sz w:val="22"/>
          <w:szCs w:val="22"/>
        </w:rPr>
        <w:footnoteReference w:id="26"/>
      </w:r>
      <w:r w:rsidRPr="00A62343">
        <w:rPr>
          <w:rFonts w:ascii="Verdana" w:hAnsi="Verdana" w:cs="Arial"/>
          <w:sz w:val="22"/>
          <w:szCs w:val="22"/>
        </w:rPr>
        <w:t xml:space="preserve"> considera a la consulta como una prerrogativa reconocida en el artículo 2° de la </w:t>
      </w:r>
      <w:r w:rsidRPr="00A62343">
        <w:rPr>
          <w:rFonts w:ascii="Verdana" w:hAnsi="Verdana" w:cs="Arial"/>
          <w:smallCaps/>
          <w:sz w:val="22"/>
          <w:szCs w:val="22"/>
        </w:rPr>
        <w:t>Constitución Federal</w:t>
      </w:r>
      <w:r w:rsidRPr="00A62343">
        <w:rPr>
          <w:rFonts w:ascii="Verdana" w:hAnsi="Verdana" w:cs="Arial"/>
          <w:sz w:val="22"/>
          <w:szCs w:val="22"/>
        </w:rPr>
        <w:t xml:space="preserve"> y en el </w:t>
      </w:r>
      <w:r w:rsidRPr="00A62343">
        <w:rPr>
          <w:rFonts w:ascii="Verdana" w:hAnsi="Verdana" w:cs="Arial"/>
          <w:smallCaps/>
          <w:sz w:val="22"/>
          <w:szCs w:val="22"/>
        </w:rPr>
        <w:t>Convenio 169</w:t>
      </w:r>
      <w:r w:rsidRPr="00A62343">
        <w:rPr>
          <w:rFonts w:ascii="Verdana" w:hAnsi="Verdana" w:cs="Arial"/>
          <w:sz w:val="22"/>
          <w:szCs w:val="22"/>
        </w:rPr>
        <w:t xml:space="preserve">, que puede ejercer cualquier integrante de la comunidad o pueblo indígena, con independencia de que se trate o no de un representante legítimo, cuyo </w:t>
      </w:r>
      <w:r w:rsidRPr="00A62343">
        <w:rPr>
          <w:rFonts w:ascii="Verdana" w:hAnsi="Verdana" w:cs="Arial"/>
          <w:sz w:val="22"/>
          <w:szCs w:val="22"/>
        </w:rPr>
        <w:lastRenderedPageBreak/>
        <w:t>núcleo de protección es la libre determinación de las comunidades, así como el reconocimiento de sus derechos culturales y patrimoniales.</w:t>
      </w:r>
    </w:p>
    <w:p w14:paraId="65C53D73" w14:textId="77777777"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También, expresó que el deber del Estado a la consulta no depende de la demostración de una afectación real a los derechos, sino de la susceptibilidad de que puedan llegar a vulnerarse, al ser uno de los objetos del procedimiento de la consulta determinar si los intereses de los pueblos resultarían perjudicados.</w:t>
      </w:r>
    </w:p>
    <w:p w14:paraId="5AD36414" w14:textId="721540EA"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A partir de estos parámetros constitucionales e internacionales, la</w:t>
      </w:r>
      <w:r w:rsidR="00DA46F9" w:rsidRPr="00A62343">
        <w:rPr>
          <w:rFonts w:ascii="Verdana" w:hAnsi="Verdana" w:cs="Arial"/>
          <w:sz w:val="22"/>
          <w:szCs w:val="22"/>
        </w:rPr>
        <w:t xml:space="preserve"> </w:t>
      </w:r>
      <w:r w:rsidR="00DA46F9" w:rsidRPr="00A62343">
        <w:rPr>
          <w:rFonts w:ascii="Verdana" w:eastAsia="Verdana" w:hAnsi="Verdana" w:cs="Verdana"/>
          <w:bCs/>
          <w:sz w:val="22"/>
          <w:szCs w:val="22"/>
        </w:rPr>
        <w:t>Sala Superior del Tribunal Electoral del Poder Judicial de la Federación</w:t>
      </w:r>
      <w:r w:rsidRPr="00A62343">
        <w:rPr>
          <w:rFonts w:ascii="Verdana" w:hAnsi="Verdana" w:cs="Arial"/>
          <w:sz w:val="22"/>
          <w:szCs w:val="22"/>
        </w:rPr>
        <w:t xml:space="preserve"> </w:t>
      </w:r>
      <w:r w:rsidR="00DA46F9" w:rsidRPr="00A62343">
        <w:rPr>
          <w:rFonts w:ascii="Verdana" w:hAnsi="Verdana" w:cs="Arial"/>
          <w:sz w:val="22"/>
          <w:szCs w:val="22"/>
        </w:rPr>
        <w:t>(</w:t>
      </w:r>
      <w:r w:rsidRPr="00A62343">
        <w:rPr>
          <w:rFonts w:ascii="Verdana" w:hAnsi="Verdana" w:cs="Arial"/>
          <w:smallCaps/>
          <w:sz w:val="22"/>
          <w:szCs w:val="22"/>
        </w:rPr>
        <w:t>Sala Superior</w:t>
      </w:r>
      <w:r w:rsidR="00DA46F9" w:rsidRPr="00A62343">
        <w:rPr>
          <w:rFonts w:ascii="Verdana" w:hAnsi="Verdana" w:cs="Arial"/>
          <w:smallCaps/>
          <w:sz w:val="22"/>
          <w:szCs w:val="22"/>
        </w:rPr>
        <w:t>)</w:t>
      </w:r>
      <w:r w:rsidRPr="00A62343">
        <w:rPr>
          <w:rStyle w:val="Refdenotaalpie"/>
          <w:rFonts w:ascii="Verdana" w:hAnsi="Verdana" w:cs="Arial"/>
          <w:sz w:val="22"/>
          <w:szCs w:val="22"/>
        </w:rPr>
        <w:footnoteReference w:id="27"/>
      </w:r>
      <w:r w:rsidRPr="00A62343">
        <w:rPr>
          <w:rFonts w:ascii="Verdana" w:hAnsi="Verdana" w:cs="Arial"/>
          <w:sz w:val="22"/>
          <w:szCs w:val="22"/>
        </w:rPr>
        <w:t xml:space="preserve"> ha considerado que el derecho a la consulta previa es un derecho colectivo de los pueblos y comunidades indígenas que tiene un doble aspecto: </w:t>
      </w:r>
      <w:r w:rsidRPr="00A62343">
        <w:rPr>
          <w:rFonts w:ascii="Verdana" w:hAnsi="Verdana" w:cs="Arial"/>
          <w:b/>
          <w:bCs/>
          <w:sz w:val="22"/>
          <w:szCs w:val="22"/>
        </w:rPr>
        <w:t>a)</w:t>
      </w:r>
      <w:r w:rsidRPr="00A62343">
        <w:rPr>
          <w:rFonts w:ascii="Verdana" w:hAnsi="Verdana" w:cs="Arial"/>
          <w:sz w:val="22"/>
          <w:szCs w:val="22"/>
        </w:rPr>
        <w:t xml:space="preserve"> es un derecho procedimental por ser un instrumento para salvaguardar la realización de un amplio conjunto de derechos, y </w:t>
      </w:r>
      <w:r w:rsidRPr="00A62343">
        <w:rPr>
          <w:rFonts w:ascii="Verdana" w:hAnsi="Verdana" w:cs="Arial"/>
          <w:b/>
          <w:bCs/>
          <w:sz w:val="22"/>
          <w:szCs w:val="22"/>
        </w:rPr>
        <w:t>b)</w:t>
      </w:r>
      <w:r w:rsidRPr="00A62343">
        <w:rPr>
          <w:rFonts w:ascii="Verdana" w:hAnsi="Verdana" w:cs="Arial"/>
          <w:sz w:val="22"/>
          <w:szCs w:val="22"/>
        </w:rPr>
        <w:t xml:space="preserve"> es también un derecho sustantivo, como expresión concreta del derecho a la libre determinación, en virtud de que participan activamente en la definición de decisiones que impactan en sus intereses y ejercicio de derechos.</w:t>
      </w:r>
    </w:p>
    <w:p w14:paraId="7AB34467" w14:textId="77777777"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El aspecto procedimental del derecho a la consulta se refiere a un conjunto de condiciones y principios que deben cumplir y observarse para validar un proceso de toma de decisiones que les puedan afectar.</w:t>
      </w:r>
    </w:p>
    <w:p w14:paraId="4A542E43" w14:textId="6A6DCE6A"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t xml:space="preserve">Así, en las sentencias de los </w:t>
      </w:r>
      <w:r w:rsidR="0046528F" w:rsidRPr="00A62343">
        <w:rPr>
          <w:rFonts w:ascii="Verdana" w:hAnsi="Verdana" w:cs="Arial"/>
          <w:sz w:val="22"/>
          <w:szCs w:val="22"/>
        </w:rPr>
        <w:t>J</w:t>
      </w:r>
      <w:r w:rsidRPr="00A62343">
        <w:rPr>
          <w:rFonts w:ascii="Verdana" w:hAnsi="Verdana" w:cs="Arial"/>
          <w:sz w:val="22"/>
          <w:szCs w:val="22"/>
        </w:rPr>
        <w:t>uicios para la protección de los derechos político-electorales de</w:t>
      </w:r>
      <w:r w:rsidR="0046528F" w:rsidRPr="00A62343">
        <w:rPr>
          <w:rFonts w:ascii="Verdana" w:hAnsi="Verdana" w:cs="Arial"/>
          <w:sz w:val="22"/>
          <w:szCs w:val="22"/>
        </w:rPr>
        <w:t xml:space="preserve"> </w:t>
      </w:r>
      <w:r w:rsidRPr="00A62343">
        <w:rPr>
          <w:rFonts w:ascii="Verdana" w:hAnsi="Verdana" w:cs="Arial"/>
          <w:sz w:val="22"/>
          <w:szCs w:val="22"/>
        </w:rPr>
        <w:t>l</w:t>
      </w:r>
      <w:r w:rsidR="0046528F" w:rsidRPr="00A62343">
        <w:rPr>
          <w:rFonts w:ascii="Verdana" w:hAnsi="Verdana" w:cs="Arial"/>
          <w:sz w:val="22"/>
          <w:szCs w:val="22"/>
        </w:rPr>
        <w:t>a</w:t>
      </w:r>
      <w:r w:rsidRPr="00A62343">
        <w:rPr>
          <w:rFonts w:ascii="Verdana" w:hAnsi="Verdana" w:cs="Arial"/>
          <w:sz w:val="22"/>
          <w:szCs w:val="22"/>
        </w:rPr>
        <w:t xml:space="preserve"> ciudadan</w:t>
      </w:r>
      <w:r w:rsidR="0046528F" w:rsidRPr="00A62343">
        <w:rPr>
          <w:rFonts w:ascii="Verdana" w:hAnsi="Verdana" w:cs="Arial"/>
          <w:sz w:val="22"/>
          <w:szCs w:val="22"/>
        </w:rPr>
        <w:t>ía</w:t>
      </w:r>
      <w:r w:rsidRPr="00A62343">
        <w:rPr>
          <w:rFonts w:ascii="Verdana" w:hAnsi="Verdana" w:cs="Arial"/>
          <w:sz w:val="22"/>
          <w:szCs w:val="22"/>
        </w:rPr>
        <w:t xml:space="preserve"> SUP-JDC-9167/2011, relacionado con la comunidad purépecha de Cherán, Michoacán, así como el fallo al juicio SUP-JDC-1740/2012, referente al municipio de San Luis Acatlán, Guerrero, en los que se determinó la realización de consultas para preguntar a las comunidades correspondientes si era su voluntad transitar de la elección por sistema de partidos a la de derecho indígena, se determinó que para llevar a cabo la consulta deben reunirse determinados requisitos: libre, pacífica, informada, democrática, equitativa, socialmente responsable y autogestionada.</w:t>
      </w:r>
    </w:p>
    <w:p w14:paraId="1A7F8A26" w14:textId="55304ABE" w:rsidR="00A429D9" w:rsidRPr="00A62343" w:rsidRDefault="00A429D9" w:rsidP="00A429D9">
      <w:pPr>
        <w:shd w:val="clear" w:color="auto" w:fill="FFFFFF"/>
        <w:spacing w:before="280" w:after="280" w:line="360" w:lineRule="auto"/>
        <w:jc w:val="both"/>
        <w:rPr>
          <w:rFonts w:ascii="Verdana" w:hAnsi="Verdana" w:cs="Arial"/>
          <w:sz w:val="22"/>
          <w:szCs w:val="22"/>
        </w:rPr>
      </w:pPr>
      <w:r w:rsidRPr="00A62343">
        <w:rPr>
          <w:rFonts w:ascii="Verdana" w:hAnsi="Verdana" w:cs="Arial"/>
          <w:sz w:val="22"/>
          <w:szCs w:val="22"/>
        </w:rPr>
        <w:lastRenderedPageBreak/>
        <w:t>En ese sentido, el derecho a la consulta a los pueblos y comunidades indígenas se traduce en la obligación del Estado de recabar su parecer antes de adoptar cualquier ley o medida administrativa que tenga impacto en las comunidades.</w:t>
      </w:r>
    </w:p>
    <w:p w14:paraId="6D7A3B02" w14:textId="77777777" w:rsidR="0046709F" w:rsidRPr="00A62343" w:rsidRDefault="009A48DD" w:rsidP="001F54E1">
      <w:pPr>
        <w:spacing w:before="100" w:beforeAutospacing="1" w:after="100" w:afterAutospacing="1" w:line="360" w:lineRule="auto"/>
        <w:jc w:val="both"/>
        <w:rPr>
          <w:rFonts w:ascii="Verdana" w:hAnsi="Verdana" w:cs="Arial"/>
          <w:b/>
          <w:sz w:val="22"/>
          <w:szCs w:val="22"/>
        </w:rPr>
      </w:pPr>
      <w:r w:rsidRPr="00A62343">
        <w:rPr>
          <w:rFonts w:ascii="Verdana" w:hAnsi="Verdana" w:cs="Arial"/>
          <w:b/>
          <w:sz w:val="22"/>
          <w:szCs w:val="22"/>
        </w:rPr>
        <w:t xml:space="preserve">3. </w:t>
      </w:r>
      <w:r w:rsidR="00BA63AD" w:rsidRPr="00A62343">
        <w:rPr>
          <w:rFonts w:ascii="Verdana" w:hAnsi="Verdana" w:cs="Arial"/>
          <w:b/>
          <w:sz w:val="22"/>
          <w:szCs w:val="22"/>
        </w:rPr>
        <w:t>Contestación de agravios.</w:t>
      </w:r>
      <w:r w:rsidR="007A1C83" w:rsidRPr="00A62343">
        <w:rPr>
          <w:rFonts w:ascii="Verdana" w:hAnsi="Verdana" w:cs="Arial"/>
          <w:b/>
          <w:sz w:val="22"/>
          <w:szCs w:val="22"/>
        </w:rPr>
        <w:t xml:space="preserve"> </w:t>
      </w:r>
    </w:p>
    <w:p w14:paraId="02747FE5" w14:textId="77777777" w:rsidR="00A2713E" w:rsidRPr="00A62343" w:rsidRDefault="00A2713E" w:rsidP="001F54E1">
      <w:pPr>
        <w:spacing w:before="100" w:beforeAutospacing="1" w:after="100" w:afterAutospacing="1" w:line="360" w:lineRule="auto"/>
        <w:jc w:val="both"/>
        <w:rPr>
          <w:rFonts w:ascii="Verdana" w:hAnsi="Verdana" w:cs="Arial"/>
          <w:bCs/>
          <w:sz w:val="22"/>
          <w:szCs w:val="22"/>
        </w:rPr>
      </w:pPr>
      <w:r w:rsidRPr="00A62343">
        <w:rPr>
          <w:rFonts w:ascii="Verdana" w:hAnsi="Verdana" w:cs="Arial"/>
          <w:bCs/>
          <w:sz w:val="22"/>
          <w:szCs w:val="22"/>
        </w:rPr>
        <w:t>Por cuestión de metodología, los agravios serán atendidos en el orden necesario para su resolución:</w:t>
      </w:r>
      <w:r w:rsidRPr="00A62343">
        <w:rPr>
          <w:rFonts w:ascii="Verdana" w:hAnsi="Verdana" w:cs="Arial"/>
          <w:bCs/>
          <w:sz w:val="22"/>
          <w:szCs w:val="22"/>
          <w:vertAlign w:val="superscript"/>
        </w:rPr>
        <w:footnoteReference w:id="28"/>
      </w:r>
    </w:p>
    <w:p w14:paraId="5659472F" w14:textId="4565F7E8" w:rsidR="004D3AE8" w:rsidRPr="00A62343" w:rsidRDefault="004D3AE8" w:rsidP="001F54E1">
      <w:pPr>
        <w:spacing w:before="100" w:beforeAutospacing="1" w:after="100" w:afterAutospacing="1" w:line="360" w:lineRule="auto"/>
        <w:jc w:val="both"/>
        <w:rPr>
          <w:rFonts w:ascii="Verdana" w:hAnsi="Verdana" w:cs="Arial"/>
          <w:b/>
          <w:sz w:val="22"/>
          <w:szCs w:val="22"/>
          <w:lang w:val="es-MX"/>
        </w:rPr>
      </w:pPr>
      <w:r w:rsidRPr="00A62343">
        <w:rPr>
          <w:rFonts w:ascii="Verdana" w:hAnsi="Verdana" w:cs="Arial"/>
          <w:b/>
          <w:sz w:val="22"/>
          <w:szCs w:val="22"/>
          <w:lang w:val="es-MX"/>
        </w:rPr>
        <w:t>Recursos de Apelación</w:t>
      </w:r>
    </w:p>
    <w:p w14:paraId="33F8EC8D" w14:textId="70391529" w:rsidR="006E2452" w:rsidRPr="00A62343" w:rsidRDefault="0046528F" w:rsidP="001F54E1">
      <w:pPr>
        <w:spacing w:before="100" w:beforeAutospacing="1" w:after="100" w:afterAutospacing="1" w:line="360" w:lineRule="auto"/>
        <w:jc w:val="both"/>
        <w:rPr>
          <w:rFonts w:ascii="Verdana" w:hAnsi="Verdana" w:cs="Arial"/>
          <w:bCs/>
          <w:sz w:val="22"/>
          <w:szCs w:val="22"/>
          <w:lang w:val="es-MX"/>
        </w:rPr>
      </w:pPr>
      <w:r w:rsidRPr="00A62343">
        <w:rPr>
          <w:rFonts w:ascii="Verdana" w:hAnsi="Verdana" w:cs="Arial"/>
          <w:bCs/>
          <w:sz w:val="22"/>
          <w:szCs w:val="22"/>
          <w:lang w:val="es-MX"/>
        </w:rPr>
        <w:t xml:space="preserve">El agravio identificado con el inciso </w:t>
      </w:r>
      <w:r w:rsidRPr="00A62343">
        <w:rPr>
          <w:rFonts w:ascii="Verdana" w:hAnsi="Verdana" w:cs="Arial"/>
          <w:b/>
          <w:i/>
          <w:iCs/>
          <w:sz w:val="22"/>
          <w:szCs w:val="22"/>
          <w:lang w:val="es-MX"/>
        </w:rPr>
        <w:t>b)</w:t>
      </w:r>
      <w:r w:rsidRPr="00A62343">
        <w:rPr>
          <w:rFonts w:ascii="Verdana" w:hAnsi="Verdana" w:cs="Arial"/>
          <w:bCs/>
          <w:sz w:val="22"/>
          <w:szCs w:val="22"/>
          <w:lang w:val="es-MX"/>
        </w:rPr>
        <w:t xml:space="preserve">, en el que los </w:t>
      </w:r>
      <w:r w:rsidRPr="00A62343">
        <w:rPr>
          <w:rFonts w:ascii="Verdana" w:eastAsia="Arial" w:hAnsi="Verdana" w:cs="Arial"/>
          <w:bCs/>
          <w:smallCaps/>
          <w:color w:val="000000"/>
          <w:sz w:val="22"/>
          <w:szCs w:val="22"/>
          <w:lang w:val="es-MX"/>
        </w:rPr>
        <w:t>Partidos Recurrentes</w:t>
      </w:r>
      <w:r w:rsidRPr="00A62343">
        <w:rPr>
          <w:rFonts w:ascii="Verdana" w:hAnsi="Verdana" w:cs="Arial"/>
          <w:bCs/>
          <w:sz w:val="22"/>
          <w:szCs w:val="22"/>
          <w:lang w:val="es-MX"/>
        </w:rPr>
        <w:t>, ref</w:t>
      </w:r>
      <w:r w:rsidR="00056E6D" w:rsidRPr="00A62343">
        <w:rPr>
          <w:rFonts w:ascii="Verdana" w:hAnsi="Verdana" w:cs="Arial"/>
          <w:bCs/>
          <w:sz w:val="22"/>
          <w:szCs w:val="22"/>
          <w:lang w:val="es-MX"/>
        </w:rPr>
        <w:t>ieren</w:t>
      </w:r>
      <w:r w:rsidRPr="00A62343">
        <w:rPr>
          <w:rFonts w:ascii="Verdana" w:hAnsi="Verdana" w:cs="Arial"/>
          <w:bCs/>
          <w:sz w:val="22"/>
          <w:szCs w:val="22"/>
          <w:lang w:val="es-MX"/>
        </w:rPr>
        <w:t xml:space="preserve"> que l</w:t>
      </w:r>
      <w:r w:rsidRPr="00A62343">
        <w:rPr>
          <w:rFonts w:ascii="Verdana" w:eastAsia="Arial" w:hAnsi="Verdana" w:cs="Arial"/>
          <w:sz w:val="22"/>
          <w:szCs w:val="22"/>
        </w:rPr>
        <w:t xml:space="preserve">a </w:t>
      </w:r>
      <w:r w:rsidRPr="00A62343">
        <w:rPr>
          <w:rFonts w:ascii="Verdana" w:eastAsia="Arial" w:hAnsi="Verdana" w:cs="Arial"/>
          <w:smallCaps/>
          <w:sz w:val="22"/>
          <w:szCs w:val="22"/>
        </w:rPr>
        <w:t xml:space="preserve">Autoridad Responsable </w:t>
      </w:r>
      <w:r w:rsidRPr="00A62343">
        <w:rPr>
          <w:rFonts w:ascii="Verdana" w:eastAsia="Arial" w:hAnsi="Verdana" w:cs="Arial"/>
          <w:sz w:val="22"/>
          <w:szCs w:val="22"/>
        </w:rPr>
        <w:t xml:space="preserve">carece de competencia para aprobar </w:t>
      </w:r>
      <w:r w:rsidR="00056E6D" w:rsidRPr="00A62343">
        <w:rPr>
          <w:rFonts w:ascii="Verdana" w:eastAsia="Arial" w:hAnsi="Verdana" w:cs="Arial"/>
          <w:sz w:val="22"/>
          <w:szCs w:val="22"/>
        </w:rPr>
        <w:t xml:space="preserve">el </w:t>
      </w:r>
      <w:r w:rsidR="00056E6D" w:rsidRPr="00A62343">
        <w:rPr>
          <w:rFonts w:ascii="Verdana" w:eastAsia="Arial" w:hAnsi="Verdana" w:cs="Arial"/>
          <w:smallCaps/>
          <w:sz w:val="22"/>
          <w:szCs w:val="22"/>
        </w:rPr>
        <w:t>Acto Impugnado</w:t>
      </w:r>
      <w:r w:rsidRPr="00A62343">
        <w:rPr>
          <w:rFonts w:ascii="Verdana" w:eastAsia="Arial" w:hAnsi="Verdana" w:cs="Arial"/>
          <w:sz w:val="22"/>
          <w:szCs w:val="22"/>
        </w:rPr>
        <w:t xml:space="preserve">, </w:t>
      </w:r>
      <w:r w:rsidR="006E2452" w:rsidRPr="00A62343">
        <w:rPr>
          <w:rFonts w:ascii="Verdana" w:eastAsia="Arial" w:hAnsi="Verdana" w:cs="Arial"/>
          <w:color w:val="000000"/>
          <w:sz w:val="22"/>
          <w:szCs w:val="22"/>
        </w:rPr>
        <w:t xml:space="preserve">resulta </w:t>
      </w:r>
      <w:r w:rsidR="006E2452" w:rsidRPr="00A62343">
        <w:rPr>
          <w:rFonts w:ascii="Verdana" w:eastAsia="Arial" w:hAnsi="Verdana" w:cs="Arial"/>
          <w:b/>
          <w:bCs/>
          <w:color w:val="000000"/>
          <w:sz w:val="22"/>
          <w:szCs w:val="22"/>
        </w:rPr>
        <w:t>infundado</w:t>
      </w:r>
      <w:r w:rsidR="006E2452" w:rsidRPr="00A62343">
        <w:rPr>
          <w:rFonts w:ascii="Verdana" w:eastAsia="Arial" w:hAnsi="Verdana" w:cs="Arial"/>
          <w:color w:val="000000"/>
          <w:sz w:val="22"/>
          <w:szCs w:val="22"/>
        </w:rPr>
        <w:t>, atendiendo a las siguientes consideraciones:</w:t>
      </w:r>
    </w:p>
    <w:p w14:paraId="2FFC7A85" w14:textId="77777777" w:rsidR="000B7DE7" w:rsidRPr="00A62343" w:rsidRDefault="000B7DE7" w:rsidP="001F54E1">
      <w:pPr>
        <w:spacing w:before="100" w:beforeAutospacing="1" w:after="100" w:afterAutospacing="1" w:line="360" w:lineRule="auto"/>
        <w:jc w:val="both"/>
        <w:rPr>
          <w:rFonts w:ascii="Verdana" w:hAnsi="Verdana" w:cs="Arial"/>
          <w:sz w:val="22"/>
          <w:szCs w:val="22"/>
        </w:rPr>
      </w:pPr>
      <w:r w:rsidRPr="00A62343">
        <w:rPr>
          <w:rFonts w:ascii="Verdana" w:eastAsia="Arial" w:hAnsi="Verdana" w:cs="Arial"/>
          <w:color w:val="000000"/>
          <w:sz w:val="22"/>
          <w:szCs w:val="22"/>
        </w:rPr>
        <w:t xml:space="preserve">Inicialmente, es menester traer a colación que </w:t>
      </w:r>
      <w:r w:rsidRPr="00A62343">
        <w:rPr>
          <w:rFonts w:ascii="Verdana" w:hAnsi="Verdana" w:cs="Arial"/>
          <w:sz w:val="22"/>
          <w:szCs w:val="22"/>
        </w:rPr>
        <w:t xml:space="preserve">los artículos 14, 16 y 17, </w:t>
      </w:r>
      <w:r w:rsidRPr="00A62343">
        <w:rPr>
          <w:rFonts w:ascii="Verdana" w:eastAsia="Arial" w:hAnsi="Verdana" w:cs="Arial"/>
          <w:color w:val="000000"/>
          <w:sz w:val="22"/>
          <w:szCs w:val="22"/>
        </w:rPr>
        <w:t xml:space="preserve">de la </w:t>
      </w:r>
      <w:r w:rsidRPr="00A62343">
        <w:rPr>
          <w:rFonts w:ascii="Verdana" w:eastAsia="Arial" w:hAnsi="Verdana" w:cs="Arial"/>
          <w:smallCaps/>
          <w:color w:val="000000"/>
          <w:sz w:val="22"/>
          <w:szCs w:val="22"/>
        </w:rPr>
        <w:t>Constitución Federal</w:t>
      </w:r>
      <w:r w:rsidRPr="00A62343">
        <w:rPr>
          <w:rFonts w:ascii="Verdana" w:eastAsia="Arial" w:hAnsi="Verdana" w:cs="Arial"/>
          <w:color w:val="000000"/>
          <w:sz w:val="22"/>
          <w:szCs w:val="22"/>
        </w:rPr>
        <w:t xml:space="preserve">, </w:t>
      </w:r>
      <w:r w:rsidRPr="00A62343">
        <w:rPr>
          <w:rFonts w:ascii="Verdana" w:hAnsi="Verdana" w:cs="Arial"/>
          <w:sz w:val="22"/>
          <w:szCs w:val="22"/>
        </w:rPr>
        <w:t xml:space="preserve">señalan que todo acto de las autoridades, debe emitirse dentro del margen de facultades otorgadas en la misma o en alguna ley secundaria. </w:t>
      </w:r>
    </w:p>
    <w:p w14:paraId="03F514C4" w14:textId="24521CC5" w:rsidR="000B7DE7" w:rsidRPr="00A62343" w:rsidRDefault="000B7DE7" w:rsidP="001F54E1">
      <w:pPr>
        <w:pStyle w:val="NormalWeb"/>
        <w:spacing w:line="360" w:lineRule="auto"/>
        <w:jc w:val="both"/>
        <w:rPr>
          <w:rFonts w:ascii="Verdana" w:hAnsi="Verdana" w:cs="Arial"/>
          <w:sz w:val="22"/>
          <w:szCs w:val="22"/>
        </w:rPr>
      </w:pPr>
      <w:r w:rsidRPr="00A62343">
        <w:rPr>
          <w:rFonts w:ascii="Verdana" w:hAnsi="Verdana" w:cs="Arial"/>
          <w:sz w:val="22"/>
          <w:szCs w:val="22"/>
        </w:rPr>
        <w:t xml:space="preserve">La </w:t>
      </w:r>
      <w:r w:rsidRPr="00A62343">
        <w:rPr>
          <w:rFonts w:ascii="Verdana" w:eastAsia="Arial" w:hAnsi="Verdana" w:cs="Arial"/>
          <w:smallCaps/>
          <w:color w:val="000000"/>
          <w:sz w:val="22"/>
          <w:szCs w:val="22"/>
        </w:rPr>
        <w:t>Suprema Corte</w:t>
      </w:r>
      <w:r w:rsidRPr="00A62343">
        <w:rPr>
          <w:rFonts w:ascii="Verdana" w:hAnsi="Verdana" w:cs="Arial"/>
          <w:sz w:val="22"/>
          <w:szCs w:val="22"/>
        </w:rPr>
        <w:t xml:space="preserve">, ha señalado que, en el ejercicio de la función electoral a cargo de las autoridades electorales, serán principios rectores los de legalidad, imparcialidad, objetividad, certeza e independencia. Asimismo, señala que </w:t>
      </w:r>
      <w:r w:rsidRPr="00A62343">
        <w:rPr>
          <w:rFonts w:ascii="Verdana" w:hAnsi="Verdana" w:cs="Arial"/>
          <w:b/>
          <w:bCs/>
          <w:sz w:val="22"/>
          <w:szCs w:val="22"/>
        </w:rPr>
        <w:t>las autoridades electorales deberán de gozar de autonomía en su funcionamiento e independencia en sus decisiones</w:t>
      </w:r>
      <w:r w:rsidRPr="00A62343">
        <w:rPr>
          <w:rFonts w:ascii="Verdana" w:hAnsi="Verdana" w:cs="Arial"/>
          <w:sz w:val="22"/>
          <w:szCs w:val="22"/>
        </w:rPr>
        <w:t xml:space="preserve">; </w:t>
      </w:r>
      <w:r w:rsidR="000D330F" w:rsidRPr="00A62343">
        <w:rPr>
          <w:rFonts w:ascii="Verdana" w:hAnsi="Verdana" w:cs="Arial"/>
          <w:sz w:val="22"/>
          <w:szCs w:val="22"/>
        </w:rPr>
        <w:t>igualmente</w:t>
      </w:r>
      <w:r w:rsidRPr="00A62343">
        <w:rPr>
          <w:rFonts w:ascii="Verdana" w:hAnsi="Verdana" w:cs="Arial"/>
          <w:sz w:val="22"/>
          <w:szCs w:val="22"/>
        </w:rPr>
        <w:t xml:space="preserve">, estimó, que en materia electoral el </w:t>
      </w:r>
      <w:r w:rsidRPr="00A62343">
        <w:rPr>
          <w:rFonts w:ascii="Verdana" w:hAnsi="Verdana" w:cs="Arial"/>
          <w:b/>
          <w:bCs/>
          <w:sz w:val="22"/>
          <w:szCs w:val="22"/>
        </w:rPr>
        <w:t>principio de legalidad</w:t>
      </w:r>
      <w:r w:rsidRPr="00A62343">
        <w:rPr>
          <w:rFonts w:ascii="Verdana" w:hAnsi="Verdana" w:cs="Arial"/>
          <w:sz w:val="22"/>
          <w:szCs w:val="22"/>
        </w:rPr>
        <w:t xml:space="preserve"> significa la garantía formal para que la ciudadanía y las autoridades electorales actúen en estricto apego a las disposiciones consignadas en la ley, de tal manera que no se emitan o desplieguen conductas caprichosas o arbitrarias al margen del texto normativo; el de i</w:t>
      </w:r>
      <w:r w:rsidRPr="00A62343">
        <w:rPr>
          <w:rFonts w:ascii="Verdana" w:hAnsi="Verdana" w:cs="Arial"/>
          <w:b/>
          <w:bCs/>
          <w:sz w:val="22"/>
          <w:szCs w:val="22"/>
        </w:rPr>
        <w:t>mparcialidad</w:t>
      </w:r>
      <w:r w:rsidRPr="00A62343">
        <w:rPr>
          <w:rFonts w:ascii="Verdana" w:hAnsi="Verdana" w:cs="Arial"/>
          <w:sz w:val="22"/>
          <w:szCs w:val="22"/>
        </w:rPr>
        <w:t xml:space="preserve"> consiste en que en el ejercicio de sus funciones las autoridades electorales eviten irregularidades, desviaciones o la proclividad partidista; el de </w:t>
      </w:r>
      <w:r w:rsidRPr="00A62343">
        <w:rPr>
          <w:rFonts w:ascii="Verdana" w:hAnsi="Verdana" w:cs="Arial"/>
          <w:b/>
          <w:bCs/>
          <w:sz w:val="22"/>
          <w:szCs w:val="22"/>
        </w:rPr>
        <w:t>objetividad</w:t>
      </w:r>
      <w:r w:rsidRPr="00A62343">
        <w:rPr>
          <w:rFonts w:ascii="Verdana" w:hAnsi="Verdana" w:cs="Arial"/>
          <w:sz w:val="22"/>
          <w:szCs w:val="22"/>
        </w:rPr>
        <w:t xml:space="preserve"> obliga a que las normas y mecanismos del proceso electoral estén diseñadas para evitar situaciones conflictivas sobre los actos previos a la jornada electoral, durante su desarrollo y en las etapas posteriores a la misma, y el de </w:t>
      </w:r>
      <w:r w:rsidRPr="00A62343">
        <w:rPr>
          <w:rFonts w:ascii="Verdana" w:hAnsi="Verdana" w:cs="Arial"/>
          <w:b/>
          <w:bCs/>
          <w:sz w:val="22"/>
          <w:szCs w:val="22"/>
        </w:rPr>
        <w:lastRenderedPageBreak/>
        <w:t xml:space="preserve">certeza </w:t>
      </w:r>
      <w:r w:rsidRPr="00A62343">
        <w:rPr>
          <w:rFonts w:ascii="Verdana" w:hAnsi="Verdana" w:cs="Arial"/>
          <w:sz w:val="22"/>
          <w:szCs w:val="22"/>
        </w:rPr>
        <w:t xml:space="preserve">consiste en dotar de facultades expresas a las autoridades locales de modo que todos los participantes en el proceso electoral conozcan previamente con claridad y seguridad las reglas a que su propia actuación y la de las autoridades electorales están sujetas. Por su parte, </w:t>
      </w:r>
      <w:r w:rsidRPr="00A62343">
        <w:rPr>
          <w:rFonts w:ascii="Verdana" w:hAnsi="Verdana" w:cs="Arial"/>
          <w:b/>
          <w:bCs/>
          <w:sz w:val="22"/>
          <w:szCs w:val="22"/>
          <w:u w:val="single"/>
        </w:rPr>
        <w:t>los conceptos de autonomía en el funcionamiento e independencia en las decisiones de las autoridades electorales implican</w:t>
      </w:r>
      <w:r w:rsidRPr="00A62343">
        <w:rPr>
          <w:rFonts w:ascii="Verdana" w:hAnsi="Verdana" w:cs="Arial"/>
          <w:sz w:val="22"/>
          <w:szCs w:val="22"/>
        </w:rPr>
        <w:t xml:space="preserve"> una garantía constitucional a favor de la ciudadanía y de los propios partidos políticos, y se refiere a aquella situación institucional que permite a las autoridades electorales emitir sus decisiones con plena imparcialidad y en estricto apego a la normatividad aplicable al caso, sin tener que acatar o someterse a indicaciones, instrucciones, sugerencias o insinuaciones provenientes de superiores jerárquicos, de otros Poderes del Estado o de personas con las que guardan alguna relación de afinidad política, social o cultural.</w:t>
      </w:r>
      <w:r w:rsidRPr="00A62343">
        <w:rPr>
          <w:rStyle w:val="Refdenotaalpie"/>
          <w:rFonts w:ascii="Verdana" w:hAnsi="Verdana" w:cs="Arial"/>
          <w:sz w:val="22"/>
          <w:szCs w:val="22"/>
        </w:rPr>
        <w:footnoteReference w:id="29"/>
      </w:r>
    </w:p>
    <w:p w14:paraId="6C2A4B83" w14:textId="2C6C7031" w:rsidR="000B7DE7" w:rsidRPr="00A62343" w:rsidRDefault="000D330F"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Acorde con lo anterior</w:t>
      </w:r>
      <w:r w:rsidR="000B7DE7" w:rsidRPr="00A62343">
        <w:rPr>
          <w:rFonts w:ascii="Verdana" w:hAnsi="Verdana" w:cs="Arial"/>
          <w:sz w:val="22"/>
          <w:szCs w:val="22"/>
        </w:rPr>
        <w:t xml:space="preserve">, la </w:t>
      </w:r>
      <w:r w:rsidR="000B7DE7" w:rsidRPr="00A62343">
        <w:rPr>
          <w:rFonts w:ascii="Verdana" w:eastAsia="Verdana" w:hAnsi="Verdana" w:cs="Verdana"/>
          <w:bCs/>
          <w:smallCaps/>
          <w:sz w:val="22"/>
          <w:szCs w:val="22"/>
        </w:rPr>
        <w:t>Sala Superior</w:t>
      </w:r>
      <w:r w:rsidR="000B7DE7" w:rsidRPr="00A62343">
        <w:rPr>
          <w:rFonts w:ascii="Verdana" w:hAnsi="Verdana" w:cs="Arial"/>
          <w:sz w:val="22"/>
          <w:szCs w:val="22"/>
        </w:rPr>
        <w:t>, señaló que las atribuciones y facultades explícitas e implícitas, de los institutos electorales, deben estar encaminadas a cumplir los fines constitucionales y legales para los cuales fueron creados</w:t>
      </w:r>
      <w:r w:rsidR="000B7DE7" w:rsidRPr="00A62343">
        <w:rPr>
          <w:rStyle w:val="Refdenotaalpie"/>
          <w:rFonts w:ascii="Verdana" w:hAnsi="Verdana" w:cs="Arial"/>
          <w:sz w:val="22"/>
          <w:szCs w:val="22"/>
        </w:rPr>
        <w:footnoteReference w:id="30"/>
      </w:r>
      <w:r w:rsidR="000B7DE7" w:rsidRPr="00A62343">
        <w:rPr>
          <w:rFonts w:ascii="Verdana" w:hAnsi="Verdana" w:cs="Arial"/>
          <w:sz w:val="22"/>
          <w:szCs w:val="22"/>
        </w:rPr>
        <w:t>.</w:t>
      </w:r>
    </w:p>
    <w:p w14:paraId="2D9FD627" w14:textId="77744EA3" w:rsidR="000B7DE7" w:rsidRPr="00A62343" w:rsidRDefault="000B7DE7" w:rsidP="001F54E1">
      <w:pPr>
        <w:pStyle w:val="NormalWeb"/>
        <w:spacing w:line="360" w:lineRule="auto"/>
        <w:jc w:val="both"/>
        <w:rPr>
          <w:rFonts w:ascii="Verdana" w:hAnsi="Verdana" w:cs="Arial"/>
          <w:sz w:val="22"/>
          <w:szCs w:val="22"/>
        </w:rPr>
      </w:pPr>
      <w:r w:rsidRPr="00A62343">
        <w:rPr>
          <w:rFonts w:ascii="Verdana" w:hAnsi="Verdana" w:cs="Arial"/>
          <w:sz w:val="22"/>
          <w:szCs w:val="22"/>
        </w:rPr>
        <w:t>En tal sentido, conforme a</w:t>
      </w:r>
      <w:r w:rsidRPr="00A62343">
        <w:rPr>
          <w:rFonts w:ascii="Verdana" w:eastAsia="Verdana" w:hAnsi="Verdana" w:cs="Verdana"/>
          <w:sz w:val="22"/>
          <w:szCs w:val="22"/>
        </w:rPr>
        <w:t xml:space="preserve">l artículo 66 del </w:t>
      </w:r>
      <w:r w:rsidRPr="00A62343">
        <w:rPr>
          <w:rFonts w:ascii="Verdana" w:eastAsia="Verdana" w:hAnsi="Verdana" w:cs="Verdana"/>
          <w:smallCaps/>
          <w:sz w:val="22"/>
          <w:szCs w:val="22"/>
        </w:rPr>
        <w:t>Código Electoral</w:t>
      </w:r>
      <w:r w:rsidRPr="00A62343">
        <w:rPr>
          <w:rFonts w:ascii="Verdana" w:eastAsia="Verdana" w:hAnsi="Verdana" w:cs="Verdana"/>
          <w:sz w:val="22"/>
          <w:szCs w:val="22"/>
        </w:rPr>
        <w:t xml:space="preserve">, el </w:t>
      </w:r>
      <w:r w:rsidR="00A64EAB" w:rsidRPr="00A62343">
        <w:rPr>
          <w:rFonts w:ascii="Verdana" w:hAnsi="Verdana" w:cs="Arial"/>
          <w:smallCaps/>
          <w:sz w:val="22"/>
          <w:szCs w:val="22"/>
        </w:rPr>
        <w:t>Instituto Electoral</w:t>
      </w:r>
      <w:r w:rsidRPr="00A62343">
        <w:rPr>
          <w:rFonts w:ascii="Verdana" w:eastAsia="Verdana" w:hAnsi="Verdana" w:cs="Verdana"/>
          <w:sz w:val="22"/>
          <w:szCs w:val="22"/>
        </w:rPr>
        <w:t xml:space="preserve"> es un organismo público dotado de personalidad jurídica y patrimonio propio, así como profesional en su desempeño; gozará de autonomía en su funcionamiento e independencia en sus decisiones y es el depositario del ejercicio de la función estatal de organizar las elecciones, así como los procesos de participación ciudadana y la educación cívica en el Estado, en los términos de las leyes de la materia. Sus principios rectores serán </w:t>
      </w:r>
      <w:r w:rsidRPr="00A62343">
        <w:rPr>
          <w:rFonts w:ascii="Verdana" w:hAnsi="Verdana" w:cs="Arial"/>
          <w:sz w:val="22"/>
          <w:szCs w:val="22"/>
        </w:rPr>
        <w:t>la certeza, la legalidad, la imparcialidad, la independencia, máxima publicidad, definitividad y objetividad, paridad y se realizarán con perspectiva de género.</w:t>
      </w:r>
    </w:p>
    <w:p w14:paraId="67E76FDB" w14:textId="77777777" w:rsidR="000B7DE7" w:rsidRPr="00A62343" w:rsidRDefault="000B7DE7"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Autonomía que se manifiesta en el ámbito normativo mediante la facultad reglamentaria, como potestad atribuida por el ordenamiento jurídico, a determinados órganos de autoridad, para emitir normas </w:t>
      </w:r>
      <w:r w:rsidRPr="00A62343">
        <w:rPr>
          <w:rFonts w:ascii="Verdana" w:hAnsi="Verdana" w:cs="Arial"/>
          <w:sz w:val="22"/>
          <w:szCs w:val="22"/>
        </w:rPr>
        <w:lastRenderedPageBreak/>
        <w:t>jurídicas generales abstractas, impersonales y obligatorias, con el fin de generar en el ámbito administrativo el exacto cumplimiento de la ley.</w:t>
      </w:r>
      <w:r w:rsidRPr="00A62343">
        <w:rPr>
          <w:rFonts w:ascii="Verdana" w:hAnsi="Verdana"/>
          <w:sz w:val="22"/>
          <w:szCs w:val="22"/>
          <w:vertAlign w:val="superscript"/>
        </w:rPr>
        <w:footnoteReference w:id="31"/>
      </w:r>
    </w:p>
    <w:p w14:paraId="34BB0EA8" w14:textId="77777777" w:rsidR="000B7DE7" w:rsidRPr="00A62343" w:rsidRDefault="000B7DE7"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En ese orden de ideas, la </w:t>
      </w:r>
      <w:r w:rsidRPr="00A62343">
        <w:rPr>
          <w:rFonts w:ascii="Verdana" w:hAnsi="Verdana" w:cs="Arial"/>
          <w:smallCaps/>
          <w:sz w:val="22"/>
          <w:szCs w:val="22"/>
        </w:rPr>
        <w:t>Autoridad Responsable</w:t>
      </w:r>
      <w:r w:rsidRPr="00A62343">
        <w:rPr>
          <w:rFonts w:ascii="Verdana" w:hAnsi="Verdana" w:cs="Arial"/>
          <w:sz w:val="22"/>
          <w:szCs w:val="22"/>
        </w:rPr>
        <w:t>, tiene la obligación de vigilar el cumplimiento de las disposiciones constitucionales y legales aplicables en materia electoral,</w:t>
      </w:r>
      <w:r w:rsidRPr="00A62343">
        <w:rPr>
          <w:rFonts w:ascii="Verdana" w:hAnsi="Verdana" w:cs="Arial"/>
          <w:sz w:val="22"/>
          <w:szCs w:val="22"/>
          <w:vertAlign w:val="superscript"/>
        </w:rPr>
        <w:footnoteReference w:id="32"/>
      </w:r>
      <w:r w:rsidRPr="00A62343">
        <w:rPr>
          <w:rFonts w:ascii="Verdana" w:hAnsi="Verdana" w:cs="Arial"/>
          <w:sz w:val="22"/>
          <w:szCs w:val="22"/>
        </w:rPr>
        <w:t xml:space="preserve"> de los principios rectores de la materia, y, en consecuencia, la facultad para expedir los reglamentos, lineamientos, criterios y demás normatividad interna necesaria para tal fin. </w:t>
      </w:r>
    </w:p>
    <w:p w14:paraId="072E24AB" w14:textId="0B3579B6" w:rsidR="000B7DE7" w:rsidRPr="00A62343" w:rsidRDefault="000B7DE7"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A su vez, el artículo 7, numeral 1, fracción I, del Reglamento Interior del Instituto Estatal Electoral de Aguascalientes, señala que, para el cumplimiento de sus atribuciones, corresponde al Consejo expedir los reglamentos, lineamientos, criterios y demás normatividad interna necesaria para el buen funcionamiento y cumplimiento de los fines del </w:t>
      </w:r>
      <w:r w:rsidR="00A64EAB" w:rsidRPr="00A62343">
        <w:rPr>
          <w:rFonts w:ascii="Verdana" w:hAnsi="Verdana" w:cs="Arial"/>
          <w:smallCaps/>
          <w:sz w:val="22"/>
          <w:szCs w:val="22"/>
        </w:rPr>
        <w:t>Instituto Electoral</w:t>
      </w:r>
      <w:r w:rsidRPr="00A62343">
        <w:rPr>
          <w:rFonts w:ascii="Verdana" w:hAnsi="Verdana" w:cs="Arial"/>
          <w:sz w:val="22"/>
          <w:szCs w:val="22"/>
        </w:rPr>
        <w:t>.</w:t>
      </w:r>
    </w:p>
    <w:p w14:paraId="10415B3D" w14:textId="7320DD6D" w:rsidR="000B7DE7" w:rsidRPr="00A62343" w:rsidRDefault="000B7DE7"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De esta manera, queda reconocida la necesidad de contar con Lineamientos expedidos por la </w:t>
      </w:r>
      <w:r w:rsidRPr="00A62343">
        <w:rPr>
          <w:rFonts w:ascii="Verdana" w:hAnsi="Verdana" w:cs="Arial"/>
          <w:smallCaps/>
          <w:sz w:val="22"/>
          <w:szCs w:val="22"/>
        </w:rPr>
        <w:t>Autoridad Responsable</w:t>
      </w:r>
      <w:r w:rsidRPr="00A62343">
        <w:rPr>
          <w:rFonts w:ascii="Verdana" w:hAnsi="Verdana" w:cs="Arial"/>
          <w:sz w:val="22"/>
          <w:szCs w:val="22"/>
        </w:rPr>
        <w:t xml:space="preserve">, por lo que puede crear normas adicionales que regulen los procedimientos, la estructura y el adecuado funcionamiento del </w:t>
      </w:r>
      <w:r w:rsidR="00A64EAB" w:rsidRPr="00A62343">
        <w:rPr>
          <w:rFonts w:ascii="Verdana" w:hAnsi="Verdana" w:cs="Arial"/>
          <w:smallCaps/>
          <w:sz w:val="22"/>
          <w:szCs w:val="22"/>
        </w:rPr>
        <w:t>Instituto Electoral</w:t>
      </w:r>
      <w:r w:rsidRPr="00A62343">
        <w:rPr>
          <w:rFonts w:ascii="Verdana" w:hAnsi="Verdana" w:cs="Arial"/>
          <w:sz w:val="22"/>
          <w:szCs w:val="22"/>
        </w:rPr>
        <w:t>, ya sea mediante reglamentos, lineamientos y otras disposiciones de carácter general.</w:t>
      </w:r>
    </w:p>
    <w:p w14:paraId="3655DF98" w14:textId="77777777" w:rsidR="000B7DE7" w:rsidRPr="00A62343" w:rsidRDefault="000B7DE7" w:rsidP="001F54E1">
      <w:pPr>
        <w:spacing w:before="100" w:beforeAutospacing="1" w:after="100" w:afterAutospacing="1" w:line="360" w:lineRule="auto"/>
        <w:jc w:val="both"/>
        <w:rPr>
          <w:rFonts w:ascii="Verdana" w:eastAsia="Verdana" w:hAnsi="Verdana" w:cs="Verdana"/>
          <w:sz w:val="22"/>
          <w:szCs w:val="22"/>
        </w:rPr>
      </w:pPr>
      <w:r w:rsidRPr="00A62343">
        <w:rPr>
          <w:rFonts w:ascii="Verdana" w:eastAsia="Verdana" w:hAnsi="Verdana" w:cs="Verdana"/>
          <w:sz w:val="22"/>
          <w:szCs w:val="22"/>
        </w:rPr>
        <w:t xml:space="preserve">El artículo 116, fracción IV, inciso c), de la </w:t>
      </w:r>
      <w:r w:rsidRPr="00A62343">
        <w:rPr>
          <w:rFonts w:ascii="Verdana" w:eastAsia="Verdana" w:hAnsi="Verdana" w:cs="Verdana"/>
          <w:smallCaps/>
          <w:sz w:val="22"/>
          <w:szCs w:val="22"/>
        </w:rPr>
        <w:t>Constitución Federal</w:t>
      </w:r>
      <w:r w:rsidRPr="00A62343">
        <w:rPr>
          <w:rFonts w:ascii="Verdana" w:eastAsia="Verdana" w:hAnsi="Verdana" w:cs="Verdana"/>
          <w:sz w:val="22"/>
          <w:szCs w:val="22"/>
        </w:rPr>
        <w:t>, señala que, de conformidad con las bases establecidas en esa Constitución y las leyes generales en la materia, las Constituciones y leyes de los Estados en materia electoral, garantizarán que las autoridades que tengan a su cargo la organización de las elecciones gocen de autonomía en su funcionamiento, e independencia en sus decisiones.</w:t>
      </w:r>
    </w:p>
    <w:p w14:paraId="176F990C" w14:textId="1417ACA1" w:rsidR="000B7DE7" w:rsidRPr="00A62343" w:rsidRDefault="000B7DE7" w:rsidP="001F54E1">
      <w:pPr>
        <w:spacing w:before="100" w:beforeAutospacing="1" w:after="100" w:afterAutospacing="1" w:line="360" w:lineRule="auto"/>
        <w:jc w:val="both"/>
        <w:rPr>
          <w:rFonts w:ascii="Verdana" w:eastAsia="Verdana" w:hAnsi="Verdana" w:cs="Verdana"/>
          <w:sz w:val="22"/>
          <w:szCs w:val="22"/>
        </w:rPr>
      </w:pPr>
      <w:bookmarkStart w:id="4" w:name="_2et92p0" w:colFirst="0" w:colLast="0"/>
      <w:bookmarkEnd w:id="4"/>
      <w:r w:rsidRPr="00A62343">
        <w:rPr>
          <w:rFonts w:ascii="Verdana" w:eastAsia="Verdana" w:hAnsi="Verdana" w:cs="Verdana"/>
          <w:sz w:val="22"/>
          <w:szCs w:val="22"/>
        </w:rPr>
        <w:t xml:space="preserve">Por su parte, el artículo 98, de la </w:t>
      </w:r>
      <w:r w:rsidR="00A64EAB" w:rsidRPr="00A62343">
        <w:rPr>
          <w:rFonts w:ascii="Verdana" w:eastAsia="Verdana" w:hAnsi="Verdana" w:cs="Verdana"/>
          <w:smallCaps/>
          <w:sz w:val="22"/>
          <w:szCs w:val="22"/>
        </w:rPr>
        <w:t>LEGIPE</w:t>
      </w:r>
      <w:r w:rsidRPr="00A62343">
        <w:rPr>
          <w:rFonts w:ascii="Verdana" w:eastAsia="Verdana" w:hAnsi="Verdana" w:cs="Verdana"/>
          <w:smallCaps/>
          <w:sz w:val="22"/>
          <w:szCs w:val="22"/>
        </w:rPr>
        <w:t>,</w:t>
      </w:r>
      <w:r w:rsidRPr="00A62343">
        <w:rPr>
          <w:rFonts w:ascii="Verdana" w:eastAsia="Verdana" w:hAnsi="Verdana" w:cs="Verdana"/>
          <w:sz w:val="22"/>
          <w:szCs w:val="22"/>
        </w:rPr>
        <w:t xml:space="preserve"> señala que los Organismos Públicos Locales están dotados de personalidad jurídica y patrimonio propios. Gozarán de autonomía en su funcionamiento e independencia en sus decisiones, en los términos previstos en la Constitución, esa Ley, las constituciones y leyes locales. Serán profesionales en su desempeño. Se regirán por los principios de certeza, imparcialidad, independencia, legalidad, máxima publicidad y objetividad.</w:t>
      </w:r>
    </w:p>
    <w:p w14:paraId="2F4F1822" w14:textId="5A6667C9" w:rsidR="000B7DE7" w:rsidRPr="00A62343" w:rsidRDefault="000B7DE7"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lastRenderedPageBreak/>
        <w:t xml:space="preserve">Por su parte, el artículo 104, numeral 1, inciso a) de la </w:t>
      </w:r>
      <w:r w:rsidR="00A64EAB" w:rsidRPr="00A62343">
        <w:rPr>
          <w:rFonts w:ascii="Verdana" w:hAnsi="Verdana" w:cs="Arial"/>
          <w:smallCaps/>
          <w:sz w:val="22"/>
          <w:szCs w:val="22"/>
        </w:rPr>
        <w:t>LEGIPE</w:t>
      </w:r>
      <w:r w:rsidRPr="00A62343">
        <w:rPr>
          <w:rFonts w:ascii="Verdana" w:hAnsi="Verdana" w:cs="Arial"/>
          <w:sz w:val="22"/>
          <w:szCs w:val="22"/>
        </w:rPr>
        <w:t xml:space="preserve">, establece que corresponde a los Organismos Públicos Locales aplicar las disposiciones generales, reglas, lineamientos, criterios y formatos que, en ejercicio de las facultades que le confiere la Constitución y esta Ley, establezca el </w:t>
      </w:r>
      <w:r w:rsidR="00A64EAB" w:rsidRPr="00A62343">
        <w:rPr>
          <w:rFonts w:ascii="Verdana" w:hAnsi="Verdana" w:cs="Arial"/>
          <w:smallCaps/>
          <w:sz w:val="22"/>
          <w:szCs w:val="22"/>
        </w:rPr>
        <w:t>Instituto Electoral</w:t>
      </w:r>
      <w:r w:rsidRPr="00A62343">
        <w:rPr>
          <w:rFonts w:ascii="Verdana" w:hAnsi="Verdana" w:cs="Arial"/>
          <w:sz w:val="22"/>
          <w:szCs w:val="22"/>
        </w:rPr>
        <w:t>.</w:t>
      </w:r>
    </w:p>
    <w:p w14:paraId="085DA1BA" w14:textId="77777777" w:rsidR="000B7DE7" w:rsidRPr="00A62343" w:rsidRDefault="000B7DE7" w:rsidP="001F54E1">
      <w:pPr>
        <w:spacing w:before="100" w:beforeAutospacing="1" w:after="100" w:afterAutospacing="1" w:line="360" w:lineRule="auto"/>
        <w:jc w:val="both"/>
        <w:rPr>
          <w:rFonts w:ascii="Verdana" w:eastAsia="Verdana" w:hAnsi="Verdana" w:cs="Verdana"/>
          <w:sz w:val="22"/>
          <w:szCs w:val="22"/>
        </w:rPr>
      </w:pPr>
      <w:r w:rsidRPr="00A62343">
        <w:rPr>
          <w:rFonts w:ascii="Verdana" w:eastAsia="Verdana" w:hAnsi="Verdana" w:cs="Verdana"/>
          <w:sz w:val="22"/>
          <w:szCs w:val="22"/>
        </w:rPr>
        <w:t>Asimismo, son autoridad en la materia electoral, en los términos que establece la Constitución, esta Ley y las leyes locales correspondientes.</w:t>
      </w:r>
    </w:p>
    <w:p w14:paraId="507F9CB3" w14:textId="78AC022A" w:rsidR="000B7DE7" w:rsidRPr="00A62343" w:rsidRDefault="000B7DE7" w:rsidP="001F54E1">
      <w:pPr>
        <w:spacing w:before="100" w:beforeAutospacing="1" w:after="100" w:afterAutospacing="1" w:line="360" w:lineRule="auto"/>
        <w:jc w:val="both"/>
        <w:rPr>
          <w:rFonts w:ascii="Verdana" w:eastAsia="Verdana" w:hAnsi="Verdana" w:cs="Verdana"/>
          <w:sz w:val="22"/>
          <w:szCs w:val="22"/>
        </w:rPr>
      </w:pPr>
      <w:r w:rsidRPr="00A62343">
        <w:rPr>
          <w:rFonts w:ascii="Verdana" w:eastAsia="Verdana" w:hAnsi="Verdana" w:cs="Verdana"/>
          <w:sz w:val="22"/>
          <w:szCs w:val="22"/>
        </w:rPr>
        <w:t xml:space="preserve">Al respecto, el artículo 75, del </w:t>
      </w:r>
      <w:r w:rsidRPr="00A62343">
        <w:rPr>
          <w:rFonts w:ascii="Verdana" w:eastAsia="Verdana" w:hAnsi="Verdana" w:cs="Verdana"/>
          <w:smallCaps/>
          <w:sz w:val="22"/>
          <w:szCs w:val="22"/>
        </w:rPr>
        <w:t>Código Electoral</w:t>
      </w:r>
      <w:r w:rsidRPr="00A62343">
        <w:rPr>
          <w:rFonts w:ascii="Verdana" w:eastAsia="Verdana" w:hAnsi="Verdana" w:cs="Verdana"/>
          <w:sz w:val="22"/>
          <w:szCs w:val="22"/>
        </w:rPr>
        <w:t xml:space="preserve">, establece cuáles son atribuciones del Consejo, además de las establecidas en el artículo 104 de la </w:t>
      </w:r>
      <w:r w:rsidR="00923918" w:rsidRPr="00A62343">
        <w:rPr>
          <w:rFonts w:ascii="Verdana" w:eastAsia="Verdana" w:hAnsi="Verdana" w:cs="Verdana"/>
          <w:smallCaps/>
          <w:sz w:val="22"/>
          <w:szCs w:val="22"/>
        </w:rPr>
        <w:t>LEGIPE</w:t>
      </w:r>
      <w:r w:rsidRPr="00A62343">
        <w:rPr>
          <w:rFonts w:ascii="Verdana" w:eastAsia="Verdana" w:hAnsi="Verdana" w:cs="Verdana"/>
          <w:sz w:val="22"/>
          <w:szCs w:val="22"/>
        </w:rPr>
        <w:t xml:space="preserve"> y que el </w:t>
      </w:r>
      <w:r w:rsidRPr="00A62343">
        <w:rPr>
          <w:rFonts w:ascii="Verdana" w:eastAsia="Verdana" w:hAnsi="Verdana" w:cs="Verdana"/>
          <w:smallCaps/>
          <w:sz w:val="22"/>
          <w:szCs w:val="22"/>
        </w:rPr>
        <w:t>Código Electoral,</w:t>
      </w:r>
      <w:r w:rsidRPr="00A62343">
        <w:rPr>
          <w:rFonts w:ascii="Verdana" w:eastAsia="Verdana" w:hAnsi="Verdana" w:cs="Verdana"/>
          <w:sz w:val="22"/>
          <w:szCs w:val="22"/>
        </w:rPr>
        <w:t xml:space="preserve"> no confiera a otro organismo del </w:t>
      </w:r>
      <w:r w:rsidR="00A64EAB" w:rsidRPr="00A62343">
        <w:rPr>
          <w:rFonts w:ascii="Verdana" w:hAnsi="Verdana" w:cs="Arial"/>
          <w:smallCaps/>
          <w:sz w:val="22"/>
          <w:szCs w:val="22"/>
        </w:rPr>
        <w:t>Instituto Electoral</w:t>
      </w:r>
      <w:r w:rsidRPr="00A62343">
        <w:rPr>
          <w:rFonts w:ascii="Verdana" w:eastAsia="Verdana" w:hAnsi="Verdana" w:cs="Verdana"/>
          <w:sz w:val="22"/>
          <w:szCs w:val="22"/>
        </w:rPr>
        <w:t>.</w:t>
      </w:r>
    </w:p>
    <w:p w14:paraId="36263019" w14:textId="5CCC2EC7" w:rsidR="000B7DE7" w:rsidRPr="00A62343" w:rsidRDefault="000B7DE7"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De esta manera, queda reconocida la necesidad de contar con Lineamientos expedidos por la </w:t>
      </w:r>
      <w:r w:rsidRPr="00A62343">
        <w:rPr>
          <w:rFonts w:ascii="Verdana" w:hAnsi="Verdana" w:cs="Arial"/>
          <w:smallCaps/>
          <w:sz w:val="22"/>
          <w:szCs w:val="22"/>
        </w:rPr>
        <w:t>Autoridad Responsable</w:t>
      </w:r>
      <w:r w:rsidRPr="00A62343">
        <w:rPr>
          <w:rFonts w:ascii="Verdana" w:hAnsi="Verdana" w:cs="Arial"/>
          <w:sz w:val="22"/>
          <w:szCs w:val="22"/>
        </w:rPr>
        <w:t xml:space="preserve">, por lo que puede crear normas adicionales que regulen los procedimientos, la estructura y el adecuado funcionamiento del </w:t>
      </w:r>
      <w:r w:rsidR="00A64EAB" w:rsidRPr="00A62343">
        <w:rPr>
          <w:rFonts w:ascii="Verdana" w:hAnsi="Verdana" w:cs="Arial"/>
          <w:smallCaps/>
          <w:sz w:val="22"/>
          <w:szCs w:val="22"/>
        </w:rPr>
        <w:t>Instituto Electoral</w:t>
      </w:r>
      <w:r w:rsidRPr="00A62343">
        <w:rPr>
          <w:rFonts w:ascii="Verdana" w:hAnsi="Verdana" w:cs="Arial"/>
          <w:sz w:val="22"/>
          <w:szCs w:val="22"/>
        </w:rPr>
        <w:t>, ya sea mediante reglamentos, lineamientos y otras disposiciones de carácter general</w:t>
      </w:r>
      <w:r w:rsidR="008938B3" w:rsidRPr="00A62343">
        <w:rPr>
          <w:rFonts w:ascii="Verdana" w:hAnsi="Verdana" w:cs="Arial"/>
          <w:sz w:val="22"/>
          <w:szCs w:val="22"/>
        </w:rPr>
        <w:t>, aunado a que, esta facultad necesariamente alcan</w:t>
      </w:r>
      <w:r w:rsidR="00056E6D" w:rsidRPr="00A62343">
        <w:rPr>
          <w:rFonts w:ascii="Verdana" w:hAnsi="Verdana" w:cs="Arial"/>
          <w:sz w:val="22"/>
          <w:szCs w:val="22"/>
        </w:rPr>
        <w:t>z</w:t>
      </w:r>
      <w:r w:rsidR="008938B3" w:rsidRPr="00A62343">
        <w:rPr>
          <w:rFonts w:ascii="Verdana" w:hAnsi="Verdana" w:cs="Arial"/>
          <w:sz w:val="22"/>
          <w:szCs w:val="22"/>
        </w:rPr>
        <w:t>a a los procesos partidistas para su selección, ya que de estos emanan las personas que serán registradas para contender por cargos públicos, por lo que deben sujetarse a los principios y bases constitucionales, convencionales y legales establecidas.</w:t>
      </w:r>
      <w:r w:rsidR="008938B3" w:rsidRPr="00A62343">
        <w:rPr>
          <w:rStyle w:val="Refdenotaalpie"/>
          <w:rFonts w:ascii="Verdana" w:hAnsi="Verdana" w:cs="Arial"/>
          <w:sz w:val="22"/>
          <w:szCs w:val="22"/>
        </w:rPr>
        <w:footnoteReference w:id="33"/>
      </w:r>
      <w:r w:rsidR="008938B3" w:rsidRPr="00A62343">
        <w:rPr>
          <w:rFonts w:ascii="Verdana" w:hAnsi="Verdana" w:cs="Arial"/>
          <w:sz w:val="22"/>
          <w:szCs w:val="22"/>
        </w:rPr>
        <w:t xml:space="preserve">  </w:t>
      </w:r>
    </w:p>
    <w:p w14:paraId="6446356B" w14:textId="149141D1" w:rsidR="00937153" w:rsidRPr="00A62343" w:rsidRDefault="000B7DE7" w:rsidP="001F54E1">
      <w:pPr>
        <w:spacing w:before="100" w:beforeAutospacing="1" w:after="100" w:afterAutospacing="1" w:line="360" w:lineRule="auto"/>
        <w:jc w:val="both"/>
        <w:rPr>
          <w:rFonts w:ascii="Verdana" w:eastAsia="Verdana" w:hAnsi="Verdana" w:cs="Verdana"/>
          <w:sz w:val="22"/>
          <w:szCs w:val="22"/>
        </w:rPr>
      </w:pPr>
      <w:r w:rsidRPr="00A62343">
        <w:rPr>
          <w:rFonts w:ascii="Verdana" w:eastAsia="Verdana" w:hAnsi="Verdana" w:cs="Verdana"/>
          <w:sz w:val="22"/>
          <w:szCs w:val="22"/>
        </w:rPr>
        <w:t xml:space="preserve">Por lo que la </w:t>
      </w:r>
      <w:r w:rsidRPr="00A62343">
        <w:rPr>
          <w:rFonts w:ascii="Verdana" w:eastAsia="Verdana" w:hAnsi="Verdana" w:cs="Verdana"/>
          <w:smallCaps/>
          <w:sz w:val="22"/>
          <w:szCs w:val="22"/>
        </w:rPr>
        <w:t>Autoridad Responsable</w:t>
      </w:r>
      <w:r w:rsidRPr="00A62343">
        <w:rPr>
          <w:rFonts w:ascii="Verdana" w:eastAsia="Verdana" w:hAnsi="Verdana" w:cs="Verdana"/>
          <w:sz w:val="22"/>
          <w:szCs w:val="22"/>
        </w:rPr>
        <w:t xml:space="preserve"> sí </w:t>
      </w:r>
      <w:r w:rsidR="003F3E99" w:rsidRPr="00A62343">
        <w:rPr>
          <w:rFonts w:ascii="Verdana" w:eastAsia="Verdana" w:hAnsi="Verdana" w:cs="Verdana"/>
          <w:sz w:val="22"/>
          <w:szCs w:val="22"/>
        </w:rPr>
        <w:t xml:space="preserve">cuenta con las atribuciones suficientes y necesarias para expedir </w:t>
      </w:r>
      <w:r w:rsidRPr="00A62343">
        <w:rPr>
          <w:rFonts w:ascii="Verdana" w:eastAsia="Verdana" w:hAnsi="Verdana" w:cs="Verdana"/>
          <w:sz w:val="22"/>
          <w:szCs w:val="22"/>
        </w:rPr>
        <w:t xml:space="preserve">el </w:t>
      </w:r>
      <w:r w:rsidRPr="00A62343">
        <w:rPr>
          <w:rFonts w:ascii="Verdana" w:eastAsia="Verdana" w:hAnsi="Verdana" w:cs="Verdana"/>
          <w:smallCaps/>
          <w:sz w:val="22"/>
          <w:szCs w:val="22"/>
        </w:rPr>
        <w:t>Acto Impugnado</w:t>
      </w:r>
      <w:r w:rsidR="003F3E99" w:rsidRPr="00A62343">
        <w:rPr>
          <w:rFonts w:ascii="Verdana" w:eastAsia="Verdana" w:hAnsi="Verdana" w:cs="Verdana"/>
          <w:sz w:val="22"/>
          <w:szCs w:val="22"/>
        </w:rPr>
        <w:t xml:space="preserve">, de ahí que el agravio planteado por los </w:t>
      </w:r>
      <w:r w:rsidR="00A64EAB" w:rsidRPr="00A62343">
        <w:rPr>
          <w:rFonts w:ascii="Verdana" w:eastAsia="Arial" w:hAnsi="Verdana" w:cs="Arial"/>
          <w:bCs/>
          <w:smallCaps/>
          <w:color w:val="000000"/>
          <w:sz w:val="22"/>
          <w:szCs w:val="22"/>
          <w:lang w:val="es-MX"/>
        </w:rPr>
        <w:t>Partidos Recurrentes</w:t>
      </w:r>
      <w:r w:rsidR="00A64EAB" w:rsidRPr="00A62343">
        <w:rPr>
          <w:rFonts w:ascii="Verdana" w:eastAsia="Verdana" w:hAnsi="Verdana" w:cs="Verdana"/>
          <w:sz w:val="22"/>
          <w:szCs w:val="22"/>
        </w:rPr>
        <w:t xml:space="preserve"> </w:t>
      </w:r>
      <w:r w:rsidR="003F3E99" w:rsidRPr="00A62343">
        <w:rPr>
          <w:rFonts w:ascii="Verdana" w:eastAsia="Verdana" w:hAnsi="Verdana" w:cs="Verdana"/>
          <w:sz w:val="22"/>
          <w:szCs w:val="22"/>
        </w:rPr>
        <w:t xml:space="preserve">resulte </w:t>
      </w:r>
      <w:r w:rsidR="003F3E99" w:rsidRPr="00A62343">
        <w:rPr>
          <w:rFonts w:ascii="Verdana" w:eastAsia="Verdana" w:hAnsi="Verdana" w:cs="Verdana"/>
          <w:b/>
          <w:bCs/>
          <w:sz w:val="22"/>
          <w:szCs w:val="22"/>
        </w:rPr>
        <w:t>infundado</w:t>
      </w:r>
      <w:r w:rsidR="003F3E99" w:rsidRPr="00A62343">
        <w:rPr>
          <w:rFonts w:ascii="Verdana" w:eastAsia="Verdana" w:hAnsi="Verdana" w:cs="Verdana"/>
          <w:sz w:val="22"/>
          <w:szCs w:val="22"/>
        </w:rPr>
        <w:t>.</w:t>
      </w:r>
    </w:p>
    <w:p w14:paraId="1632F800" w14:textId="77777777" w:rsidR="00056E6D" w:rsidRPr="00A62343" w:rsidRDefault="003F3E99" w:rsidP="00056E6D">
      <w:pPr>
        <w:spacing w:before="100" w:beforeAutospacing="1" w:after="100" w:afterAutospacing="1" w:line="360" w:lineRule="auto"/>
        <w:jc w:val="both"/>
        <w:rPr>
          <w:rFonts w:ascii="Verdana" w:hAnsi="Verdana" w:cs="Arial"/>
          <w:bCs/>
          <w:sz w:val="22"/>
          <w:szCs w:val="22"/>
        </w:rPr>
      </w:pPr>
      <w:r w:rsidRPr="00A62343">
        <w:rPr>
          <w:rFonts w:ascii="Verdana" w:hAnsi="Verdana"/>
          <w:sz w:val="22"/>
          <w:szCs w:val="22"/>
        </w:rPr>
        <w:t>Por</w:t>
      </w:r>
      <w:r w:rsidR="00B36B08" w:rsidRPr="00A62343">
        <w:rPr>
          <w:rFonts w:ascii="Verdana" w:hAnsi="Verdana"/>
          <w:sz w:val="22"/>
          <w:szCs w:val="22"/>
        </w:rPr>
        <w:t xml:space="preserve"> cuanto hace al</w:t>
      </w:r>
      <w:r w:rsidR="00056E6D" w:rsidRPr="00A62343">
        <w:rPr>
          <w:rFonts w:ascii="Verdana" w:hAnsi="Verdana"/>
          <w:sz w:val="22"/>
          <w:szCs w:val="22"/>
        </w:rPr>
        <w:t xml:space="preserve"> agravio identificado con el inciso </w:t>
      </w:r>
      <w:r w:rsidR="00056E6D" w:rsidRPr="00A62343">
        <w:rPr>
          <w:rFonts w:ascii="Verdana" w:hAnsi="Verdana"/>
          <w:b/>
          <w:bCs/>
          <w:i/>
          <w:iCs/>
          <w:sz w:val="22"/>
          <w:szCs w:val="22"/>
        </w:rPr>
        <w:t>c)</w:t>
      </w:r>
      <w:r w:rsidR="00056E6D" w:rsidRPr="00A62343">
        <w:rPr>
          <w:rFonts w:ascii="Verdana" w:hAnsi="Verdana"/>
          <w:sz w:val="22"/>
          <w:szCs w:val="22"/>
        </w:rPr>
        <w:t xml:space="preserve">, tocante al  </w:t>
      </w:r>
      <w:r w:rsidR="00B36B08" w:rsidRPr="00A62343">
        <w:rPr>
          <w:rFonts w:ascii="Verdana" w:hAnsi="Verdana"/>
          <w:sz w:val="22"/>
          <w:szCs w:val="22"/>
        </w:rPr>
        <w:t xml:space="preserve"> principio de reserva de ley que los </w:t>
      </w:r>
      <w:r w:rsidR="00A64EAB" w:rsidRPr="00A62343">
        <w:rPr>
          <w:rFonts w:ascii="Verdana" w:eastAsia="Arial" w:hAnsi="Verdana" w:cs="Arial"/>
          <w:bCs/>
          <w:smallCaps/>
          <w:color w:val="000000"/>
          <w:sz w:val="22"/>
          <w:szCs w:val="22"/>
          <w:lang w:val="es-MX"/>
        </w:rPr>
        <w:t>Partidos Recurrentes</w:t>
      </w:r>
      <w:r w:rsidR="00A64EAB" w:rsidRPr="00A62343">
        <w:rPr>
          <w:rFonts w:ascii="Verdana" w:hAnsi="Verdana"/>
          <w:sz w:val="22"/>
          <w:szCs w:val="22"/>
        </w:rPr>
        <w:t xml:space="preserve"> </w:t>
      </w:r>
      <w:r w:rsidR="00B36B08" w:rsidRPr="00A62343">
        <w:rPr>
          <w:rFonts w:ascii="Verdana" w:hAnsi="Verdana"/>
          <w:sz w:val="22"/>
          <w:szCs w:val="22"/>
        </w:rPr>
        <w:t xml:space="preserve">estiman vulnerado, </w:t>
      </w:r>
      <w:r w:rsidR="00056E6D" w:rsidRPr="00A62343">
        <w:rPr>
          <w:rFonts w:ascii="Verdana" w:hAnsi="Verdana"/>
          <w:sz w:val="22"/>
          <w:szCs w:val="22"/>
        </w:rPr>
        <w:t xml:space="preserve">al señalar que </w:t>
      </w:r>
      <w:r w:rsidR="00056E6D" w:rsidRPr="00A62343">
        <w:rPr>
          <w:rFonts w:ascii="Verdana" w:hAnsi="Verdana" w:cs="Arial"/>
          <w:bCs/>
          <w:sz w:val="22"/>
          <w:szCs w:val="22"/>
        </w:rPr>
        <w:t xml:space="preserve">se violenta el artículo 3° de la </w:t>
      </w:r>
      <w:r w:rsidR="00056E6D" w:rsidRPr="00A62343">
        <w:rPr>
          <w:rFonts w:ascii="Verdana" w:hAnsi="Verdana" w:cs="Arial"/>
          <w:bCs/>
          <w:smallCaps/>
          <w:sz w:val="22"/>
          <w:szCs w:val="22"/>
        </w:rPr>
        <w:t>Constitución Local</w:t>
      </w:r>
      <w:r w:rsidR="00056E6D" w:rsidRPr="00A62343">
        <w:rPr>
          <w:rFonts w:ascii="Verdana" w:hAnsi="Verdana" w:cs="Arial"/>
          <w:bCs/>
          <w:sz w:val="22"/>
          <w:szCs w:val="22"/>
        </w:rPr>
        <w:t xml:space="preserve">, ya que la </w:t>
      </w:r>
      <w:r w:rsidR="00056E6D" w:rsidRPr="00A62343">
        <w:rPr>
          <w:rFonts w:ascii="Verdana" w:hAnsi="Verdana" w:cs="Arial"/>
          <w:bCs/>
          <w:smallCaps/>
          <w:sz w:val="22"/>
          <w:szCs w:val="22"/>
        </w:rPr>
        <w:t>Autoridad Responsable</w:t>
      </w:r>
      <w:r w:rsidR="00056E6D" w:rsidRPr="00A62343">
        <w:rPr>
          <w:rFonts w:ascii="Verdana" w:hAnsi="Verdana" w:cs="Arial"/>
          <w:bCs/>
          <w:sz w:val="22"/>
          <w:szCs w:val="22"/>
        </w:rPr>
        <w:t xml:space="preserve"> pretende establecer lineamientos, siendo que la legislación no le otorga dichas facultades; además, no le autoriza para legislar del tema, ya que pretende ampliar requisitos no establecidos en la legislación electoral, imponiendo cargas impositivas, atribuyéndose facultades reservadas al Congreso del Estado de Aguascalientes, ya que en el artículo 143 del </w:t>
      </w:r>
      <w:r w:rsidR="00056E6D" w:rsidRPr="00A62343">
        <w:rPr>
          <w:rFonts w:ascii="Verdana" w:hAnsi="Verdana" w:cs="Arial"/>
          <w:bCs/>
          <w:smallCaps/>
          <w:sz w:val="22"/>
          <w:szCs w:val="22"/>
        </w:rPr>
        <w:t>Código Electoral</w:t>
      </w:r>
      <w:r w:rsidR="00056E6D" w:rsidRPr="00A62343">
        <w:rPr>
          <w:rFonts w:ascii="Verdana" w:hAnsi="Verdana" w:cs="Arial"/>
          <w:bCs/>
          <w:sz w:val="22"/>
          <w:szCs w:val="22"/>
        </w:rPr>
        <w:t xml:space="preserve"> ya se </w:t>
      </w:r>
      <w:r w:rsidR="00056E6D" w:rsidRPr="00A62343">
        <w:rPr>
          <w:rFonts w:ascii="Verdana" w:hAnsi="Verdana" w:cs="Arial"/>
          <w:bCs/>
          <w:sz w:val="22"/>
          <w:szCs w:val="22"/>
        </w:rPr>
        <w:lastRenderedPageBreak/>
        <w:t>encuentra establecido el sesgo que deben realizar los partidos políticos y coaliciones.</w:t>
      </w:r>
    </w:p>
    <w:p w14:paraId="3C60E481" w14:textId="1364DFEA" w:rsidR="00056E6D" w:rsidRPr="00A62343" w:rsidRDefault="00056E6D" w:rsidP="00056E6D">
      <w:pPr>
        <w:spacing w:before="100" w:beforeAutospacing="1" w:after="100" w:afterAutospacing="1" w:line="360" w:lineRule="auto"/>
        <w:jc w:val="both"/>
        <w:rPr>
          <w:rFonts w:ascii="Verdana" w:hAnsi="Verdana" w:cs="Arial"/>
          <w:bCs/>
          <w:sz w:val="22"/>
          <w:szCs w:val="22"/>
        </w:rPr>
      </w:pPr>
      <w:r w:rsidRPr="00A62343">
        <w:rPr>
          <w:rFonts w:ascii="Verdana" w:hAnsi="Verdana" w:cs="Arial"/>
          <w:bCs/>
          <w:sz w:val="22"/>
          <w:szCs w:val="22"/>
        </w:rPr>
        <w:t xml:space="preserve">De igual manera, agregan que la </w:t>
      </w:r>
      <w:r w:rsidRPr="00A62343">
        <w:rPr>
          <w:rFonts w:ascii="Verdana" w:hAnsi="Verdana" w:cs="Arial"/>
          <w:bCs/>
          <w:smallCaps/>
          <w:sz w:val="22"/>
          <w:szCs w:val="22"/>
        </w:rPr>
        <w:t>Autoridad Responsable</w:t>
      </w:r>
      <w:r w:rsidRPr="00A62343">
        <w:rPr>
          <w:rFonts w:ascii="Verdana" w:hAnsi="Verdana" w:cs="Arial"/>
          <w:bCs/>
          <w:sz w:val="22"/>
          <w:szCs w:val="22"/>
        </w:rPr>
        <w:t xml:space="preserve"> viola e</w:t>
      </w:r>
      <w:r w:rsidR="006B230D" w:rsidRPr="00A62343">
        <w:rPr>
          <w:rFonts w:ascii="Verdana" w:hAnsi="Verdana" w:cs="Arial"/>
          <w:bCs/>
          <w:sz w:val="22"/>
          <w:szCs w:val="22"/>
        </w:rPr>
        <w:t>ste</w:t>
      </w:r>
      <w:r w:rsidRPr="00A62343">
        <w:rPr>
          <w:rFonts w:ascii="Verdana" w:hAnsi="Verdana" w:cs="Arial"/>
          <w:bCs/>
          <w:sz w:val="22"/>
          <w:szCs w:val="22"/>
        </w:rPr>
        <w:t xml:space="preserve"> principio, pues, si bien inserta en el </w:t>
      </w:r>
      <w:r w:rsidRPr="00A62343">
        <w:rPr>
          <w:rFonts w:ascii="Verdana" w:hAnsi="Verdana" w:cs="Arial"/>
          <w:bCs/>
          <w:smallCaps/>
          <w:sz w:val="22"/>
          <w:szCs w:val="22"/>
        </w:rPr>
        <w:t>Acto Impugnado</w:t>
      </w:r>
      <w:r w:rsidRPr="00A62343">
        <w:rPr>
          <w:rFonts w:ascii="Verdana" w:hAnsi="Verdana" w:cs="Arial"/>
          <w:bCs/>
          <w:sz w:val="22"/>
          <w:szCs w:val="22"/>
        </w:rPr>
        <w:t xml:space="preserve"> los preceptos constitucionales invocados, a los que todas las autoridades deben estar sujetas en su actuar, además de las disposiciones normativas del </w:t>
      </w:r>
      <w:r w:rsidRPr="00A62343">
        <w:rPr>
          <w:rFonts w:ascii="Verdana" w:hAnsi="Verdana" w:cs="Arial"/>
          <w:bCs/>
          <w:smallCaps/>
          <w:sz w:val="22"/>
          <w:szCs w:val="22"/>
        </w:rPr>
        <w:t>Código Electoral</w:t>
      </w:r>
      <w:r w:rsidRPr="00A62343">
        <w:rPr>
          <w:rFonts w:ascii="Verdana" w:hAnsi="Verdana" w:cs="Arial"/>
          <w:bCs/>
          <w:sz w:val="22"/>
          <w:szCs w:val="22"/>
        </w:rPr>
        <w:t>, esto lo califican como violatorio pues, a su consideración, invade el ámbito constitucional de competencias del órgano legislativo, además de crear categorías y modificaciones contenidas en la Constitución y leyes electorales relacionadas con derechos fundamentales como los de ser votado para cualquier cargo de elección popular de la militancia de los partidos políticos.</w:t>
      </w:r>
    </w:p>
    <w:p w14:paraId="6C2AEDCC" w14:textId="1EA1B36E" w:rsidR="00056E6D" w:rsidRPr="00A62343" w:rsidRDefault="00056E6D" w:rsidP="00056E6D">
      <w:pPr>
        <w:spacing w:before="100" w:beforeAutospacing="1" w:after="100" w:afterAutospacing="1" w:line="360" w:lineRule="auto"/>
        <w:jc w:val="both"/>
        <w:rPr>
          <w:rFonts w:ascii="Verdana" w:hAnsi="Verdana" w:cs="Arial"/>
          <w:bCs/>
          <w:sz w:val="22"/>
          <w:szCs w:val="22"/>
        </w:rPr>
      </w:pPr>
      <w:r w:rsidRPr="00A62343">
        <w:rPr>
          <w:rFonts w:ascii="Verdana" w:hAnsi="Verdana" w:cs="Arial"/>
          <w:bCs/>
          <w:sz w:val="22"/>
          <w:szCs w:val="22"/>
        </w:rPr>
        <w:t xml:space="preserve">Continúan señalando que no resulta erróneo que la </w:t>
      </w:r>
      <w:r w:rsidRPr="00A62343">
        <w:rPr>
          <w:rFonts w:ascii="Verdana" w:hAnsi="Verdana" w:cs="Arial"/>
          <w:bCs/>
          <w:smallCaps/>
          <w:sz w:val="22"/>
          <w:szCs w:val="22"/>
        </w:rPr>
        <w:t>Autoridad Responsable</w:t>
      </w:r>
      <w:r w:rsidRPr="00A62343">
        <w:rPr>
          <w:rFonts w:ascii="Verdana" w:hAnsi="Verdana" w:cs="Arial"/>
          <w:bCs/>
          <w:sz w:val="22"/>
          <w:szCs w:val="22"/>
        </w:rPr>
        <w:t xml:space="preserve"> realice ejercicios tendientes a garantizar y exponencialmente potenciar los derechos fundamentales y medidas afirmativas, sin embargo, que esta facultad encuentra un límite, y es el aseguramiento y cumplimiento de los preceptos legislativos en los que se contemplen acciones afirmativas y reglas específicas en la materia; lo cual se traduce en que los lineamientos deben respetar las disposiciones legislativas que contemplen dichas acciones, sin poder extralimitarse arbitrariamente.</w:t>
      </w:r>
    </w:p>
    <w:p w14:paraId="45F18925" w14:textId="77777777" w:rsidR="00056E6D" w:rsidRPr="00A62343" w:rsidRDefault="00056E6D" w:rsidP="00056E6D">
      <w:pPr>
        <w:spacing w:before="100" w:beforeAutospacing="1" w:after="100" w:afterAutospacing="1" w:line="360" w:lineRule="auto"/>
        <w:jc w:val="both"/>
        <w:rPr>
          <w:rFonts w:ascii="Verdana" w:hAnsi="Verdana" w:cs="Arial"/>
          <w:bCs/>
          <w:sz w:val="22"/>
          <w:szCs w:val="22"/>
        </w:rPr>
      </w:pPr>
      <w:r w:rsidRPr="00A62343">
        <w:rPr>
          <w:rFonts w:ascii="Verdana" w:hAnsi="Verdana" w:cs="Arial"/>
          <w:bCs/>
          <w:sz w:val="22"/>
          <w:szCs w:val="22"/>
        </w:rPr>
        <w:t xml:space="preserve">Aducen, además, que es voluntad de la legislatura el reservar la facultad para emitir disposiciones en materia de acciones afirmativas a favor de grupos vulnerables y/o de atención prioritaria. </w:t>
      </w:r>
    </w:p>
    <w:p w14:paraId="0C7008EA" w14:textId="0BF8D2F7" w:rsidR="00056E6D" w:rsidRPr="00A62343" w:rsidRDefault="00056E6D"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 xml:space="preserve">Este agravio se califica como </w:t>
      </w:r>
      <w:r w:rsidRPr="00A62343">
        <w:rPr>
          <w:rFonts w:ascii="Verdana" w:hAnsi="Verdana"/>
          <w:b/>
          <w:bCs/>
          <w:sz w:val="22"/>
          <w:szCs w:val="22"/>
        </w:rPr>
        <w:t>infundado</w:t>
      </w:r>
      <w:r w:rsidRPr="00A62343">
        <w:rPr>
          <w:rFonts w:ascii="Verdana" w:hAnsi="Verdana"/>
          <w:sz w:val="22"/>
          <w:szCs w:val="22"/>
        </w:rPr>
        <w:t xml:space="preserve">, </w:t>
      </w:r>
      <w:r w:rsidR="006B230D" w:rsidRPr="00A62343">
        <w:rPr>
          <w:rFonts w:ascii="Verdana" w:hAnsi="Verdana"/>
          <w:sz w:val="22"/>
          <w:szCs w:val="22"/>
        </w:rPr>
        <w:t>por las siguientes razones</w:t>
      </w:r>
      <w:r w:rsidRPr="00A62343">
        <w:rPr>
          <w:rFonts w:ascii="Verdana" w:hAnsi="Verdana"/>
          <w:sz w:val="22"/>
          <w:szCs w:val="22"/>
        </w:rPr>
        <w:t>:</w:t>
      </w:r>
    </w:p>
    <w:p w14:paraId="270509D6" w14:textId="51B842BE" w:rsidR="00EE7D7B" w:rsidRPr="00A62343" w:rsidRDefault="00056E6D"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 xml:space="preserve">Referente al principio de reserva de ley, </w:t>
      </w:r>
      <w:r w:rsidR="005C6D29" w:rsidRPr="00A62343">
        <w:rPr>
          <w:rFonts w:ascii="Verdana" w:hAnsi="Verdana"/>
          <w:sz w:val="22"/>
          <w:szCs w:val="22"/>
        </w:rPr>
        <w:t xml:space="preserve">la </w:t>
      </w:r>
      <w:r w:rsidR="00F16F03" w:rsidRPr="00A62343">
        <w:rPr>
          <w:rFonts w:ascii="Verdana" w:hAnsi="Verdana"/>
          <w:smallCaps/>
          <w:sz w:val="22"/>
          <w:szCs w:val="22"/>
        </w:rPr>
        <w:t>Suprema Corte</w:t>
      </w:r>
      <w:r w:rsidR="00F16F03" w:rsidRPr="00A62343">
        <w:rPr>
          <w:rFonts w:ascii="Verdana" w:hAnsi="Verdana"/>
          <w:sz w:val="22"/>
          <w:szCs w:val="22"/>
        </w:rPr>
        <w:t xml:space="preserve"> ha establecido que este se presenta cuando una norma constitucional reserva expresamente a la ley la regulación de determinada materia, excluyendo así la posibilidad de que los aspectos de esa reserva sean regulados por disposiciones de naturaleza distinta a la ley, es decir, la legislatura ha de establecer por sí misma la regulación de la materia determinada</w:t>
      </w:r>
      <w:r w:rsidR="00006EC4" w:rsidRPr="00A62343">
        <w:rPr>
          <w:rStyle w:val="Refdenotaalpie"/>
          <w:rFonts w:ascii="Verdana" w:hAnsi="Verdana"/>
          <w:sz w:val="22"/>
          <w:szCs w:val="22"/>
        </w:rPr>
        <w:footnoteReference w:id="34"/>
      </w:r>
      <w:r w:rsidR="00F16F03" w:rsidRPr="00A62343">
        <w:rPr>
          <w:rFonts w:ascii="Verdana" w:hAnsi="Verdana"/>
          <w:sz w:val="22"/>
          <w:szCs w:val="22"/>
        </w:rPr>
        <w:t xml:space="preserve"> y, la materia reservada no puede ser </w:t>
      </w:r>
      <w:r w:rsidR="00EE7D7B" w:rsidRPr="00A62343">
        <w:rPr>
          <w:rFonts w:ascii="Verdana" w:hAnsi="Verdana"/>
          <w:sz w:val="22"/>
          <w:szCs w:val="22"/>
        </w:rPr>
        <w:t>regulad</w:t>
      </w:r>
      <w:r w:rsidR="00F16F03" w:rsidRPr="00A62343">
        <w:rPr>
          <w:rFonts w:ascii="Verdana" w:hAnsi="Verdana"/>
          <w:sz w:val="22"/>
          <w:szCs w:val="22"/>
        </w:rPr>
        <w:t>a</w:t>
      </w:r>
      <w:r w:rsidR="00EE7D7B" w:rsidRPr="00A62343">
        <w:rPr>
          <w:rFonts w:ascii="Verdana" w:hAnsi="Verdana"/>
          <w:sz w:val="22"/>
          <w:szCs w:val="22"/>
        </w:rPr>
        <w:t xml:space="preserve"> por otros órganos mediante la </w:t>
      </w:r>
      <w:r w:rsidR="00EE7D7B" w:rsidRPr="00A62343">
        <w:rPr>
          <w:rFonts w:ascii="Verdana" w:hAnsi="Verdana"/>
          <w:sz w:val="22"/>
          <w:szCs w:val="22"/>
        </w:rPr>
        <w:lastRenderedPageBreak/>
        <w:t>emisión de normas secundarias, como reglamentos, acuerdos y lineamientos.</w:t>
      </w:r>
    </w:p>
    <w:p w14:paraId="350AC2E8" w14:textId="4BBFB6ED" w:rsidR="00EE7D7B" w:rsidRPr="00A62343" w:rsidRDefault="00920A04"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 xml:space="preserve">En ese sentido, el </w:t>
      </w:r>
      <w:r w:rsidRPr="00A62343">
        <w:rPr>
          <w:rFonts w:ascii="Verdana" w:hAnsi="Verdana"/>
          <w:smallCaps/>
          <w:sz w:val="22"/>
          <w:szCs w:val="22"/>
        </w:rPr>
        <w:t>Acto Impugnado</w:t>
      </w:r>
      <w:r w:rsidRPr="00A62343">
        <w:rPr>
          <w:rFonts w:ascii="Verdana" w:hAnsi="Verdana"/>
          <w:sz w:val="22"/>
          <w:szCs w:val="22"/>
        </w:rPr>
        <w:t xml:space="preserve"> está encaminado </w:t>
      </w:r>
      <w:r w:rsidR="0017043E" w:rsidRPr="00A62343">
        <w:rPr>
          <w:rFonts w:ascii="Verdana" w:hAnsi="Verdana"/>
          <w:sz w:val="22"/>
          <w:szCs w:val="22"/>
        </w:rPr>
        <w:t xml:space="preserve">a dar cumplimiento al principio de igualdad y no discriminación, establecido en el artículo 1° de la </w:t>
      </w:r>
      <w:r w:rsidR="0017043E" w:rsidRPr="00A62343">
        <w:rPr>
          <w:rFonts w:ascii="Verdana" w:hAnsi="Verdana"/>
          <w:smallCaps/>
          <w:sz w:val="22"/>
          <w:szCs w:val="22"/>
        </w:rPr>
        <w:t>Constitución Federal</w:t>
      </w:r>
      <w:r w:rsidR="0017043E" w:rsidRPr="00A62343">
        <w:rPr>
          <w:rFonts w:ascii="Verdana" w:hAnsi="Verdana"/>
          <w:sz w:val="22"/>
          <w:szCs w:val="22"/>
        </w:rPr>
        <w:t xml:space="preserve">, pues la </w:t>
      </w:r>
      <w:r w:rsidR="0017043E" w:rsidRPr="00A62343">
        <w:rPr>
          <w:rFonts w:ascii="Verdana" w:hAnsi="Verdana"/>
          <w:smallCaps/>
          <w:sz w:val="22"/>
          <w:szCs w:val="22"/>
        </w:rPr>
        <w:t>Autoridad Responsable</w:t>
      </w:r>
      <w:r w:rsidR="0017043E" w:rsidRPr="00A62343">
        <w:rPr>
          <w:rFonts w:ascii="Verdana" w:hAnsi="Verdana"/>
          <w:sz w:val="22"/>
          <w:szCs w:val="22"/>
        </w:rPr>
        <w:t xml:space="preserve"> implementó medidas que fortalecen la dimensión sustantiva del derecho a la igualdad jurídica de las personas que pertenecen a grupos en situación de vulnerabilidad frente al resto de la ciudadanía que no se encuentra en ninguna de las categorías sospechosas, a fin de que las personas pertenecientes a estos grupos tengan condiciones reales de participar políticamente y de acceder a cargos de elección popular.</w:t>
      </w:r>
      <w:r w:rsidR="0017043E" w:rsidRPr="00A62343">
        <w:rPr>
          <w:rStyle w:val="Refdenotaalpie"/>
          <w:rFonts w:ascii="Verdana" w:hAnsi="Verdana"/>
          <w:sz w:val="22"/>
          <w:szCs w:val="22"/>
        </w:rPr>
        <w:footnoteReference w:id="35"/>
      </w:r>
    </w:p>
    <w:p w14:paraId="58DAB57D" w14:textId="56A61EA1" w:rsidR="00B36B08" w:rsidRPr="00A62343" w:rsidRDefault="0017043E"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 xml:space="preserve">Atendiendo a lo anterior, y toda vez que </w:t>
      </w:r>
      <w:r w:rsidR="00C605A4" w:rsidRPr="00A62343">
        <w:rPr>
          <w:rFonts w:ascii="Verdana" w:hAnsi="Verdana"/>
          <w:sz w:val="22"/>
          <w:szCs w:val="22"/>
        </w:rPr>
        <w:t xml:space="preserve">las acciones afirmativas no están reservadas a la legislatura, sino que atienden al mandato del artículo 1° constitucional, </w:t>
      </w:r>
      <w:r w:rsidR="00C605A4" w:rsidRPr="00A62343">
        <w:rPr>
          <w:rFonts w:ascii="Verdana" w:hAnsi="Verdana"/>
          <w:b/>
          <w:bCs/>
          <w:sz w:val="22"/>
          <w:szCs w:val="22"/>
        </w:rPr>
        <w:t>no existe</w:t>
      </w:r>
      <w:r w:rsidR="00C605A4" w:rsidRPr="00A62343">
        <w:rPr>
          <w:rFonts w:ascii="Verdana" w:hAnsi="Verdana"/>
          <w:sz w:val="22"/>
          <w:szCs w:val="22"/>
        </w:rPr>
        <w:t xml:space="preserve"> la violación al principio de reserva de ley alegado por las partes, pues la </w:t>
      </w:r>
      <w:r w:rsidR="00C605A4" w:rsidRPr="00A62343">
        <w:rPr>
          <w:rFonts w:ascii="Verdana" w:hAnsi="Verdana"/>
          <w:smallCaps/>
          <w:sz w:val="22"/>
          <w:szCs w:val="22"/>
        </w:rPr>
        <w:t>Autoridad Responsable</w:t>
      </w:r>
      <w:r w:rsidR="00C605A4" w:rsidRPr="00A62343">
        <w:rPr>
          <w:rFonts w:ascii="Verdana" w:hAnsi="Verdana"/>
          <w:sz w:val="22"/>
          <w:szCs w:val="22"/>
        </w:rPr>
        <w:t xml:space="preserve"> tiene facultad de emitir acuerdos generales, así como lineamientos o reglamentos de carácter general que regulen aspectos que tengan como fin la salvaguarda de los principios constitucionales, en el caso, el de igualdad y no discriminación en la conformación del Congreso Local y los Ayuntamientos del Estado de Aguascalientes.</w:t>
      </w:r>
      <w:r w:rsidR="00C605A4" w:rsidRPr="00A62343">
        <w:rPr>
          <w:rStyle w:val="Refdenotaalpie"/>
          <w:rFonts w:ascii="Verdana" w:hAnsi="Verdana"/>
          <w:sz w:val="22"/>
          <w:szCs w:val="22"/>
        </w:rPr>
        <w:footnoteReference w:id="36"/>
      </w:r>
    </w:p>
    <w:p w14:paraId="00DD819E" w14:textId="1D815746" w:rsidR="00C605A4" w:rsidRPr="00A62343" w:rsidRDefault="00C605A4"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 xml:space="preserve">Lo que es acorde con lo establecido por la </w:t>
      </w:r>
      <w:r w:rsidRPr="00A62343">
        <w:rPr>
          <w:rFonts w:ascii="Verdana" w:hAnsi="Verdana"/>
          <w:smallCaps/>
          <w:sz w:val="22"/>
          <w:szCs w:val="22"/>
        </w:rPr>
        <w:t>Sala Superior</w:t>
      </w:r>
      <w:r w:rsidRPr="00A62343">
        <w:rPr>
          <w:rFonts w:ascii="Verdana" w:hAnsi="Verdana"/>
          <w:sz w:val="22"/>
          <w:szCs w:val="22"/>
        </w:rPr>
        <w:t xml:space="preserve"> </w:t>
      </w:r>
      <w:r w:rsidR="00277D0B" w:rsidRPr="00A62343">
        <w:rPr>
          <w:rFonts w:ascii="Verdana" w:hAnsi="Verdana"/>
          <w:sz w:val="22"/>
          <w:szCs w:val="22"/>
        </w:rPr>
        <w:t>en el sentido de que diversos principios constitucionales se pueden hacer efectivos mediante criterios interpretativos que potencialicen derechos fundamentales, a efecto de que estos se proyecten como auténticos mandatos de optimización.</w:t>
      </w:r>
      <w:r w:rsidR="00277D0B" w:rsidRPr="00A62343">
        <w:rPr>
          <w:rStyle w:val="Refdenotaalpie"/>
          <w:rFonts w:ascii="Verdana" w:hAnsi="Verdana"/>
          <w:sz w:val="22"/>
          <w:szCs w:val="22"/>
        </w:rPr>
        <w:footnoteReference w:id="37"/>
      </w:r>
    </w:p>
    <w:p w14:paraId="05FDD6B3" w14:textId="3C18D1AE" w:rsidR="00525799" w:rsidRPr="00A62343" w:rsidRDefault="00525799"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 xml:space="preserve">Ahora bien, una vez establecido que la </w:t>
      </w:r>
      <w:r w:rsidRPr="00A62343">
        <w:rPr>
          <w:rFonts w:ascii="Verdana" w:hAnsi="Verdana"/>
          <w:smallCaps/>
          <w:sz w:val="22"/>
          <w:szCs w:val="22"/>
        </w:rPr>
        <w:t>Autoridad Responsable</w:t>
      </w:r>
      <w:r w:rsidRPr="00A62343">
        <w:rPr>
          <w:rFonts w:ascii="Verdana" w:hAnsi="Verdana"/>
          <w:sz w:val="22"/>
          <w:szCs w:val="22"/>
        </w:rPr>
        <w:t xml:space="preserve"> sí es competente para emitir el </w:t>
      </w:r>
      <w:r w:rsidRPr="00A62343">
        <w:rPr>
          <w:rFonts w:ascii="Verdana" w:hAnsi="Verdana"/>
          <w:smallCaps/>
          <w:sz w:val="22"/>
          <w:szCs w:val="22"/>
        </w:rPr>
        <w:t>Acto Impugnado</w:t>
      </w:r>
      <w:r w:rsidRPr="00A62343">
        <w:rPr>
          <w:rFonts w:ascii="Verdana" w:hAnsi="Verdana"/>
          <w:sz w:val="22"/>
          <w:szCs w:val="22"/>
        </w:rPr>
        <w:t xml:space="preserve">, es necesario entrar al estudio </w:t>
      </w:r>
      <w:r w:rsidR="00056E6D" w:rsidRPr="00A62343">
        <w:rPr>
          <w:rFonts w:ascii="Verdana" w:hAnsi="Verdana"/>
          <w:sz w:val="22"/>
          <w:szCs w:val="22"/>
        </w:rPr>
        <w:t xml:space="preserve">del agravio contenido en el inciso </w:t>
      </w:r>
      <w:r w:rsidR="00056E6D" w:rsidRPr="00A62343">
        <w:rPr>
          <w:rFonts w:ascii="Verdana" w:hAnsi="Verdana"/>
          <w:b/>
          <w:bCs/>
          <w:i/>
          <w:iCs/>
          <w:sz w:val="22"/>
          <w:szCs w:val="22"/>
        </w:rPr>
        <w:t>a)</w:t>
      </w:r>
      <w:r w:rsidR="00056E6D" w:rsidRPr="00A62343">
        <w:rPr>
          <w:rFonts w:ascii="Verdana" w:hAnsi="Verdana"/>
          <w:sz w:val="22"/>
          <w:szCs w:val="22"/>
        </w:rPr>
        <w:t>, referente a</w:t>
      </w:r>
      <w:r w:rsidRPr="00A62343">
        <w:rPr>
          <w:rFonts w:ascii="Verdana" w:hAnsi="Verdana"/>
          <w:sz w:val="22"/>
          <w:szCs w:val="22"/>
        </w:rPr>
        <w:t xml:space="preserve"> la debida fundamentación y motivación del mismo. </w:t>
      </w:r>
    </w:p>
    <w:p w14:paraId="31776765" w14:textId="2E4A8A46" w:rsidR="00056E6D" w:rsidRPr="00A62343" w:rsidRDefault="00056E6D" w:rsidP="001F54E1">
      <w:pPr>
        <w:spacing w:before="100" w:beforeAutospacing="1" w:after="100" w:afterAutospacing="1" w:line="360" w:lineRule="auto"/>
        <w:jc w:val="both"/>
        <w:rPr>
          <w:rFonts w:ascii="Verdana" w:eastAsia="Arial" w:hAnsi="Verdana" w:cs="Arial"/>
          <w:sz w:val="22"/>
          <w:szCs w:val="22"/>
        </w:rPr>
      </w:pPr>
      <w:r w:rsidRPr="00A62343">
        <w:rPr>
          <w:rFonts w:ascii="Verdana" w:hAnsi="Verdana" w:cs="Arial"/>
          <w:bCs/>
          <w:sz w:val="22"/>
          <w:szCs w:val="22"/>
          <w:lang w:val="es-MX"/>
        </w:rPr>
        <w:t xml:space="preserve">Los </w:t>
      </w:r>
      <w:r w:rsidRPr="00A62343">
        <w:rPr>
          <w:rFonts w:ascii="Verdana" w:eastAsia="Arial" w:hAnsi="Verdana" w:cs="Arial"/>
          <w:bCs/>
          <w:smallCaps/>
          <w:color w:val="000000"/>
          <w:sz w:val="22"/>
          <w:szCs w:val="22"/>
          <w:lang w:val="es-MX"/>
        </w:rPr>
        <w:t>Partidos Recurrentes</w:t>
      </w:r>
      <w:r w:rsidRPr="00A62343">
        <w:rPr>
          <w:rFonts w:ascii="Verdana" w:hAnsi="Verdana" w:cs="Arial"/>
          <w:bCs/>
          <w:sz w:val="22"/>
          <w:szCs w:val="22"/>
          <w:lang w:val="es-MX"/>
        </w:rPr>
        <w:t xml:space="preserve">, señalan que </w:t>
      </w:r>
      <w:r w:rsidRPr="00A62343">
        <w:rPr>
          <w:rFonts w:ascii="Verdana" w:hAnsi="Verdana" w:cs="Arial"/>
          <w:bCs/>
          <w:sz w:val="22"/>
          <w:szCs w:val="22"/>
        </w:rPr>
        <w:t xml:space="preserve">la </w:t>
      </w:r>
      <w:r w:rsidRPr="00A62343">
        <w:rPr>
          <w:rFonts w:ascii="Verdana" w:hAnsi="Verdana" w:cs="Arial"/>
          <w:bCs/>
          <w:smallCaps/>
          <w:sz w:val="22"/>
          <w:szCs w:val="22"/>
        </w:rPr>
        <w:t>Autoridad Responsable</w:t>
      </w:r>
      <w:r w:rsidRPr="00A62343">
        <w:rPr>
          <w:rFonts w:ascii="Verdana" w:hAnsi="Verdana" w:cs="Arial"/>
          <w:bCs/>
          <w:sz w:val="22"/>
          <w:szCs w:val="22"/>
        </w:rPr>
        <w:t xml:space="preserve"> violentó</w:t>
      </w:r>
      <w:r w:rsidRPr="00A62343">
        <w:rPr>
          <w:rFonts w:ascii="Verdana" w:eastAsia="Arial" w:hAnsi="Verdana" w:cs="Arial"/>
          <w:color w:val="000000"/>
          <w:sz w:val="22"/>
          <w:szCs w:val="22"/>
        </w:rPr>
        <w:t xml:space="preserve"> en su perjuicio lo dispuesto por los artículos 14 y 16 de la </w:t>
      </w:r>
      <w:r w:rsidRPr="00A62343">
        <w:rPr>
          <w:rFonts w:ascii="Verdana" w:eastAsia="Arial" w:hAnsi="Verdana" w:cs="Arial"/>
          <w:smallCaps/>
          <w:color w:val="000000"/>
          <w:sz w:val="22"/>
          <w:szCs w:val="22"/>
        </w:rPr>
        <w:t>Constitución Federal</w:t>
      </w:r>
      <w:r w:rsidRPr="00A62343">
        <w:rPr>
          <w:rFonts w:ascii="Verdana" w:eastAsia="Arial" w:hAnsi="Verdana" w:cs="Arial"/>
          <w:color w:val="000000"/>
          <w:sz w:val="22"/>
          <w:szCs w:val="22"/>
        </w:rPr>
        <w:t xml:space="preserve">, al señalar que no se puede privar al Partido de </w:t>
      </w:r>
      <w:r w:rsidRPr="00A62343">
        <w:rPr>
          <w:rFonts w:ascii="Verdana" w:eastAsia="Arial" w:hAnsi="Verdana" w:cs="Arial"/>
          <w:color w:val="000000"/>
          <w:sz w:val="22"/>
          <w:szCs w:val="22"/>
        </w:rPr>
        <w:lastRenderedPageBreak/>
        <w:t xml:space="preserve">derecho alguno, sino solamente a través de un juicio seguido ante los tribunales, que el acto de molestia debe estar debidamente fundado y motivado, y ser emitido por autoridad competente, lo que, a su consideración, no acontece en el Acuerdo que impugnan, ya que la </w:t>
      </w:r>
      <w:r w:rsidRPr="00A62343">
        <w:rPr>
          <w:rFonts w:ascii="Verdana" w:eastAsia="Arial" w:hAnsi="Verdana" w:cs="Arial"/>
          <w:smallCaps/>
          <w:color w:val="000000"/>
          <w:sz w:val="22"/>
          <w:szCs w:val="22"/>
        </w:rPr>
        <w:t>Autoridad Responsable</w:t>
      </w:r>
      <w:r w:rsidRPr="00A62343">
        <w:rPr>
          <w:rFonts w:ascii="Verdana" w:eastAsia="Arial" w:hAnsi="Verdana" w:cs="Arial"/>
          <w:color w:val="000000"/>
          <w:sz w:val="22"/>
          <w:szCs w:val="22"/>
        </w:rPr>
        <w:t xml:space="preserve"> se toma atribuciones que la legislación electoral no le otorga, al establecer lineamientos para la implementación de acciones afirmativas en favor de los grupos de atención prioritaria en la postulación de candidaturas en el p</w:t>
      </w:r>
      <w:r w:rsidRPr="00A62343">
        <w:rPr>
          <w:rFonts w:ascii="Verdana" w:eastAsia="Arial" w:hAnsi="Verdana" w:cs="Arial"/>
          <w:sz w:val="22"/>
          <w:szCs w:val="22"/>
        </w:rPr>
        <w:t>roceso electoral concurrente 2023-2024 en Aguascalientes.</w:t>
      </w:r>
    </w:p>
    <w:p w14:paraId="0840F638" w14:textId="2C79EED5" w:rsidR="00056E6D" w:rsidRPr="00A62343" w:rsidRDefault="00056E6D" w:rsidP="001F54E1">
      <w:pPr>
        <w:spacing w:before="100" w:beforeAutospacing="1" w:after="100" w:afterAutospacing="1" w:line="360" w:lineRule="auto"/>
        <w:jc w:val="both"/>
        <w:rPr>
          <w:rFonts w:ascii="Verdana" w:hAnsi="Verdana"/>
          <w:sz w:val="22"/>
          <w:szCs w:val="22"/>
        </w:rPr>
      </w:pPr>
      <w:r w:rsidRPr="00A62343">
        <w:rPr>
          <w:rFonts w:ascii="Verdana" w:eastAsia="Arial" w:hAnsi="Verdana" w:cs="Arial"/>
          <w:sz w:val="22"/>
          <w:szCs w:val="22"/>
        </w:rPr>
        <w:t xml:space="preserve">Dicho motivo de agravio resulta </w:t>
      </w:r>
      <w:r w:rsidRPr="00A62343">
        <w:rPr>
          <w:rFonts w:ascii="Verdana" w:eastAsia="Arial" w:hAnsi="Verdana" w:cs="Arial"/>
          <w:b/>
          <w:bCs/>
          <w:sz w:val="22"/>
          <w:szCs w:val="22"/>
        </w:rPr>
        <w:t>infundado</w:t>
      </w:r>
      <w:r w:rsidRPr="00A62343">
        <w:rPr>
          <w:rFonts w:ascii="Verdana" w:eastAsia="Arial" w:hAnsi="Verdana" w:cs="Arial"/>
          <w:sz w:val="22"/>
          <w:szCs w:val="22"/>
        </w:rPr>
        <w:t>.</w:t>
      </w:r>
    </w:p>
    <w:p w14:paraId="0BEAFECC" w14:textId="4A1F4AE1" w:rsidR="00117C52" w:rsidRPr="00A62343" w:rsidRDefault="00117C52" w:rsidP="001F54E1">
      <w:pPr>
        <w:spacing w:before="100" w:beforeAutospacing="1" w:after="100" w:afterAutospacing="1" w:line="360" w:lineRule="auto"/>
        <w:ind w:right="49"/>
        <w:jc w:val="both"/>
        <w:rPr>
          <w:rFonts w:ascii="Verdana" w:eastAsia="Calibri" w:hAnsi="Verdana" w:cs="Arial"/>
          <w:sz w:val="22"/>
          <w:szCs w:val="22"/>
        </w:rPr>
      </w:pPr>
      <w:r w:rsidRPr="00A62343">
        <w:rPr>
          <w:rFonts w:ascii="Verdana" w:eastAsia="Calibri" w:hAnsi="Verdana" w:cs="Arial"/>
          <w:sz w:val="22"/>
          <w:szCs w:val="22"/>
        </w:rPr>
        <w:t xml:space="preserve">Al respecto, el artículo 16 de la </w:t>
      </w:r>
      <w:r w:rsidRPr="00A62343">
        <w:rPr>
          <w:rFonts w:ascii="Verdana" w:eastAsia="Calibri" w:hAnsi="Verdana" w:cs="Arial"/>
          <w:smallCaps/>
          <w:sz w:val="22"/>
          <w:szCs w:val="22"/>
        </w:rPr>
        <w:t>Constitución Federal</w:t>
      </w:r>
      <w:r w:rsidRPr="00A62343">
        <w:rPr>
          <w:rFonts w:ascii="Verdana" w:eastAsia="Calibri" w:hAnsi="Verdana" w:cs="Arial"/>
          <w:sz w:val="22"/>
          <w:szCs w:val="22"/>
        </w:rPr>
        <w:t xml:space="preserve"> contiene la garantía de legalidad, misma que a su vez conlleva la obligación de las autoridades para que todo acto se encuentre debidamente fundado y motivado. </w:t>
      </w:r>
    </w:p>
    <w:p w14:paraId="513D7C99" w14:textId="23F1641F" w:rsidR="00117C52" w:rsidRPr="00A62343" w:rsidRDefault="00117C52" w:rsidP="001F54E1">
      <w:pP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color w:val="000000"/>
          <w:sz w:val="22"/>
          <w:szCs w:val="22"/>
        </w:rPr>
        <w:t xml:space="preserve">En ese sentido, es necesario precisar que la fundamentación y motivación de los acuerdos expedidos por la </w:t>
      </w:r>
      <w:r w:rsidRPr="00A62343">
        <w:rPr>
          <w:rFonts w:ascii="Verdana" w:eastAsia="Arial" w:hAnsi="Verdana" w:cs="Arial"/>
          <w:smallCaps/>
          <w:color w:val="000000"/>
          <w:sz w:val="22"/>
          <w:szCs w:val="22"/>
        </w:rPr>
        <w:t>Autoridad Responsable</w:t>
      </w:r>
      <w:r w:rsidRPr="00A62343">
        <w:rPr>
          <w:rFonts w:ascii="Verdana" w:eastAsia="Arial" w:hAnsi="Verdana" w:cs="Arial"/>
          <w:color w:val="000000"/>
          <w:sz w:val="22"/>
          <w:szCs w:val="22"/>
        </w:rPr>
        <w:t xml:space="preserve">, en ejercicio de su facultad reglamentaria, se ve cumplida de diferente manera, pues para que se considere </w:t>
      </w:r>
      <w:r w:rsidR="00727B4E" w:rsidRPr="00A62343">
        <w:rPr>
          <w:rFonts w:ascii="Verdana" w:eastAsia="Arial" w:hAnsi="Verdana" w:cs="Arial"/>
          <w:color w:val="000000"/>
          <w:sz w:val="22"/>
          <w:szCs w:val="22"/>
        </w:rPr>
        <w:t xml:space="preserve">fundado, es necesario que las autoridades actúen dentro de los límites de las atribuciones que la Constitución y las leyes les confiere; mientras que, para que se considere </w:t>
      </w:r>
      <w:r w:rsidRPr="00A62343">
        <w:rPr>
          <w:rFonts w:ascii="Verdana" w:eastAsia="Arial" w:hAnsi="Verdana" w:cs="Arial"/>
          <w:color w:val="000000"/>
          <w:sz w:val="22"/>
          <w:szCs w:val="22"/>
        </w:rPr>
        <w:t>motivado, es suficiente que el acto sea emitido sobre la base de esa facultad reglamentaria, y que se refiera a relaciones sociales que deban ser jurídicamente reguladas, sin que esto signifique que cada una de las disposiciones que integran los reglamentos deban ser necesariamente materia de una motivación específica.</w:t>
      </w:r>
      <w:r w:rsidRPr="00A62343">
        <w:rPr>
          <w:rStyle w:val="Refdenotaalpie"/>
          <w:rFonts w:ascii="Verdana" w:eastAsia="Arial" w:hAnsi="Verdana" w:cs="Arial"/>
          <w:color w:val="000000"/>
          <w:sz w:val="22"/>
          <w:szCs w:val="22"/>
        </w:rPr>
        <w:footnoteReference w:id="38"/>
      </w:r>
    </w:p>
    <w:p w14:paraId="3EE1E508" w14:textId="77777777" w:rsidR="00117C52" w:rsidRPr="00A62343" w:rsidRDefault="00117C52" w:rsidP="001F54E1">
      <w:pP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color w:val="000000"/>
          <w:sz w:val="22"/>
          <w:szCs w:val="22"/>
        </w:rPr>
        <w:t xml:space="preserve">Lo anterior, pues ha sido criterio de la </w:t>
      </w:r>
      <w:r w:rsidRPr="00A62343">
        <w:rPr>
          <w:rFonts w:ascii="Verdana" w:eastAsia="Arial" w:hAnsi="Verdana" w:cs="Arial"/>
          <w:smallCaps/>
          <w:color w:val="000000"/>
          <w:sz w:val="22"/>
          <w:szCs w:val="22"/>
        </w:rPr>
        <w:t>Suprema Corte</w:t>
      </w:r>
      <w:r w:rsidRPr="00A62343">
        <w:rPr>
          <w:rFonts w:ascii="Verdana" w:eastAsia="Arial" w:hAnsi="Verdana" w:cs="Arial"/>
          <w:color w:val="000000"/>
          <w:sz w:val="22"/>
          <w:szCs w:val="22"/>
        </w:rPr>
        <w:t>, que:</w:t>
      </w:r>
      <w:r w:rsidRPr="00A62343">
        <w:rPr>
          <w:rStyle w:val="Refdenotaalpie"/>
          <w:rFonts w:ascii="Verdana" w:eastAsia="Arial" w:hAnsi="Verdana" w:cs="Arial"/>
          <w:color w:val="000000"/>
          <w:sz w:val="22"/>
          <w:szCs w:val="22"/>
        </w:rPr>
        <w:footnoteReference w:id="39"/>
      </w:r>
    </w:p>
    <w:p w14:paraId="7B1C2983" w14:textId="77777777" w:rsidR="00117C52" w:rsidRPr="00A62343" w:rsidRDefault="00117C52" w:rsidP="001F54E1">
      <w:pP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b/>
          <w:bCs/>
          <w:color w:val="000000"/>
          <w:sz w:val="22"/>
          <w:szCs w:val="22"/>
        </w:rPr>
        <w:t>1.</w:t>
      </w:r>
      <w:r w:rsidRPr="00A62343">
        <w:rPr>
          <w:rFonts w:ascii="Verdana" w:eastAsia="Arial" w:hAnsi="Verdana" w:cs="Arial"/>
          <w:color w:val="000000"/>
          <w:sz w:val="22"/>
          <w:szCs w:val="22"/>
        </w:rPr>
        <w:t xml:space="preserve"> En un acto legislativo, el requisito de fundamentación se satisface, cuando la expedición de la ley se halla dentro de las facultades con que cuenta el cuerpo legislativo;</w:t>
      </w:r>
    </w:p>
    <w:p w14:paraId="02717CFB" w14:textId="77777777" w:rsidR="00117C52" w:rsidRPr="00A62343" w:rsidRDefault="00117C52" w:rsidP="001F54E1">
      <w:pP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b/>
          <w:bCs/>
          <w:color w:val="000000"/>
          <w:sz w:val="22"/>
          <w:szCs w:val="22"/>
        </w:rPr>
        <w:t>2.</w:t>
      </w:r>
      <w:r w:rsidRPr="00A62343">
        <w:rPr>
          <w:rFonts w:ascii="Verdana" w:eastAsia="Arial" w:hAnsi="Verdana" w:cs="Arial"/>
          <w:color w:val="000000"/>
          <w:sz w:val="22"/>
          <w:szCs w:val="22"/>
        </w:rPr>
        <w:t xml:space="preserve"> La motivación se satisface, cuando las leyes emitidas se refieren a relaciones sociales que requieren ser jurídicamente reguladas; y, </w:t>
      </w:r>
    </w:p>
    <w:p w14:paraId="56D45C5C" w14:textId="77777777" w:rsidR="00117C52" w:rsidRPr="00A62343" w:rsidRDefault="00117C52" w:rsidP="001F54E1">
      <w:pP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b/>
          <w:bCs/>
          <w:color w:val="000000"/>
          <w:sz w:val="22"/>
          <w:szCs w:val="22"/>
        </w:rPr>
        <w:lastRenderedPageBreak/>
        <w:t>3.</w:t>
      </w:r>
      <w:r w:rsidRPr="00A62343">
        <w:rPr>
          <w:rFonts w:ascii="Verdana" w:eastAsia="Arial" w:hAnsi="Verdana" w:cs="Arial"/>
          <w:color w:val="000000"/>
          <w:sz w:val="22"/>
          <w:szCs w:val="22"/>
        </w:rPr>
        <w:t xml:space="preserve"> No hay necesidad de que todas las disposiciones integrantes de un ordenamiento deban ser materia de una motivación específica.</w:t>
      </w:r>
    </w:p>
    <w:p w14:paraId="2BE81196" w14:textId="77777777" w:rsidR="00117C52" w:rsidRPr="00A62343" w:rsidRDefault="00117C52" w:rsidP="001F54E1">
      <w:pP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color w:val="000000"/>
          <w:sz w:val="22"/>
          <w:szCs w:val="22"/>
        </w:rPr>
        <w:t>De manera que, si las características que revisten a los lineamientos tienen más semejanza con las de la ley, puesto que son normas de carácter abstracto, general e impersonal, que, con actos concretos, individualizados y dirigidos a personas identificables, resulta pertinente hacer la calificación de estos actos sobre los requisitos sobre los cuales se analiza la ley.</w:t>
      </w:r>
    </w:p>
    <w:p w14:paraId="21F08BB9" w14:textId="72B8EBAD" w:rsidR="00117C52" w:rsidRPr="00A62343" w:rsidRDefault="00117C52" w:rsidP="001F54E1">
      <w:pPr>
        <w:spacing w:before="100" w:beforeAutospacing="1" w:after="100" w:afterAutospacing="1" w:line="360" w:lineRule="auto"/>
        <w:jc w:val="both"/>
        <w:rPr>
          <w:rFonts w:ascii="Verdana" w:hAnsi="Verdana"/>
          <w:sz w:val="22"/>
          <w:szCs w:val="22"/>
        </w:rPr>
      </w:pPr>
      <w:r w:rsidRPr="00A62343">
        <w:rPr>
          <w:rFonts w:ascii="Verdana" w:eastAsia="Arial" w:hAnsi="Verdana" w:cs="Arial"/>
          <w:color w:val="000000"/>
          <w:sz w:val="22"/>
          <w:szCs w:val="22"/>
        </w:rPr>
        <w:t xml:space="preserve">Consecuentemente, a criterio de este </w:t>
      </w:r>
      <w:r w:rsidRPr="00A62343">
        <w:rPr>
          <w:rFonts w:ascii="Verdana" w:eastAsia="Arial" w:hAnsi="Verdana" w:cs="Arial"/>
          <w:smallCaps/>
          <w:color w:val="000000"/>
          <w:sz w:val="22"/>
          <w:szCs w:val="22"/>
        </w:rPr>
        <w:t>Tribunal Electoral</w:t>
      </w:r>
      <w:r w:rsidRPr="00A62343">
        <w:rPr>
          <w:rFonts w:ascii="Verdana" w:eastAsia="Arial" w:hAnsi="Verdana" w:cs="Arial"/>
          <w:color w:val="000000"/>
          <w:sz w:val="22"/>
          <w:szCs w:val="22"/>
        </w:rPr>
        <w:t>, d</w:t>
      </w:r>
      <w:r w:rsidRPr="00A62343">
        <w:rPr>
          <w:rFonts w:ascii="Verdana" w:hAnsi="Verdana" w:cs="Arial"/>
          <w:sz w:val="22"/>
          <w:szCs w:val="22"/>
          <w:shd w:val="clear" w:color="auto" w:fill="FFFFFF"/>
        </w:rPr>
        <w:t xml:space="preserve">e conformidad con todo lo expuesto, y analizadas las consideraciones expuestas por la </w:t>
      </w:r>
      <w:r w:rsidRPr="00A62343">
        <w:rPr>
          <w:rFonts w:ascii="Verdana" w:hAnsi="Verdana" w:cs="Arial"/>
          <w:smallCaps/>
          <w:sz w:val="22"/>
          <w:szCs w:val="22"/>
          <w:shd w:val="clear" w:color="auto" w:fill="FFFFFF"/>
        </w:rPr>
        <w:t>Autoridad Responsable</w:t>
      </w:r>
      <w:r w:rsidRPr="00A62343">
        <w:rPr>
          <w:rFonts w:ascii="Verdana" w:hAnsi="Verdana" w:cs="Arial"/>
          <w:sz w:val="22"/>
          <w:szCs w:val="22"/>
          <w:shd w:val="clear" w:color="auto" w:fill="FFFFFF"/>
        </w:rPr>
        <w:t xml:space="preserve"> en el</w:t>
      </w:r>
      <w:r w:rsidRPr="00A62343">
        <w:rPr>
          <w:rFonts w:ascii="Verdana" w:hAnsi="Verdana" w:cs="Arial"/>
          <w:smallCaps/>
          <w:sz w:val="22"/>
          <w:szCs w:val="22"/>
          <w:shd w:val="clear" w:color="auto" w:fill="FFFFFF"/>
        </w:rPr>
        <w:t xml:space="preserve"> Acto Reclamado</w:t>
      </w:r>
      <w:r w:rsidRPr="00A62343">
        <w:rPr>
          <w:rFonts w:ascii="Verdana" w:hAnsi="Verdana" w:cs="Arial"/>
          <w:sz w:val="22"/>
          <w:szCs w:val="22"/>
          <w:shd w:val="clear" w:color="auto" w:fill="FFFFFF"/>
        </w:rPr>
        <w:t xml:space="preserve">, se desprende que </w:t>
      </w:r>
      <w:r w:rsidRPr="00A62343">
        <w:rPr>
          <w:rFonts w:ascii="Verdana" w:hAnsi="Verdana"/>
          <w:sz w:val="22"/>
          <w:szCs w:val="22"/>
        </w:rPr>
        <w:t xml:space="preserve">se cumple con las exigencias constitucionales y legales </w:t>
      </w:r>
      <w:r w:rsidR="00727B4E" w:rsidRPr="00A62343">
        <w:rPr>
          <w:rFonts w:ascii="Verdana" w:hAnsi="Verdana"/>
          <w:sz w:val="22"/>
          <w:szCs w:val="22"/>
        </w:rPr>
        <w:t xml:space="preserve">de fundamentación y </w:t>
      </w:r>
      <w:r w:rsidRPr="00A62343">
        <w:rPr>
          <w:rFonts w:ascii="Verdana" w:hAnsi="Verdana"/>
          <w:sz w:val="22"/>
          <w:szCs w:val="22"/>
        </w:rPr>
        <w:t>motivación, pues en la misma se expresaron</w:t>
      </w:r>
      <w:r w:rsidR="00727B4E" w:rsidRPr="00A62343">
        <w:rPr>
          <w:rFonts w:ascii="Verdana" w:hAnsi="Verdana"/>
          <w:sz w:val="22"/>
          <w:szCs w:val="22"/>
        </w:rPr>
        <w:t xml:space="preserve"> </w:t>
      </w:r>
      <w:r w:rsidRPr="00A62343">
        <w:rPr>
          <w:rFonts w:ascii="Verdana" w:hAnsi="Verdana"/>
          <w:sz w:val="22"/>
          <w:szCs w:val="22"/>
        </w:rPr>
        <w:t>las razones y motivos que condujeron a la determinación que adoptó y citó la ley y los preceptos en que se apoyó, y justificó legalmente su resolución señalando las razones y causas para su determinación,</w:t>
      </w:r>
      <w:r w:rsidRPr="00A62343">
        <w:rPr>
          <w:rStyle w:val="Refdenotaalpie"/>
          <w:rFonts w:ascii="Verdana" w:hAnsi="Verdana"/>
          <w:sz w:val="22"/>
          <w:szCs w:val="22"/>
        </w:rPr>
        <w:footnoteReference w:id="40"/>
      </w:r>
      <w:r w:rsidRPr="00A62343">
        <w:rPr>
          <w:rFonts w:ascii="Verdana" w:hAnsi="Verdana"/>
          <w:sz w:val="22"/>
          <w:szCs w:val="22"/>
        </w:rPr>
        <w:t xml:space="preserve"> por lo que este agravio resulta </w:t>
      </w:r>
      <w:r w:rsidRPr="00A62343">
        <w:rPr>
          <w:rFonts w:ascii="Verdana" w:hAnsi="Verdana"/>
          <w:b/>
          <w:bCs/>
          <w:sz w:val="22"/>
          <w:szCs w:val="22"/>
        </w:rPr>
        <w:t>infundado</w:t>
      </w:r>
      <w:r w:rsidRPr="00A62343">
        <w:rPr>
          <w:rFonts w:ascii="Verdana" w:hAnsi="Verdana"/>
          <w:sz w:val="22"/>
          <w:szCs w:val="22"/>
        </w:rPr>
        <w:t>.</w:t>
      </w:r>
    </w:p>
    <w:p w14:paraId="0F0B3602" w14:textId="4E6A2D32" w:rsidR="00DC6A3D" w:rsidRPr="00A62343" w:rsidRDefault="007450F9" w:rsidP="001F54E1">
      <w:pP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color w:val="000000"/>
          <w:sz w:val="22"/>
          <w:szCs w:val="22"/>
        </w:rPr>
        <w:t xml:space="preserve">Por lo que hace al agravio identificado con el inciso </w:t>
      </w:r>
      <w:r w:rsidR="00984A2D" w:rsidRPr="00A62343">
        <w:rPr>
          <w:rFonts w:ascii="Verdana" w:eastAsia="Arial" w:hAnsi="Verdana" w:cs="Arial"/>
          <w:b/>
          <w:bCs/>
          <w:i/>
          <w:iCs/>
          <w:color w:val="000000"/>
          <w:sz w:val="22"/>
          <w:szCs w:val="22"/>
        </w:rPr>
        <w:t>d</w:t>
      </w:r>
      <w:r w:rsidRPr="00A62343">
        <w:rPr>
          <w:rFonts w:ascii="Verdana" w:eastAsia="Arial" w:hAnsi="Verdana" w:cs="Arial"/>
          <w:b/>
          <w:bCs/>
          <w:i/>
          <w:iCs/>
          <w:color w:val="000000"/>
          <w:sz w:val="22"/>
          <w:szCs w:val="22"/>
        </w:rPr>
        <w:t>)</w:t>
      </w:r>
      <w:r w:rsidRPr="00A62343">
        <w:rPr>
          <w:rFonts w:ascii="Verdana" w:eastAsia="Arial" w:hAnsi="Verdana" w:cs="Arial"/>
          <w:color w:val="000000"/>
          <w:sz w:val="22"/>
          <w:szCs w:val="22"/>
        </w:rPr>
        <w:t xml:space="preserve">, </w:t>
      </w:r>
      <w:r w:rsidR="003C54CE" w:rsidRPr="00A62343">
        <w:rPr>
          <w:rFonts w:ascii="Verdana" w:eastAsia="Arial" w:hAnsi="Verdana" w:cs="Arial"/>
          <w:color w:val="000000"/>
          <w:sz w:val="22"/>
          <w:szCs w:val="22"/>
        </w:rPr>
        <w:t>l</w:t>
      </w:r>
      <w:r w:rsidR="00D2033B" w:rsidRPr="00A62343">
        <w:rPr>
          <w:rFonts w:ascii="Verdana" w:eastAsia="Arial" w:hAnsi="Verdana" w:cs="Arial"/>
          <w:color w:val="000000"/>
          <w:sz w:val="22"/>
          <w:szCs w:val="22"/>
        </w:rPr>
        <w:t>os</w:t>
      </w:r>
      <w:r w:rsidR="003C54CE" w:rsidRPr="00A62343">
        <w:rPr>
          <w:rFonts w:ascii="Verdana" w:eastAsia="Arial" w:hAnsi="Verdana" w:cs="Arial"/>
          <w:color w:val="000000"/>
          <w:sz w:val="22"/>
          <w:szCs w:val="22"/>
        </w:rPr>
        <w:t xml:space="preserve"> </w:t>
      </w:r>
      <w:r w:rsidR="003C54CE" w:rsidRPr="00A62343">
        <w:rPr>
          <w:rFonts w:ascii="Verdana" w:eastAsia="Arial" w:hAnsi="Verdana" w:cs="Arial"/>
          <w:smallCaps/>
          <w:color w:val="000000"/>
          <w:sz w:val="22"/>
          <w:szCs w:val="22"/>
        </w:rPr>
        <w:t>Part</w:t>
      </w:r>
      <w:r w:rsidR="00D2033B" w:rsidRPr="00A62343">
        <w:rPr>
          <w:rFonts w:ascii="Verdana" w:eastAsia="Arial" w:hAnsi="Verdana" w:cs="Arial"/>
          <w:smallCaps/>
          <w:color w:val="000000"/>
          <w:sz w:val="22"/>
          <w:szCs w:val="22"/>
        </w:rPr>
        <w:t>idos</w:t>
      </w:r>
      <w:r w:rsidR="003C54CE" w:rsidRPr="00A62343">
        <w:rPr>
          <w:rFonts w:ascii="Verdana" w:eastAsia="Arial" w:hAnsi="Verdana" w:cs="Arial"/>
          <w:smallCaps/>
          <w:color w:val="000000"/>
          <w:sz w:val="22"/>
          <w:szCs w:val="22"/>
        </w:rPr>
        <w:t xml:space="preserve"> </w:t>
      </w:r>
      <w:r w:rsidR="00D2033B" w:rsidRPr="00A62343">
        <w:rPr>
          <w:rFonts w:ascii="Verdana" w:eastAsia="Arial" w:hAnsi="Verdana" w:cs="Arial"/>
          <w:smallCaps/>
          <w:color w:val="000000"/>
          <w:sz w:val="22"/>
          <w:szCs w:val="22"/>
        </w:rPr>
        <w:t>Recurrentes</w:t>
      </w:r>
      <w:r w:rsidR="003C54CE" w:rsidRPr="00A62343">
        <w:rPr>
          <w:rFonts w:ascii="Verdana" w:eastAsia="Arial" w:hAnsi="Verdana" w:cs="Arial"/>
          <w:color w:val="000000"/>
          <w:sz w:val="22"/>
          <w:szCs w:val="22"/>
        </w:rPr>
        <w:t xml:space="preserve"> manifiesta</w:t>
      </w:r>
      <w:r w:rsidR="00D2033B" w:rsidRPr="00A62343">
        <w:rPr>
          <w:rFonts w:ascii="Verdana" w:eastAsia="Arial" w:hAnsi="Verdana" w:cs="Arial"/>
          <w:color w:val="000000"/>
          <w:sz w:val="22"/>
          <w:szCs w:val="22"/>
        </w:rPr>
        <w:t>n</w:t>
      </w:r>
      <w:r w:rsidR="003C54CE" w:rsidRPr="00A62343">
        <w:rPr>
          <w:rFonts w:ascii="Verdana" w:eastAsia="Arial" w:hAnsi="Verdana" w:cs="Arial"/>
          <w:color w:val="000000"/>
          <w:sz w:val="22"/>
          <w:szCs w:val="22"/>
        </w:rPr>
        <w:t xml:space="preserve"> que s</w:t>
      </w:r>
      <w:r w:rsidRPr="00A62343">
        <w:rPr>
          <w:rFonts w:ascii="Verdana" w:eastAsia="Arial" w:hAnsi="Verdana" w:cs="Arial"/>
          <w:color w:val="000000"/>
          <w:sz w:val="22"/>
          <w:szCs w:val="22"/>
        </w:rPr>
        <w:t xml:space="preserve">e violentó </w:t>
      </w:r>
      <w:r w:rsidR="00DC6A3D" w:rsidRPr="00A62343">
        <w:rPr>
          <w:rFonts w:ascii="Verdana" w:eastAsia="Arial" w:hAnsi="Verdana" w:cs="Arial"/>
          <w:color w:val="000000"/>
          <w:sz w:val="22"/>
          <w:szCs w:val="22"/>
        </w:rPr>
        <w:t xml:space="preserve">el </w:t>
      </w:r>
      <w:r w:rsidR="00DC6A3D" w:rsidRPr="00A62343">
        <w:rPr>
          <w:rFonts w:ascii="Verdana" w:hAnsi="Verdana" w:cs="Arial"/>
          <w:bCs/>
          <w:sz w:val="22"/>
          <w:szCs w:val="22"/>
        </w:rPr>
        <w:t xml:space="preserve">Principio de </w:t>
      </w:r>
      <w:r w:rsidR="006E2452" w:rsidRPr="00A62343">
        <w:rPr>
          <w:rFonts w:ascii="Verdana" w:hAnsi="Verdana" w:cs="Arial"/>
          <w:bCs/>
          <w:sz w:val="22"/>
          <w:szCs w:val="22"/>
        </w:rPr>
        <w:t>a</w:t>
      </w:r>
      <w:r w:rsidR="00DC6A3D" w:rsidRPr="00A62343">
        <w:rPr>
          <w:rFonts w:ascii="Verdana" w:hAnsi="Verdana" w:cs="Arial"/>
          <w:bCs/>
          <w:sz w:val="22"/>
          <w:szCs w:val="22"/>
        </w:rPr>
        <w:t xml:space="preserve">utoorganización y autodeterminación de los partidos políticos, contenida en los artículos 41, base primera, tercer párrafo, de la </w:t>
      </w:r>
      <w:r w:rsidR="00DC6A3D" w:rsidRPr="00A62343">
        <w:rPr>
          <w:rFonts w:ascii="Verdana" w:hAnsi="Verdana" w:cs="Arial"/>
          <w:bCs/>
          <w:smallCaps/>
          <w:sz w:val="22"/>
          <w:szCs w:val="22"/>
        </w:rPr>
        <w:t xml:space="preserve">Constitución </w:t>
      </w:r>
      <w:r w:rsidR="00277D0B" w:rsidRPr="00A62343">
        <w:rPr>
          <w:rFonts w:ascii="Verdana" w:hAnsi="Verdana" w:cs="Arial"/>
          <w:bCs/>
          <w:smallCaps/>
          <w:sz w:val="22"/>
          <w:szCs w:val="22"/>
        </w:rPr>
        <w:t>Federal</w:t>
      </w:r>
      <w:r w:rsidR="00DC6A3D" w:rsidRPr="00A62343">
        <w:rPr>
          <w:rFonts w:ascii="Verdana" w:hAnsi="Verdana" w:cs="Arial"/>
          <w:bCs/>
          <w:sz w:val="22"/>
          <w:szCs w:val="22"/>
        </w:rPr>
        <w:t>, 22, apartado 5, 24, párrafo, inciso a), del Código Federal de Instituciones y Procedimientos Electorales</w:t>
      </w:r>
      <w:r w:rsidR="00277D0B" w:rsidRPr="00A62343">
        <w:rPr>
          <w:rFonts w:ascii="Verdana" w:hAnsi="Verdana" w:cs="Arial"/>
          <w:bCs/>
          <w:sz w:val="22"/>
          <w:szCs w:val="22"/>
        </w:rPr>
        <w:t xml:space="preserve"> (sic)</w:t>
      </w:r>
      <w:r w:rsidR="00DC6A3D" w:rsidRPr="00A62343">
        <w:rPr>
          <w:rFonts w:ascii="Verdana" w:hAnsi="Verdana" w:cs="Arial"/>
          <w:bCs/>
          <w:sz w:val="22"/>
          <w:szCs w:val="22"/>
        </w:rPr>
        <w:t xml:space="preserve">, y 2, apartado 2, de la Ley General de Medios de Impugnación en </w:t>
      </w:r>
      <w:r w:rsidR="00277D0B" w:rsidRPr="00A62343">
        <w:rPr>
          <w:rFonts w:ascii="Verdana" w:hAnsi="Verdana" w:cs="Arial"/>
          <w:bCs/>
          <w:sz w:val="22"/>
          <w:szCs w:val="22"/>
        </w:rPr>
        <w:t>M</w:t>
      </w:r>
      <w:r w:rsidR="00DC6A3D" w:rsidRPr="00A62343">
        <w:rPr>
          <w:rFonts w:ascii="Verdana" w:hAnsi="Verdana" w:cs="Arial"/>
          <w:bCs/>
          <w:sz w:val="22"/>
          <w:szCs w:val="22"/>
        </w:rPr>
        <w:t xml:space="preserve">ateria </w:t>
      </w:r>
      <w:r w:rsidR="00277D0B" w:rsidRPr="00A62343">
        <w:rPr>
          <w:rFonts w:ascii="Verdana" w:hAnsi="Verdana" w:cs="Arial"/>
          <w:bCs/>
          <w:sz w:val="22"/>
          <w:szCs w:val="22"/>
        </w:rPr>
        <w:t>E</w:t>
      </w:r>
      <w:r w:rsidR="00DC6A3D" w:rsidRPr="00A62343">
        <w:rPr>
          <w:rFonts w:ascii="Verdana" w:hAnsi="Verdana" w:cs="Arial"/>
          <w:bCs/>
          <w:sz w:val="22"/>
          <w:szCs w:val="22"/>
        </w:rPr>
        <w:t xml:space="preserve">lectoral, </w:t>
      </w:r>
      <w:r w:rsidR="00CB50CC" w:rsidRPr="00A62343">
        <w:rPr>
          <w:rFonts w:ascii="Verdana" w:hAnsi="Verdana" w:cs="Arial"/>
          <w:bCs/>
          <w:sz w:val="22"/>
          <w:szCs w:val="22"/>
        </w:rPr>
        <w:t>los cuales</w:t>
      </w:r>
      <w:r w:rsidR="00DC6A3D" w:rsidRPr="00A62343">
        <w:rPr>
          <w:rFonts w:ascii="Verdana" w:hAnsi="Verdana" w:cs="Arial"/>
          <w:bCs/>
          <w:sz w:val="22"/>
          <w:szCs w:val="22"/>
        </w:rPr>
        <w:t xml:space="preserve"> contiene</w:t>
      </w:r>
      <w:r w:rsidR="00CB50CC" w:rsidRPr="00A62343">
        <w:rPr>
          <w:rFonts w:ascii="Verdana" w:hAnsi="Verdana" w:cs="Arial"/>
          <w:bCs/>
          <w:sz w:val="22"/>
          <w:szCs w:val="22"/>
        </w:rPr>
        <w:t>n</w:t>
      </w:r>
      <w:r w:rsidR="00DC6A3D" w:rsidRPr="00A62343">
        <w:rPr>
          <w:rFonts w:ascii="Verdana" w:hAnsi="Verdana" w:cs="Arial"/>
          <w:bCs/>
          <w:sz w:val="22"/>
          <w:szCs w:val="22"/>
        </w:rPr>
        <w:t xml:space="preserve"> la libertad </w:t>
      </w:r>
      <w:r w:rsidR="004E224F" w:rsidRPr="00A62343">
        <w:rPr>
          <w:rFonts w:ascii="Verdana" w:hAnsi="Verdana" w:cs="Arial"/>
          <w:bCs/>
          <w:sz w:val="22"/>
          <w:szCs w:val="22"/>
        </w:rPr>
        <w:t xml:space="preserve">de autoorganización </w:t>
      </w:r>
      <w:r w:rsidR="00DC6A3D" w:rsidRPr="00A62343">
        <w:rPr>
          <w:rFonts w:ascii="Verdana" w:hAnsi="Verdana" w:cs="Arial"/>
          <w:bCs/>
          <w:sz w:val="22"/>
          <w:szCs w:val="22"/>
        </w:rPr>
        <w:t>y autodeterminación de los partidos políticos</w:t>
      </w:r>
      <w:r w:rsidR="00CB50CC" w:rsidRPr="00A62343">
        <w:rPr>
          <w:rFonts w:ascii="Verdana" w:hAnsi="Verdana" w:cs="Arial"/>
          <w:bCs/>
          <w:sz w:val="22"/>
          <w:szCs w:val="22"/>
        </w:rPr>
        <w:t>, que</w:t>
      </w:r>
      <w:r w:rsidR="00DC6A3D" w:rsidRPr="00A62343">
        <w:rPr>
          <w:rFonts w:ascii="Verdana" w:hAnsi="Verdana" w:cs="Arial"/>
          <w:bCs/>
          <w:sz w:val="22"/>
          <w:szCs w:val="22"/>
        </w:rPr>
        <w:t xml:space="preserve"> implica la facultad de establecer su propio régimen de organización al interior de la estructura, con el objetivo de darle identidad partidaria y hacer posible la participación política para la consecución de los fines constitucionalmente encomendados</w:t>
      </w:r>
      <w:r w:rsidR="002C424B" w:rsidRPr="00A62343">
        <w:rPr>
          <w:rFonts w:ascii="Verdana" w:hAnsi="Verdana" w:cs="Arial"/>
          <w:bCs/>
          <w:sz w:val="22"/>
          <w:szCs w:val="22"/>
        </w:rPr>
        <w:t>; situación que conlleva al detrimento de los derechos y prerrogativas que la legislación en materia electoral le otorga a los partidos políticos, haciendo nugatorio el derecho a realizar procesos internos adecuados.</w:t>
      </w:r>
    </w:p>
    <w:p w14:paraId="7C9807A2" w14:textId="102D478C" w:rsidR="00DC6A3D" w:rsidRPr="00A62343" w:rsidRDefault="00CB50CC" w:rsidP="001F54E1">
      <w:pPr>
        <w:spacing w:before="100" w:beforeAutospacing="1" w:after="100" w:afterAutospacing="1" w:line="360" w:lineRule="auto"/>
        <w:jc w:val="both"/>
        <w:rPr>
          <w:rFonts w:ascii="Verdana" w:eastAsia="Arial" w:hAnsi="Verdana" w:cs="Arial"/>
          <w:color w:val="000000"/>
          <w:sz w:val="22"/>
          <w:szCs w:val="22"/>
        </w:rPr>
      </w:pPr>
      <w:r w:rsidRPr="00A62343">
        <w:rPr>
          <w:rFonts w:ascii="Verdana" w:hAnsi="Verdana" w:cs="Arial"/>
          <w:bCs/>
          <w:sz w:val="22"/>
          <w:szCs w:val="22"/>
        </w:rPr>
        <w:lastRenderedPageBreak/>
        <w:t>Refiriendo</w:t>
      </w:r>
      <w:r w:rsidR="006E2452" w:rsidRPr="00A62343">
        <w:rPr>
          <w:rFonts w:ascii="Verdana" w:hAnsi="Verdana" w:cs="Arial"/>
          <w:bCs/>
          <w:sz w:val="22"/>
          <w:szCs w:val="22"/>
        </w:rPr>
        <w:t xml:space="preserve"> además que,</w:t>
      </w:r>
      <w:r w:rsidR="00DC6A3D" w:rsidRPr="00A62343">
        <w:rPr>
          <w:rFonts w:ascii="Verdana" w:hAnsi="Verdana" w:cs="Arial"/>
          <w:bCs/>
          <w:sz w:val="22"/>
          <w:szCs w:val="22"/>
        </w:rPr>
        <w:t xml:space="preserve"> los partidos políticos poseen la facultad de </w:t>
      </w:r>
      <w:r w:rsidRPr="00A62343">
        <w:rPr>
          <w:rFonts w:ascii="Verdana" w:hAnsi="Verdana" w:cs="Arial"/>
          <w:bCs/>
          <w:sz w:val="22"/>
          <w:szCs w:val="22"/>
        </w:rPr>
        <w:t>determinarse</w:t>
      </w:r>
      <w:r w:rsidR="00DC6A3D" w:rsidRPr="00A62343">
        <w:rPr>
          <w:rFonts w:ascii="Verdana" w:hAnsi="Verdana" w:cs="Arial"/>
          <w:bCs/>
          <w:sz w:val="22"/>
          <w:szCs w:val="22"/>
        </w:rPr>
        <w:t xml:space="preserve">, al amparo jurídico de su normatividad, </w:t>
      </w:r>
      <w:r w:rsidR="006E2452" w:rsidRPr="00A62343">
        <w:rPr>
          <w:rFonts w:ascii="Verdana" w:hAnsi="Verdana" w:cs="Arial"/>
          <w:bCs/>
          <w:sz w:val="22"/>
          <w:szCs w:val="22"/>
        </w:rPr>
        <w:t xml:space="preserve">la que es </w:t>
      </w:r>
      <w:r w:rsidR="00DC6A3D" w:rsidRPr="00A62343">
        <w:rPr>
          <w:rFonts w:ascii="Verdana" w:hAnsi="Verdana" w:cs="Arial"/>
          <w:bCs/>
          <w:sz w:val="22"/>
          <w:szCs w:val="22"/>
        </w:rPr>
        <w:t>vinculante para sus militantes, simpatizantes y adherentes, así como para sus órganos, en tanto que revisten un carácter general, impersonal, abstracto y coercitivo, como toda norma jurídica</w:t>
      </w:r>
      <w:r w:rsidR="00984A2D" w:rsidRPr="00A62343">
        <w:rPr>
          <w:rFonts w:ascii="Verdana" w:hAnsi="Verdana" w:cs="Arial"/>
          <w:bCs/>
          <w:sz w:val="22"/>
          <w:szCs w:val="22"/>
        </w:rPr>
        <w:t xml:space="preserve">, violentando </w:t>
      </w:r>
      <w:r w:rsidR="00DC6A3D" w:rsidRPr="00A62343">
        <w:rPr>
          <w:rFonts w:ascii="Verdana" w:hAnsi="Verdana" w:cs="Arial"/>
          <w:bCs/>
          <w:sz w:val="22"/>
          <w:szCs w:val="22"/>
        </w:rPr>
        <w:t>la libre decisión y elección de sus candidat</w:t>
      </w:r>
      <w:r w:rsidRPr="00A62343">
        <w:rPr>
          <w:rFonts w:ascii="Verdana" w:hAnsi="Verdana" w:cs="Arial"/>
          <w:bCs/>
          <w:sz w:val="22"/>
          <w:szCs w:val="22"/>
        </w:rPr>
        <w:t>uras</w:t>
      </w:r>
      <w:r w:rsidR="00DC6A3D" w:rsidRPr="00A62343">
        <w:rPr>
          <w:rFonts w:ascii="Verdana" w:hAnsi="Verdana" w:cs="Arial"/>
          <w:bCs/>
          <w:sz w:val="22"/>
          <w:szCs w:val="22"/>
        </w:rPr>
        <w:t xml:space="preserve"> a ocupar escaños en el Congreso del Estado</w:t>
      </w:r>
      <w:r w:rsidRPr="00A62343">
        <w:rPr>
          <w:rFonts w:ascii="Verdana" w:hAnsi="Verdana" w:cs="Arial"/>
          <w:bCs/>
          <w:sz w:val="22"/>
          <w:szCs w:val="22"/>
        </w:rPr>
        <w:t>,</w:t>
      </w:r>
      <w:r w:rsidR="00DC6A3D" w:rsidRPr="00A62343">
        <w:rPr>
          <w:rFonts w:ascii="Verdana" w:hAnsi="Verdana" w:cs="Arial"/>
          <w:bCs/>
          <w:sz w:val="22"/>
          <w:szCs w:val="22"/>
        </w:rPr>
        <w:t xml:space="preserve"> de acuerdo a la lista que democráticamente apr</w:t>
      </w:r>
      <w:r w:rsidR="00984A2D" w:rsidRPr="00A62343">
        <w:rPr>
          <w:rFonts w:ascii="Verdana" w:hAnsi="Verdana" w:cs="Arial"/>
          <w:bCs/>
          <w:sz w:val="22"/>
          <w:szCs w:val="22"/>
        </w:rPr>
        <w:t>ueba la</w:t>
      </w:r>
      <w:r w:rsidR="00DC6A3D" w:rsidRPr="00A62343">
        <w:rPr>
          <w:rFonts w:ascii="Verdana" w:hAnsi="Verdana" w:cs="Arial"/>
          <w:bCs/>
          <w:sz w:val="22"/>
          <w:szCs w:val="22"/>
        </w:rPr>
        <w:t xml:space="preserve"> militancia</w:t>
      </w:r>
      <w:r w:rsidR="00F87294" w:rsidRPr="00A62343">
        <w:rPr>
          <w:rFonts w:ascii="Verdana" w:hAnsi="Verdana" w:cs="Arial"/>
          <w:bCs/>
          <w:sz w:val="22"/>
          <w:szCs w:val="22"/>
        </w:rPr>
        <w:t xml:space="preserve">, </w:t>
      </w:r>
      <w:r w:rsidR="00984A2D" w:rsidRPr="00A62343">
        <w:rPr>
          <w:rFonts w:ascii="Verdana" w:hAnsi="Verdana" w:cs="Arial"/>
          <w:bCs/>
          <w:sz w:val="22"/>
          <w:szCs w:val="22"/>
        </w:rPr>
        <w:t xml:space="preserve">intentando </w:t>
      </w:r>
      <w:r w:rsidR="00DC6A3D" w:rsidRPr="00A62343">
        <w:rPr>
          <w:rFonts w:ascii="Verdana" w:hAnsi="Verdana" w:cs="Arial"/>
          <w:bCs/>
          <w:sz w:val="22"/>
          <w:szCs w:val="22"/>
        </w:rPr>
        <w:t>modific</w:t>
      </w:r>
      <w:r w:rsidR="00F87294" w:rsidRPr="00A62343">
        <w:rPr>
          <w:rFonts w:ascii="Verdana" w:hAnsi="Verdana" w:cs="Arial"/>
          <w:bCs/>
          <w:sz w:val="22"/>
          <w:szCs w:val="22"/>
        </w:rPr>
        <w:t>a</w:t>
      </w:r>
      <w:r w:rsidR="00984A2D" w:rsidRPr="00A62343">
        <w:rPr>
          <w:rFonts w:ascii="Verdana" w:hAnsi="Verdana" w:cs="Arial"/>
          <w:bCs/>
          <w:sz w:val="22"/>
          <w:szCs w:val="22"/>
        </w:rPr>
        <w:t xml:space="preserve">r </w:t>
      </w:r>
      <w:r w:rsidR="00DC6A3D" w:rsidRPr="00A62343">
        <w:rPr>
          <w:rFonts w:ascii="Verdana" w:hAnsi="Verdana" w:cs="Arial"/>
          <w:bCs/>
          <w:sz w:val="22"/>
          <w:szCs w:val="22"/>
        </w:rPr>
        <w:t>y alter</w:t>
      </w:r>
      <w:r w:rsidR="00F87294" w:rsidRPr="00A62343">
        <w:rPr>
          <w:rFonts w:ascii="Verdana" w:hAnsi="Verdana" w:cs="Arial"/>
          <w:bCs/>
          <w:sz w:val="22"/>
          <w:szCs w:val="22"/>
        </w:rPr>
        <w:t>a</w:t>
      </w:r>
      <w:r w:rsidR="00984A2D" w:rsidRPr="00A62343">
        <w:rPr>
          <w:rFonts w:ascii="Verdana" w:hAnsi="Verdana" w:cs="Arial"/>
          <w:bCs/>
          <w:sz w:val="22"/>
          <w:szCs w:val="22"/>
        </w:rPr>
        <w:t xml:space="preserve">r </w:t>
      </w:r>
      <w:r w:rsidR="00DC6A3D" w:rsidRPr="00A62343">
        <w:rPr>
          <w:rFonts w:ascii="Verdana" w:hAnsi="Verdana" w:cs="Arial"/>
          <w:bCs/>
          <w:sz w:val="22"/>
          <w:szCs w:val="22"/>
        </w:rPr>
        <w:t>lo establecido en los artículos 150</w:t>
      </w:r>
      <w:r w:rsidR="00F87294" w:rsidRPr="00A62343">
        <w:rPr>
          <w:rFonts w:ascii="Verdana" w:hAnsi="Verdana" w:cs="Arial"/>
          <w:bCs/>
          <w:sz w:val="22"/>
          <w:szCs w:val="22"/>
        </w:rPr>
        <w:t xml:space="preserve"> y </w:t>
      </w:r>
      <w:r w:rsidR="00DC6A3D" w:rsidRPr="00A62343">
        <w:rPr>
          <w:rFonts w:ascii="Verdana" w:hAnsi="Verdana" w:cs="Arial"/>
          <w:bCs/>
          <w:sz w:val="22"/>
          <w:szCs w:val="22"/>
        </w:rPr>
        <w:t xml:space="preserve">233 del </w:t>
      </w:r>
      <w:r w:rsidR="00DC6A3D" w:rsidRPr="00A62343">
        <w:rPr>
          <w:rFonts w:ascii="Verdana" w:hAnsi="Verdana" w:cs="Arial"/>
          <w:bCs/>
          <w:smallCaps/>
          <w:sz w:val="22"/>
          <w:szCs w:val="22"/>
        </w:rPr>
        <w:t>Código Electoral</w:t>
      </w:r>
      <w:r w:rsidR="00DC6A3D" w:rsidRPr="00A62343">
        <w:rPr>
          <w:rFonts w:ascii="Verdana" w:hAnsi="Verdana" w:cs="Arial"/>
          <w:bCs/>
          <w:sz w:val="22"/>
          <w:szCs w:val="22"/>
        </w:rPr>
        <w:t>.</w:t>
      </w:r>
    </w:p>
    <w:p w14:paraId="3988ACF9" w14:textId="77777777" w:rsidR="00931D72" w:rsidRPr="00A62343" w:rsidRDefault="005B7E3A" w:rsidP="001F54E1">
      <w:pP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color w:val="000000"/>
          <w:sz w:val="22"/>
          <w:szCs w:val="22"/>
        </w:rPr>
        <w:t>El</w:t>
      </w:r>
      <w:r w:rsidR="002B7539" w:rsidRPr="00A62343">
        <w:rPr>
          <w:rFonts w:ascii="Verdana" w:eastAsia="Arial" w:hAnsi="Verdana" w:cs="Arial"/>
          <w:color w:val="000000"/>
          <w:sz w:val="22"/>
          <w:szCs w:val="22"/>
        </w:rPr>
        <w:t xml:space="preserve"> agravio que ahora se analiza</w:t>
      </w:r>
      <w:r w:rsidR="00CA067F" w:rsidRPr="00A62343">
        <w:rPr>
          <w:rFonts w:ascii="Verdana" w:eastAsia="Arial" w:hAnsi="Verdana" w:cs="Arial"/>
          <w:color w:val="000000"/>
          <w:sz w:val="22"/>
          <w:szCs w:val="22"/>
        </w:rPr>
        <w:t>,</w:t>
      </w:r>
      <w:r w:rsidR="002B7539" w:rsidRPr="00A62343">
        <w:rPr>
          <w:rFonts w:ascii="Verdana" w:eastAsia="Arial" w:hAnsi="Verdana" w:cs="Arial"/>
          <w:color w:val="000000"/>
          <w:sz w:val="22"/>
          <w:szCs w:val="22"/>
        </w:rPr>
        <w:t xml:space="preserve"> resulta </w:t>
      </w:r>
      <w:r w:rsidR="002B7539" w:rsidRPr="00A62343">
        <w:rPr>
          <w:rFonts w:ascii="Verdana" w:eastAsia="Arial" w:hAnsi="Verdana" w:cs="Arial"/>
          <w:b/>
          <w:bCs/>
          <w:color w:val="000000"/>
          <w:sz w:val="22"/>
          <w:szCs w:val="22"/>
        </w:rPr>
        <w:t>infundado</w:t>
      </w:r>
      <w:r w:rsidR="002B7539" w:rsidRPr="00A62343">
        <w:rPr>
          <w:rFonts w:ascii="Verdana" w:eastAsia="Arial" w:hAnsi="Verdana" w:cs="Arial"/>
          <w:color w:val="000000"/>
          <w:sz w:val="22"/>
          <w:szCs w:val="22"/>
        </w:rPr>
        <w:t>, atendiendo a las siguientes consideraciones:</w:t>
      </w:r>
    </w:p>
    <w:p w14:paraId="0394E871" w14:textId="4AB8C59B" w:rsidR="00797807" w:rsidRPr="00A62343" w:rsidRDefault="00797807" w:rsidP="001F54E1">
      <w:pPr>
        <w:spacing w:before="100" w:beforeAutospacing="1" w:after="100" w:afterAutospacing="1" w:line="360" w:lineRule="auto"/>
        <w:jc w:val="both"/>
        <w:rPr>
          <w:rFonts w:ascii="Verdana" w:hAnsi="Verdana"/>
          <w:sz w:val="22"/>
          <w:szCs w:val="22"/>
        </w:rPr>
      </w:pPr>
      <w:r w:rsidRPr="00A62343">
        <w:rPr>
          <w:rFonts w:ascii="Verdana" w:hAnsi="Verdana" w:cs="Arial"/>
          <w:bCs/>
          <w:sz w:val="22"/>
          <w:szCs w:val="22"/>
        </w:rPr>
        <w:t xml:space="preserve">La expedición del </w:t>
      </w:r>
      <w:r w:rsidRPr="00A62343">
        <w:rPr>
          <w:rFonts w:ascii="Verdana" w:hAnsi="Verdana" w:cs="Arial"/>
          <w:bCs/>
          <w:smallCaps/>
          <w:sz w:val="22"/>
          <w:szCs w:val="22"/>
        </w:rPr>
        <w:t>Acto Impugnado</w:t>
      </w:r>
      <w:r w:rsidRPr="00A62343">
        <w:rPr>
          <w:rFonts w:ascii="Verdana" w:hAnsi="Verdana" w:cs="Arial"/>
          <w:bCs/>
          <w:sz w:val="22"/>
          <w:szCs w:val="22"/>
        </w:rPr>
        <w:t xml:space="preserve"> no constituye una intromisión en la vida interna de los partidos políticos como erróneamente lo refiere</w:t>
      </w:r>
      <w:r w:rsidR="00D2033B" w:rsidRPr="00A62343">
        <w:rPr>
          <w:rFonts w:ascii="Verdana" w:hAnsi="Verdana" w:cs="Arial"/>
          <w:bCs/>
          <w:sz w:val="22"/>
          <w:szCs w:val="22"/>
        </w:rPr>
        <w:t>n</w:t>
      </w:r>
      <w:r w:rsidRPr="00A62343">
        <w:rPr>
          <w:rFonts w:ascii="Verdana" w:hAnsi="Verdana" w:cs="Arial"/>
          <w:bCs/>
          <w:sz w:val="22"/>
          <w:szCs w:val="22"/>
        </w:rPr>
        <w:t xml:space="preserve"> </w:t>
      </w:r>
      <w:r w:rsidR="00D2033B" w:rsidRPr="00A62343">
        <w:rPr>
          <w:rFonts w:ascii="Verdana" w:eastAsia="Arial" w:hAnsi="Verdana" w:cs="Arial"/>
          <w:color w:val="000000"/>
          <w:sz w:val="22"/>
          <w:szCs w:val="22"/>
        </w:rPr>
        <w:t xml:space="preserve">los </w:t>
      </w:r>
      <w:r w:rsidR="00D2033B" w:rsidRPr="00A62343">
        <w:rPr>
          <w:rFonts w:ascii="Verdana" w:eastAsia="Arial" w:hAnsi="Verdana" w:cs="Arial"/>
          <w:smallCaps/>
          <w:color w:val="000000"/>
          <w:sz w:val="22"/>
          <w:szCs w:val="22"/>
        </w:rPr>
        <w:t>Partidos Recurrentes</w:t>
      </w:r>
      <w:r w:rsidRPr="00A62343">
        <w:rPr>
          <w:rFonts w:ascii="Verdana" w:hAnsi="Verdana" w:cs="Arial"/>
          <w:bCs/>
          <w:sz w:val="22"/>
          <w:szCs w:val="22"/>
        </w:rPr>
        <w:t xml:space="preserve">, ya que, conforme a la </w:t>
      </w:r>
      <w:r w:rsidRPr="00A62343">
        <w:rPr>
          <w:rFonts w:ascii="Verdana" w:hAnsi="Verdana" w:cs="Arial"/>
          <w:bCs/>
          <w:smallCaps/>
          <w:sz w:val="22"/>
          <w:szCs w:val="22"/>
        </w:rPr>
        <w:t>Constitución Federal</w:t>
      </w:r>
      <w:r w:rsidRPr="00A62343">
        <w:rPr>
          <w:rFonts w:ascii="Verdana" w:hAnsi="Verdana" w:cs="Arial"/>
          <w:bCs/>
          <w:sz w:val="22"/>
          <w:szCs w:val="22"/>
        </w:rPr>
        <w:t xml:space="preserve">, </w:t>
      </w:r>
      <w:r w:rsidRPr="00A62343">
        <w:rPr>
          <w:rFonts w:ascii="Verdana" w:hAnsi="Verdana"/>
          <w:sz w:val="22"/>
          <w:szCs w:val="22"/>
        </w:rPr>
        <w:t>los partidos políticos son entidades de interés público, y la ley determinará las formas específicas de su intervención en el proceso electoral y los derechos, obligaciones y prerrogativas que les corresponden;</w:t>
      </w:r>
      <w:r w:rsidRPr="00A62343">
        <w:rPr>
          <w:rStyle w:val="Refdenotaalpie"/>
          <w:rFonts w:ascii="Verdana" w:hAnsi="Verdana"/>
          <w:sz w:val="22"/>
          <w:szCs w:val="22"/>
        </w:rPr>
        <w:footnoteReference w:id="41"/>
      </w:r>
      <w:r w:rsidRPr="00A62343">
        <w:rPr>
          <w:rFonts w:ascii="Verdana" w:hAnsi="Verdana"/>
          <w:sz w:val="22"/>
          <w:szCs w:val="22"/>
        </w:rPr>
        <w:t xml:space="preserve"> en consecuencia, el principio de autodeterminación de los partidos políticos no es absoluto, sino que coexiste con otros principios que rigen la materia electoral, guardando armonía y coherencia con el modelo de protección y maximización de los derechos humanos y por tanto, que contribuyan a la vida democrática, al posibilitar a los partidos políticos para que las personas pertenecientes a los grupos de atención prioritaria puedan formar parte de sus órganos de gobierno y acceder a cargos de elección popular.</w:t>
      </w:r>
    </w:p>
    <w:p w14:paraId="157DEE6F" w14:textId="0581B622" w:rsidR="00705BF7" w:rsidRPr="00A62343" w:rsidRDefault="00705BF7" w:rsidP="001F54E1">
      <w:pP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color w:val="000000"/>
          <w:sz w:val="22"/>
          <w:szCs w:val="22"/>
        </w:rPr>
        <w:t xml:space="preserve">Como lo ha sostenido este </w:t>
      </w:r>
      <w:r w:rsidRPr="00A62343">
        <w:rPr>
          <w:rFonts w:ascii="Verdana" w:eastAsia="Arial" w:hAnsi="Verdana" w:cs="Arial"/>
          <w:smallCaps/>
          <w:color w:val="000000"/>
          <w:sz w:val="22"/>
          <w:szCs w:val="22"/>
        </w:rPr>
        <w:t>Tribunal Electoral</w:t>
      </w:r>
      <w:r w:rsidRPr="00A62343">
        <w:rPr>
          <w:rFonts w:ascii="Verdana" w:eastAsia="Arial" w:hAnsi="Verdana" w:cs="Arial"/>
          <w:color w:val="000000"/>
          <w:sz w:val="22"/>
          <w:szCs w:val="22"/>
        </w:rPr>
        <w:t>,</w:t>
      </w:r>
      <w:r w:rsidRPr="00A62343">
        <w:rPr>
          <w:rStyle w:val="Refdenotaalpie"/>
          <w:rFonts w:ascii="Verdana" w:eastAsia="Arial" w:hAnsi="Verdana" w:cs="Arial"/>
          <w:color w:val="000000"/>
          <w:sz w:val="22"/>
          <w:szCs w:val="22"/>
        </w:rPr>
        <w:footnoteReference w:id="42"/>
      </w:r>
      <w:r w:rsidRPr="00A62343">
        <w:rPr>
          <w:rFonts w:ascii="Verdana" w:eastAsia="Arial" w:hAnsi="Verdana" w:cs="Arial"/>
          <w:color w:val="000000"/>
          <w:sz w:val="22"/>
          <w:szCs w:val="22"/>
        </w:rPr>
        <w:t xml:space="preserve"> si bien es cierto que los institutos políticos tienen el derecho de determinar las normas que regulen su organización interna, así como los procedimientos para llevar a cabo la selección de sus candidaturas a los cargos de elección popular, tales facultades encuentran su límite y deben armonizarse con el principio constitucional de igualdad y no discriminación.</w:t>
      </w:r>
    </w:p>
    <w:p w14:paraId="0047BC5A" w14:textId="509BE3F1" w:rsidR="00705BF7" w:rsidRPr="00A62343" w:rsidRDefault="00705BF7" w:rsidP="001F54E1">
      <w:pP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color w:val="000000"/>
          <w:sz w:val="22"/>
          <w:szCs w:val="22"/>
        </w:rPr>
        <w:t xml:space="preserve">Al respecto, es importante destacar que el marco normativo en la materia, establece la obligación hacia los partidos políticos de promover y garantizar la igualdad de oportunidades entre hombres y mujeres, por </w:t>
      </w:r>
      <w:r w:rsidRPr="00A62343">
        <w:rPr>
          <w:rFonts w:ascii="Verdana" w:eastAsia="Arial" w:hAnsi="Verdana" w:cs="Arial"/>
          <w:color w:val="000000"/>
          <w:sz w:val="22"/>
          <w:szCs w:val="22"/>
        </w:rPr>
        <w:lastRenderedPageBreak/>
        <w:t xml:space="preserve">tal motivo, el </w:t>
      </w:r>
      <w:r w:rsidRPr="00A62343">
        <w:rPr>
          <w:rFonts w:ascii="Verdana" w:eastAsia="Arial" w:hAnsi="Verdana" w:cs="Arial"/>
          <w:smallCaps/>
          <w:color w:val="000000"/>
          <w:sz w:val="22"/>
          <w:szCs w:val="22"/>
        </w:rPr>
        <w:t>Acto Impugnado</w:t>
      </w:r>
      <w:r w:rsidRPr="00A62343">
        <w:rPr>
          <w:rFonts w:ascii="Verdana" w:eastAsia="Arial" w:hAnsi="Verdana" w:cs="Arial"/>
          <w:color w:val="000000"/>
          <w:sz w:val="22"/>
          <w:szCs w:val="22"/>
        </w:rPr>
        <w:t xml:space="preserve">, no representa un menoscabo a la vida interna de los mismos, sino que se trata de medidas temporales que coadyuvan al cumplimiento del mandato de igualdad sustantiva y no discriminación. </w:t>
      </w:r>
    </w:p>
    <w:p w14:paraId="7781FE96" w14:textId="72CD2066" w:rsidR="00705BF7" w:rsidRPr="00A62343" w:rsidRDefault="00705BF7" w:rsidP="001F54E1">
      <w:pPr>
        <w:spacing w:before="100" w:beforeAutospacing="1" w:after="100" w:afterAutospacing="1" w:line="360" w:lineRule="auto"/>
        <w:jc w:val="both"/>
        <w:rPr>
          <w:rFonts w:ascii="Verdana" w:eastAsia="Arial" w:hAnsi="Verdana" w:cs="Arial"/>
          <w:color w:val="000000"/>
          <w:sz w:val="22"/>
          <w:szCs w:val="22"/>
        </w:rPr>
      </w:pPr>
      <w:r w:rsidRPr="00A62343">
        <w:rPr>
          <w:rFonts w:ascii="Verdana" w:eastAsia="Arial" w:hAnsi="Verdana" w:cs="Arial"/>
          <w:color w:val="000000"/>
          <w:sz w:val="22"/>
          <w:szCs w:val="22"/>
        </w:rPr>
        <w:t>Lo cual, lejos de vulnerar la vida interna de los institutos políticos, la norma cuestionada lo que intenta es armonizarla con una de las finalidades y obligaciones que le son propias, lo que no puede estimarse como un menoscabo, o bien, como una imposición de la igualdad y no discriminación sobre la vida interna de los partidos, sino como una coexistencia sana de principios dentro de los procesos de selección de candidaturas.</w:t>
      </w:r>
      <w:r w:rsidRPr="00A62343">
        <w:rPr>
          <w:rStyle w:val="Refdenotaalpie"/>
          <w:rFonts w:ascii="Verdana" w:eastAsia="Arial" w:hAnsi="Verdana" w:cs="Arial"/>
          <w:color w:val="000000"/>
          <w:sz w:val="22"/>
          <w:szCs w:val="22"/>
        </w:rPr>
        <w:footnoteReference w:id="43"/>
      </w:r>
    </w:p>
    <w:p w14:paraId="13AAB6FD" w14:textId="5F559CFC" w:rsidR="003C2A07" w:rsidRPr="00A62343" w:rsidRDefault="00705BF7" w:rsidP="001F54E1">
      <w:pPr>
        <w:spacing w:before="100" w:beforeAutospacing="1" w:after="100" w:afterAutospacing="1" w:line="360" w:lineRule="auto"/>
        <w:jc w:val="both"/>
        <w:rPr>
          <w:rFonts w:ascii="Verdana" w:hAnsi="Verdana"/>
          <w:sz w:val="22"/>
          <w:szCs w:val="22"/>
        </w:rPr>
      </w:pPr>
      <w:r w:rsidRPr="00A62343">
        <w:rPr>
          <w:rFonts w:ascii="Verdana" w:hAnsi="Verdana" w:cs="Arial"/>
          <w:bCs/>
          <w:sz w:val="22"/>
          <w:szCs w:val="22"/>
        </w:rPr>
        <w:t>Ahora bien, t</w:t>
      </w:r>
      <w:r w:rsidR="00C961BC" w:rsidRPr="00A62343">
        <w:rPr>
          <w:rFonts w:ascii="Verdana" w:hAnsi="Verdana" w:cs="Arial"/>
          <w:bCs/>
          <w:sz w:val="22"/>
          <w:szCs w:val="22"/>
        </w:rPr>
        <w:t>al</w:t>
      </w:r>
      <w:r w:rsidR="00931D72" w:rsidRPr="00A62343">
        <w:rPr>
          <w:rFonts w:ascii="Verdana" w:hAnsi="Verdana" w:cs="Arial"/>
          <w:bCs/>
          <w:sz w:val="22"/>
          <w:szCs w:val="22"/>
        </w:rPr>
        <w:t xml:space="preserve"> como lo precisa el artículo 34 de la </w:t>
      </w:r>
      <w:r w:rsidR="00C961BC" w:rsidRPr="00A62343">
        <w:rPr>
          <w:rFonts w:ascii="Verdana" w:hAnsi="Verdana"/>
          <w:smallCaps/>
          <w:sz w:val="22"/>
          <w:szCs w:val="22"/>
        </w:rPr>
        <w:t>Ley General de Partidos</w:t>
      </w:r>
      <w:r w:rsidR="00C961BC" w:rsidRPr="00A62343">
        <w:rPr>
          <w:rFonts w:ascii="Verdana" w:hAnsi="Verdana"/>
          <w:sz w:val="22"/>
          <w:szCs w:val="22"/>
        </w:rPr>
        <w:t>,</w:t>
      </w:r>
      <w:r w:rsidR="00931D72" w:rsidRPr="00A62343">
        <w:rPr>
          <w:rFonts w:ascii="Verdana" w:hAnsi="Verdana"/>
          <w:sz w:val="22"/>
          <w:szCs w:val="22"/>
        </w:rPr>
        <w:t xml:space="preserve"> a efecto de cumplir con lo dispuesto en el penúltimo párrafo de la Base I del artículo 41 de la Constitución, los asuntos internos de los partidos políticos comprenden el conjunto de actos y procedimientos relativos a su organización y funcionamiento, con base en las disposiciones previstas en la Constitución, en dicha Ley, así como en el respectivo Estatuto y reglamentos que aprueben sus órganos de dirección</w:t>
      </w:r>
      <w:r w:rsidR="003C2A07" w:rsidRPr="00A62343">
        <w:rPr>
          <w:rFonts w:ascii="Verdana" w:hAnsi="Verdana"/>
          <w:sz w:val="22"/>
          <w:szCs w:val="22"/>
        </w:rPr>
        <w:t>.</w:t>
      </w:r>
    </w:p>
    <w:p w14:paraId="43367682" w14:textId="04F449DF" w:rsidR="003C2A07" w:rsidRPr="00A62343" w:rsidRDefault="003C2A07"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El mismo precepto legal establece que son asuntos internos de los partidos políticos, los siguientes:</w:t>
      </w:r>
    </w:p>
    <w:p w14:paraId="4D44A8FC" w14:textId="00FFF648" w:rsidR="003C2A07" w:rsidRPr="00A62343" w:rsidRDefault="003C2A07" w:rsidP="001F54E1">
      <w:pPr>
        <w:spacing w:before="100" w:beforeAutospacing="1" w:after="100" w:afterAutospacing="1" w:line="360" w:lineRule="auto"/>
        <w:jc w:val="both"/>
        <w:rPr>
          <w:rFonts w:ascii="Verdana" w:hAnsi="Verdana"/>
          <w:sz w:val="22"/>
          <w:szCs w:val="22"/>
        </w:rPr>
      </w:pPr>
      <w:r w:rsidRPr="00A62343">
        <w:rPr>
          <w:rFonts w:ascii="Verdana" w:hAnsi="Verdana"/>
          <w:b/>
          <w:bCs/>
          <w:sz w:val="22"/>
          <w:szCs w:val="22"/>
        </w:rPr>
        <w:t>a)</w:t>
      </w:r>
      <w:r w:rsidRPr="00A62343">
        <w:rPr>
          <w:rFonts w:ascii="Verdana" w:hAnsi="Verdana"/>
          <w:sz w:val="22"/>
          <w:szCs w:val="22"/>
        </w:rPr>
        <w:t xml:space="preserve"> La elaboración y modificación de sus documentos básicos, las cuales en ningún caso se podrán hacer una vez iniciado el proceso electoral;</w:t>
      </w:r>
    </w:p>
    <w:p w14:paraId="79F97DC5" w14:textId="4F0FC42A" w:rsidR="003C2A07" w:rsidRPr="00A62343" w:rsidRDefault="003C2A07" w:rsidP="001F54E1">
      <w:pPr>
        <w:spacing w:before="100" w:beforeAutospacing="1" w:after="100" w:afterAutospacing="1" w:line="360" w:lineRule="auto"/>
        <w:jc w:val="both"/>
        <w:rPr>
          <w:rFonts w:ascii="Verdana" w:hAnsi="Verdana"/>
          <w:sz w:val="22"/>
          <w:szCs w:val="22"/>
        </w:rPr>
      </w:pPr>
      <w:r w:rsidRPr="00A62343">
        <w:rPr>
          <w:rFonts w:ascii="Verdana" w:hAnsi="Verdana"/>
          <w:b/>
          <w:bCs/>
          <w:sz w:val="22"/>
          <w:szCs w:val="22"/>
        </w:rPr>
        <w:t>b)</w:t>
      </w:r>
      <w:r w:rsidRPr="00A62343">
        <w:rPr>
          <w:rFonts w:ascii="Verdana" w:hAnsi="Verdana"/>
          <w:sz w:val="22"/>
          <w:szCs w:val="22"/>
        </w:rPr>
        <w:t xml:space="preserve"> La determinación de los requisitos y mecanismos para la libre y voluntaria afiliación de los ciudadanos a éstos;</w:t>
      </w:r>
    </w:p>
    <w:p w14:paraId="735AF61C" w14:textId="77777777" w:rsidR="003C2A07" w:rsidRPr="00A62343" w:rsidRDefault="003C2A07" w:rsidP="001F54E1">
      <w:pPr>
        <w:spacing w:before="100" w:beforeAutospacing="1" w:after="100" w:afterAutospacing="1" w:line="360" w:lineRule="auto"/>
        <w:jc w:val="both"/>
        <w:rPr>
          <w:rFonts w:ascii="Verdana" w:hAnsi="Verdana"/>
          <w:sz w:val="22"/>
          <w:szCs w:val="22"/>
        </w:rPr>
      </w:pPr>
      <w:r w:rsidRPr="00A62343">
        <w:rPr>
          <w:rFonts w:ascii="Verdana" w:hAnsi="Verdana"/>
          <w:b/>
          <w:bCs/>
          <w:sz w:val="22"/>
          <w:szCs w:val="22"/>
        </w:rPr>
        <w:t>c)</w:t>
      </w:r>
      <w:r w:rsidRPr="00A62343">
        <w:rPr>
          <w:rFonts w:ascii="Verdana" w:hAnsi="Verdana"/>
          <w:sz w:val="22"/>
          <w:szCs w:val="22"/>
        </w:rPr>
        <w:t xml:space="preserve"> La elección de los integrantes de sus órganos internos;</w:t>
      </w:r>
    </w:p>
    <w:p w14:paraId="3F73DFC8" w14:textId="7F25ADA8" w:rsidR="003C2A07" w:rsidRPr="00A62343" w:rsidRDefault="003C2A07" w:rsidP="001F54E1">
      <w:pPr>
        <w:spacing w:before="100" w:beforeAutospacing="1" w:after="100" w:afterAutospacing="1" w:line="360" w:lineRule="auto"/>
        <w:jc w:val="both"/>
        <w:rPr>
          <w:rFonts w:ascii="Verdana" w:hAnsi="Verdana"/>
          <w:sz w:val="22"/>
          <w:szCs w:val="22"/>
        </w:rPr>
      </w:pPr>
      <w:r w:rsidRPr="00A62343">
        <w:rPr>
          <w:rFonts w:ascii="Verdana" w:hAnsi="Verdana"/>
          <w:b/>
          <w:bCs/>
          <w:sz w:val="22"/>
          <w:szCs w:val="22"/>
        </w:rPr>
        <w:t>d)</w:t>
      </w:r>
      <w:r w:rsidRPr="00A62343">
        <w:rPr>
          <w:rFonts w:ascii="Verdana" w:hAnsi="Verdana"/>
          <w:sz w:val="22"/>
          <w:szCs w:val="22"/>
        </w:rPr>
        <w:t xml:space="preserve"> Los procedimientos y requisitos para la selección de sus precandidatos y candidatos a cargos de elección popular;</w:t>
      </w:r>
    </w:p>
    <w:p w14:paraId="3AE8A67E" w14:textId="6383F79F" w:rsidR="003C2A07" w:rsidRPr="00A62343" w:rsidRDefault="003C2A07" w:rsidP="001F54E1">
      <w:pPr>
        <w:spacing w:before="100" w:beforeAutospacing="1" w:after="100" w:afterAutospacing="1" w:line="360" w:lineRule="auto"/>
        <w:jc w:val="both"/>
        <w:rPr>
          <w:rFonts w:ascii="Verdana" w:hAnsi="Verdana"/>
          <w:sz w:val="22"/>
          <w:szCs w:val="22"/>
        </w:rPr>
      </w:pPr>
      <w:r w:rsidRPr="00A62343">
        <w:rPr>
          <w:rFonts w:ascii="Verdana" w:hAnsi="Verdana"/>
          <w:b/>
          <w:bCs/>
          <w:sz w:val="22"/>
          <w:szCs w:val="22"/>
        </w:rPr>
        <w:t>e)</w:t>
      </w:r>
      <w:r w:rsidRPr="00A62343">
        <w:rPr>
          <w:rFonts w:ascii="Verdana" w:hAnsi="Verdana"/>
          <w:sz w:val="22"/>
          <w:szCs w:val="22"/>
        </w:rPr>
        <w:t xml:space="preserve"> Los procesos deliberativos para la definición de sus estrategias políticas y electorales y, en general, para la toma de decisiones por sus órganos internos y de los organismos que agrupen a sus militantes, y</w:t>
      </w:r>
    </w:p>
    <w:p w14:paraId="4439154E" w14:textId="1FC8A02B" w:rsidR="003C2A07" w:rsidRPr="00A62343" w:rsidRDefault="003C2A07" w:rsidP="001F54E1">
      <w:pPr>
        <w:spacing w:before="100" w:beforeAutospacing="1" w:after="100" w:afterAutospacing="1" w:line="360" w:lineRule="auto"/>
        <w:jc w:val="both"/>
        <w:rPr>
          <w:rFonts w:ascii="Verdana" w:hAnsi="Verdana"/>
          <w:sz w:val="22"/>
          <w:szCs w:val="22"/>
        </w:rPr>
      </w:pPr>
      <w:r w:rsidRPr="00A62343">
        <w:rPr>
          <w:rFonts w:ascii="Verdana" w:hAnsi="Verdana"/>
          <w:b/>
          <w:bCs/>
          <w:sz w:val="22"/>
          <w:szCs w:val="22"/>
        </w:rPr>
        <w:lastRenderedPageBreak/>
        <w:t>f)</w:t>
      </w:r>
      <w:r w:rsidRPr="00A62343">
        <w:rPr>
          <w:rFonts w:ascii="Verdana" w:hAnsi="Verdana"/>
          <w:sz w:val="22"/>
          <w:szCs w:val="22"/>
        </w:rPr>
        <w:t xml:space="preserve"> La emisión de los reglamentos internos y acuerdos de carácter general que se requieran para el cumplimiento de sus documentos básicos.</w:t>
      </w:r>
    </w:p>
    <w:p w14:paraId="1A196196" w14:textId="76A26055" w:rsidR="003C2A07" w:rsidRPr="00A62343" w:rsidRDefault="003C2A07"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 xml:space="preserve">De lo anterior, no se advierte que la </w:t>
      </w:r>
      <w:r w:rsidRPr="00A62343">
        <w:rPr>
          <w:rFonts w:ascii="Verdana" w:hAnsi="Verdana"/>
          <w:smallCaps/>
          <w:sz w:val="22"/>
          <w:szCs w:val="22"/>
        </w:rPr>
        <w:t>Autoridad Responsable</w:t>
      </w:r>
      <w:r w:rsidRPr="00A62343">
        <w:rPr>
          <w:rFonts w:ascii="Verdana" w:hAnsi="Verdana"/>
          <w:sz w:val="22"/>
          <w:szCs w:val="22"/>
        </w:rPr>
        <w:t xml:space="preserve"> vulnere su derecho de autoorganización y autodeterminación, </w:t>
      </w:r>
      <w:r w:rsidR="00705BF7" w:rsidRPr="00A62343">
        <w:rPr>
          <w:rFonts w:ascii="Verdana" w:hAnsi="Verdana"/>
          <w:sz w:val="22"/>
          <w:szCs w:val="22"/>
        </w:rPr>
        <w:t xml:space="preserve">pues los partidos políticos podrán determinar los procedimientos y requisitos para la selección de sus precandidaturas y candidaturas a cargos de elección popular en el Proceso Electoral Concurrente </w:t>
      </w:r>
      <w:r w:rsidR="00797807" w:rsidRPr="00A62343">
        <w:rPr>
          <w:rFonts w:ascii="Verdana" w:hAnsi="Verdana"/>
          <w:sz w:val="22"/>
          <w:szCs w:val="22"/>
        </w:rPr>
        <w:t>2023-2024 en Aguascalientes</w:t>
      </w:r>
      <w:r w:rsidR="000366EC" w:rsidRPr="00A62343">
        <w:rPr>
          <w:rFonts w:ascii="Verdana" w:hAnsi="Verdana"/>
          <w:sz w:val="22"/>
          <w:szCs w:val="22"/>
        </w:rPr>
        <w:t xml:space="preserve">, es decir, el </w:t>
      </w:r>
      <w:r w:rsidR="000366EC" w:rsidRPr="00A62343">
        <w:rPr>
          <w:rFonts w:ascii="Verdana" w:hAnsi="Verdana"/>
          <w:smallCaps/>
          <w:sz w:val="22"/>
          <w:szCs w:val="22"/>
        </w:rPr>
        <w:t>Acto Impugnado</w:t>
      </w:r>
      <w:r w:rsidR="000366EC" w:rsidRPr="00A62343">
        <w:rPr>
          <w:rFonts w:ascii="Verdana" w:hAnsi="Verdana"/>
          <w:sz w:val="22"/>
          <w:szCs w:val="22"/>
        </w:rPr>
        <w:t xml:space="preserve"> no constituye una modificación a los métodos de postulación de candidaturas de los partidos político; de ahí que resulte </w:t>
      </w:r>
      <w:r w:rsidR="000366EC" w:rsidRPr="00A62343">
        <w:rPr>
          <w:rFonts w:ascii="Verdana" w:hAnsi="Verdana"/>
          <w:b/>
          <w:bCs/>
          <w:sz w:val="22"/>
          <w:szCs w:val="22"/>
        </w:rPr>
        <w:t>infundado</w:t>
      </w:r>
      <w:r w:rsidR="000366EC" w:rsidRPr="00A62343">
        <w:rPr>
          <w:rFonts w:ascii="Verdana" w:hAnsi="Verdana"/>
          <w:sz w:val="22"/>
          <w:szCs w:val="22"/>
        </w:rPr>
        <w:t xml:space="preserve"> lo alegado por los partidos recurrentes. </w:t>
      </w:r>
    </w:p>
    <w:p w14:paraId="77A1E7D2" w14:textId="35BD7D99" w:rsidR="00D623BB" w:rsidRPr="00A62343" w:rsidRDefault="00D623BB"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 xml:space="preserve">Por su parte, en el agravio identificado con el inciso </w:t>
      </w:r>
      <w:r w:rsidR="00984A2D" w:rsidRPr="00A62343">
        <w:rPr>
          <w:rFonts w:ascii="Verdana" w:hAnsi="Verdana"/>
          <w:b/>
          <w:bCs/>
          <w:i/>
          <w:iCs/>
          <w:sz w:val="22"/>
          <w:szCs w:val="22"/>
        </w:rPr>
        <w:t>e</w:t>
      </w:r>
      <w:r w:rsidRPr="00A62343">
        <w:rPr>
          <w:rFonts w:ascii="Verdana" w:hAnsi="Verdana"/>
          <w:b/>
          <w:bCs/>
          <w:i/>
          <w:iCs/>
          <w:sz w:val="22"/>
          <w:szCs w:val="22"/>
        </w:rPr>
        <w:t>)</w:t>
      </w:r>
      <w:r w:rsidRPr="00A62343">
        <w:rPr>
          <w:rFonts w:ascii="Verdana" w:hAnsi="Verdana"/>
          <w:b/>
          <w:bCs/>
          <w:sz w:val="22"/>
          <w:szCs w:val="22"/>
        </w:rPr>
        <w:t>,</w:t>
      </w:r>
      <w:r w:rsidRPr="00A62343">
        <w:rPr>
          <w:rFonts w:ascii="Verdana" w:hAnsi="Verdana"/>
          <w:sz w:val="22"/>
          <w:szCs w:val="22"/>
        </w:rPr>
        <w:t xml:space="preserve"> </w:t>
      </w:r>
      <w:r w:rsidR="00250259" w:rsidRPr="00A62343">
        <w:rPr>
          <w:rFonts w:ascii="Verdana" w:hAnsi="Verdana"/>
          <w:sz w:val="22"/>
          <w:szCs w:val="22"/>
        </w:rPr>
        <w:t xml:space="preserve">el </w:t>
      </w:r>
      <w:r w:rsidR="00250259" w:rsidRPr="00A62343">
        <w:rPr>
          <w:rFonts w:ascii="Verdana" w:hAnsi="Verdana"/>
          <w:smallCaps/>
          <w:sz w:val="22"/>
          <w:szCs w:val="22"/>
        </w:rPr>
        <w:t>PAN</w:t>
      </w:r>
      <w:r w:rsidR="00606A4A" w:rsidRPr="00A62343">
        <w:rPr>
          <w:rFonts w:ascii="Verdana" w:hAnsi="Verdana"/>
          <w:smallCaps/>
          <w:sz w:val="22"/>
          <w:szCs w:val="22"/>
        </w:rPr>
        <w:t xml:space="preserve"> </w:t>
      </w:r>
      <w:r w:rsidRPr="00A62343">
        <w:rPr>
          <w:rFonts w:ascii="Verdana" w:hAnsi="Verdana"/>
          <w:sz w:val="22"/>
          <w:szCs w:val="22"/>
        </w:rPr>
        <w:t xml:space="preserve">manifiesta que se violenta </w:t>
      </w:r>
      <w:r w:rsidR="000366EC" w:rsidRPr="00A62343">
        <w:rPr>
          <w:rFonts w:ascii="Verdana" w:hAnsi="Verdana"/>
          <w:sz w:val="22"/>
          <w:szCs w:val="22"/>
        </w:rPr>
        <w:t xml:space="preserve">lo dispuesto por </w:t>
      </w:r>
      <w:r w:rsidRPr="00A62343">
        <w:rPr>
          <w:rFonts w:ascii="Verdana" w:hAnsi="Verdana"/>
          <w:sz w:val="22"/>
          <w:szCs w:val="22"/>
        </w:rPr>
        <w:t xml:space="preserve">el artículo 3° de la </w:t>
      </w:r>
      <w:r w:rsidR="000366EC" w:rsidRPr="00A62343">
        <w:rPr>
          <w:rFonts w:ascii="Verdana" w:hAnsi="Verdana"/>
          <w:smallCaps/>
          <w:sz w:val="22"/>
          <w:szCs w:val="22"/>
        </w:rPr>
        <w:t>C</w:t>
      </w:r>
      <w:r w:rsidRPr="00A62343">
        <w:rPr>
          <w:rFonts w:ascii="Verdana" w:hAnsi="Verdana"/>
          <w:smallCaps/>
          <w:sz w:val="22"/>
          <w:szCs w:val="22"/>
        </w:rPr>
        <w:t xml:space="preserve">onstitución </w:t>
      </w:r>
      <w:r w:rsidR="000366EC" w:rsidRPr="00A62343">
        <w:rPr>
          <w:rFonts w:ascii="Verdana" w:hAnsi="Verdana"/>
          <w:smallCaps/>
          <w:sz w:val="22"/>
          <w:szCs w:val="22"/>
        </w:rPr>
        <w:t>L</w:t>
      </w:r>
      <w:r w:rsidRPr="00A62343">
        <w:rPr>
          <w:rFonts w:ascii="Verdana" w:hAnsi="Verdana"/>
          <w:smallCaps/>
          <w:sz w:val="22"/>
          <w:szCs w:val="22"/>
        </w:rPr>
        <w:t>ocal</w:t>
      </w:r>
      <w:r w:rsidRPr="00A62343">
        <w:rPr>
          <w:rFonts w:ascii="Verdana" w:hAnsi="Verdana"/>
          <w:sz w:val="22"/>
          <w:szCs w:val="22"/>
        </w:rPr>
        <w:t xml:space="preserve">, ya que la </w:t>
      </w:r>
      <w:r w:rsidRPr="00A62343">
        <w:rPr>
          <w:rFonts w:ascii="Verdana" w:hAnsi="Verdana"/>
          <w:smallCaps/>
          <w:sz w:val="22"/>
          <w:szCs w:val="22"/>
        </w:rPr>
        <w:t>Autoridad Responsable</w:t>
      </w:r>
      <w:r w:rsidRPr="00A62343">
        <w:rPr>
          <w:rFonts w:ascii="Verdana" w:hAnsi="Verdana"/>
          <w:sz w:val="22"/>
          <w:szCs w:val="22"/>
        </w:rPr>
        <w:t xml:space="preserve"> pretende establecer lineamientos, de manera totalmente extemporánea</w:t>
      </w:r>
      <w:r w:rsidR="00B23CFE" w:rsidRPr="00A62343">
        <w:rPr>
          <w:rFonts w:ascii="Verdana" w:hAnsi="Verdana"/>
          <w:sz w:val="22"/>
          <w:szCs w:val="22"/>
        </w:rPr>
        <w:t xml:space="preserve">, toda vez que </w:t>
      </w:r>
      <w:r w:rsidRPr="00A62343">
        <w:rPr>
          <w:rFonts w:ascii="Verdana" w:hAnsi="Verdana"/>
          <w:sz w:val="22"/>
          <w:szCs w:val="22"/>
        </w:rPr>
        <w:t xml:space="preserve">el Proceso Electoral inició el </w:t>
      </w:r>
      <w:r w:rsidR="00B23CFE" w:rsidRPr="00A62343">
        <w:rPr>
          <w:rFonts w:ascii="Verdana" w:hAnsi="Verdana"/>
          <w:sz w:val="22"/>
          <w:szCs w:val="22"/>
        </w:rPr>
        <w:t>cuatro</w:t>
      </w:r>
      <w:r w:rsidRPr="00A62343">
        <w:rPr>
          <w:rFonts w:ascii="Verdana" w:hAnsi="Verdana"/>
          <w:sz w:val="22"/>
          <w:szCs w:val="22"/>
        </w:rPr>
        <w:t xml:space="preserve"> de octubre y transcurrieron en exceso los 90 días previo</w:t>
      </w:r>
      <w:r w:rsidR="00B23CFE" w:rsidRPr="00A62343">
        <w:rPr>
          <w:rFonts w:ascii="Verdana" w:hAnsi="Verdana"/>
          <w:sz w:val="22"/>
          <w:szCs w:val="22"/>
        </w:rPr>
        <w:t>s</w:t>
      </w:r>
      <w:r w:rsidRPr="00A62343">
        <w:rPr>
          <w:rFonts w:ascii="Verdana" w:hAnsi="Verdana"/>
          <w:sz w:val="22"/>
          <w:szCs w:val="22"/>
        </w:rPr>
        <w:t xml:space="preserve"> al inicio del proceso electoral, advirtiendo que la responsable se excedió en el ejercicio de sus facultades</w:t>
      </w:r>
      <w:r w:rsidR="00B23CFE" w:rsidRPr="00A62343">
        <w:rPr>
          <w:rFonts w:ascii="Verdana" w:hAnsi="Verdana"/>
          <w:sz w:val="22"/>
          <w:szCs w:val="22"/>
        </w:rPr>
        <w:t>, realizándolo veintitrés días posteriores al inicio del proceso electoral</w:t>
      </w:r>
      <w:r w:rsidR="008E76B9" w:rsidRPr="00A62343">
        <w:rPr>
          <w:rFonts w:ascii="Verdana" w:hAnsi="Verdana"/>
          <w:sz w:val="22"/>
          <w:szCs w:val="22"/>
        </w:rPr>
        <w:t>, vulnerando así principios constitucionales y el principio de legalidad.</w:t>
      </w:r>
    </w:p>
    <w:p w14:paraId="60BE2198" w14:textId="6B186D8D" w:rsidR="00D623BB" w:rsidRPr="00A62343" w:rsidRDefault="00D623BB"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 xml:space="preserve">Este agravio deviene </w:t>
      </w:r>
      <w:r w:rsidR="00B23CFE" w:rsidRPr="00A62343">
        <w:rPr>
          <w:rFonts w:ascii="Verdana" w:hAnsi="Verdana"/>
          <w:b/>
          <w:bCs/>
          <w:sz w:val="22"/>
          <w:szCs w:val="22"/>
        </w:rPr>
        <w:t>infundado</w:t>
      </w:r>
      <w:r w:rsidRPr="00A62343">
        <w:rPr>
          <w:rFonts w:ascii="Verdana" w:hAnsi="Verdana"/>
          <w:sz w:val="22"/>
          <w:szCs w:val="22"/>
        </w:rPr>
        <w:t>, atendiendo a las siguientes consideraciones:</w:t>
      </w:r>
    </w:p>
    <w:p w14:paraId="6E7DF496" w14:textId="618340BE" w:rsidR="008E76B9" w:rsidRPr="00A62343" w:rsidRDefault="000227E3"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 xml:space="preserve">Como bien señala </w:t>
      </w:r>
      <w:r w:rsidR="00250259" w:rsidRPr="00A62343">
        <w:rPr>
          <w:rFonts w:ascii="Verdana" w:hAnsi="Verdana"/>
          <w:sz w:val="22"/>
          <w:szCs w:val="22"/>
        </w:rPr>
        <w:t xml:space="preserve">el </w:t>
      </w:r>
      <w:r w:rsidR="00250259" w:rsidRPr="00A62343">
        <w:rPr>
          <w:rFonts w:ascii="Verdana" w:hAnsi="Verdana"/>
          <w:smallCaps/>
          <w:sz w:val="22"/>
          <w:szCs w:val="22"/>
        </w:rPr>
        <w:t>PAN</w:t>
      </w:r>
      <w:r w:rsidRPr="00A62343">
        <w:rPr>
          <w:rFonts w:ascii="Verdana" w:hAnsi="Verdana"/>
          <w:sz w:val="22"/>
          <w:szCs w:val="22"/>
        </w:rPr>
        <w:t xml:space="preserve">, el artículo 105, fracción II, penúltimo párrafo de la </w:t>
      </w:r>
      <w:r w:rsidRPr="00A62343">
        <w:rPr>
          <w:rFonts w:ascii="Verdana" w:hAnsi="Verdana"/>
          <w:smallCaps/>
          <w:sz w:val="22"/>
          <w:szCs w:val="22"/>
        </w:rPr>
        <w:t>Constitución Federal</w:t>
      </w:r>
      <w:r w:rsidRPr="00A62343">
        <w:rPr>
          <w:rFonts w:ascii="Verdana" w:hAnsi="Verdana"/>
          <w:sz w:val="22"/>
          <w:szCs w:val="22"/>
        </w:rPr>
        <w:t xml:space="preserve"> establece que las leyes electorales, tanto federales como locales, deberán promulgarse y publicarse cuando menos noventa días antes de que inicie el proceso electoral en que vayan a aplicarse, y durante el mismo no podrá haber modificaciones legales fundamentales, </w:t>
      </w:r>
      <w:r w:rsidR="00EA5233" w:rsidRPr="00A62343">
        <w:rPr>
          <w:rFonts w:ascii="Verdana" w:hAnsi="Verdana"/>
          <w:sz w:val="22"/>
          <w:szCs w:val="22"/>
        </w:rPr>
        <w:t>sin embargo, es necesario puntualizar qué se entiende por “modificaciones legales fundamentales”.</w:t>
      </w:r>
    </w:p>
    <w:p w14:paraId="4E4F212F" w14:textId="5660AEEC" w:rsidR="00EA5233" w:rsidRPr="00A62343" w:rsidRDefault="00A1178C"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 xml:space="preserve">El Pleno de la </w:t>
      </w:r>
      <w:r w:rsidRPr="00A62343">
        <w:rPr>
          <w:rFonts w:ascii="Verdana" w:hAnsi="Verdana"/>
          <w:smallCaps/>
          <w:sz w:val="22"/>
          <w:szCs w:val="22"/>
        </w:rPr>
        <w:t>Suprema Corte</w:t>
      </w:r>
      <w:r w:rsidRPr="00A62343">
        <w:rPr>
          <w:rFonts w:ascii="Verdana" w:hAnsi="Verdana"/>
          <w:sz w:val="22"/>
          <w:szCs w:val="22"/>
        </w:rPr>
        <w:t xml:space="preserve"> ha establecido que una modificación a una ley electoral, sin importar su jerarquía normativa, será fundamental cuando tenga por objeto, efecto o consecuencia, </w:t>
      </w:r>
      <w:r w:rsidR="00F93333" w:rsidRPr="00A62343">
        <w:rPr>
          <w:rFonts w:ascii="Verdana" w:hAnsi="Verdana"/>
          <w:sz w:val="22"/>
          <w:szCs w:val="22"/>
        </w:rPr>
        <w:t xml:space="preserve">producir en las bases, reglas o algún otro elemento rector del proceso electoral una alteración al marco jurídico aplicable a dicho proceso, mediante la cual se otorgue, modifique o elimine algún derecho u obligación de hacer, de no hacer o </w:t>
      </w:r>
      <w:r w:rsidR="00F93333" w:rsidRPr="00A62343">
        <w:rPr>
          <w:rFonts w:ascii="Verdana" w:hAnsi="Verdana"/>
          <w:sz w:val="22"/>
          <w:szCs w:val="22"/>
        </w:rPr>
        <w:lastRenderedPageBreak/>
        <w:t>de dar, para cualquiera de los actores políticos, incluyendo las autoridades electorales.</w:t>
      </w:r>
      <w:r w:rsidR="00F93333" w:rsidRPr="00A62343">
        <w:rPr>
          <w:rStyle w:val="Refdenotaalpie"/>
          <w:rFonts w:ascii="Verdana" w:hAnsi="Verdana"/>
          <w:sz w:val="22"/>
          <w:szCs w:val="22"/>
        </w:rPr>
        <w:footnoteReference w:id="44"/>
      </w:r>
    </w:p>
    <w:p w14:paraId="00167F9F" w14:textId="39683213" w:rsidR="00F93333" w:rsidRPr="00A62343" w:rsidRDefault="00F93333"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 xml:space="preserve">Así, para la </w:t>
      </w:r>
      <w:r w:rsidRPr="00A62343">
        <w:rPr>
          <w:rFonts w:ascii="Verdana" w:hAnsi="Verdana"/>
          <w:smallCaps/>
          <w:sz w:val="22"/>
          <w:szCs w:val="22"/>
        </w:rPr>
        <w:t>Suprema Corte</w:t>
      </w:r>
      <w:r w:rsidRPr="00A62343">
        <w:rPr>
          <w:rFonts w:ascii="Verdana" w:hAnsi="Verdana"/>
          <w:sz w:val="22"/>
          <w:szCs w:val="22"/>
        </w:rPr>
        <w:t>, las modificaciones legales no serán fundamentales, aun cuando se reformen preceptos que rigen el proceso electoral, si el acto legislativo no afecta los elementos rectores señalados, de forma que repercuta en las reglas a seguir durante el proceso electoral; por consiguiente, si las modificaciones tienen como única finalidad precisar y dar claridad a los supuestos normativos correspondientes desde su aspecto formal, la reforma no tendrá el carácter mencionado.</w:t>
      </w:r>
    </w:p>
    <w:p w14:paraId="6D55D1B9" w14:textId="0EA7A861" w:rsidR="005D3119" w:rsidRPr="00A62343" w:rsidRDefault="005D3119"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 xml:space="preserve">De lo anterior es dable concluir que, con la emisión del </w:t>
      </w:r>
      <w:r w:rsidRPr="00A62343">
        <w:rPr>
          <w:rFonts w:ascii="Verdana" w:hAnsi="Verdana"/>
          <w:smallCaps/>
          <w:sz w:val="22"/>
          <w:szCs w:val="22"/>
        </w:rPr>
        <w:t>Acto Impugnado</w:t>
      </w:r>
      <w:r w:rsidRPr="00A62343">
        <w:rPr>
          <w:rFonts w:ascii="Verdana" w:hAnsi="Verdana"/>
          <w:sz w:val="22"/>
          <w:szCs w:val="22"/>
        </w:rPr>
        <w:t>, no se alteró el marco jurídico aplicable a la postulación de candidaturas</w:t>
      </w:r>
      <w:r w:rsidR="003D15E1" w:rsidRPr="00A62343">
        <w:rPr>
          <w:rFonts w:ascii="Verdana" w:hAnsi="Verdana"/>
          <w:sz w:val="22"/>
          <w:szCs w:val="22"/>
        </w:rPr>
        <w:t xml:space="preserve">, sino que la </w:t>
      </w:r>
      <w:r w:rsidR="003D15E1" w:rsidRPr="00A62343">
        <w:rPr>
          <w:rFonts w:ascii="Verdana" w:hAnsi="Verdana"/>
          <w:smallCaps/>
          <w:sz w:val="22"/>
          <w:szCs w:val="22"/>
        </w:rPr>
        <w:t>Autoridad Responsable</w:t>
      </w:r>
      <w:r w:rsidR="003D15E1" w:rsidRPr="00A62343">
        <w:rPr>
          <w:rFonts w:ascii="Verdana" w:hAnsi="Verdana"/>
          <w:sz w:val="22"/>
          <w:szCs w:val="22"/>
        </w:rPr>
        <w:t>, en pleno ejercicio de sus atribuciones, emitió las cuotas que estimó pertinentes para garantizar la inclusión de personas pertenecientes a grupos históricamente excluidos, en la postulación de candidaturas, en aras de lograr una verdadera democracia incluyente, protegiendo el principio constitucional de igualdad y no discriminación, sin transgredir los principios rectores de la materia electoral, como son la certeza, imparcialidad, independencia, legalidad, máxima publicidad y objetividad, sino que por el contrario</w:t>
      </w:r>
      <w:r w:rsidR="00B31B13" w:rsidRPr="00A62343">
        <w:rPr>
          <w:rFonts w:ascii="Verdana" w:hAnsi="Verdana"/>
          <w:sz w:val="22"/>
          <w:szCs w:val="22"/>
        </w:rPr>
        <w:t xml:space="preserve">, la </w:t>
      </w:r>
      <w:r w:rsidR="00B31B13" w:rsidRPr="00A62343">
        <w:rPr>
          <w:rFonts w:ascii="Verdana" w:hAnsi="Verdana"/>
          <w:smallCaps/>
          <w:sz w:val="22"/>
          <w:szCs w:val="22"/>
        </w:rPr>
        <w:t>Autoridad Responsable</w:t>
      </w:r>
      <w:r w:rsidR="003D15E1" w:rsidRPr="00A62343">
        <w:rPr>
          <w:rFonts w:ascii="Verdana" w:hAnsi="Verdana"/>
          <w:sz w:val="22"/>
          <w:szCs w:val="22"/>
        </w:rPr>
        <w:t xml:space="preserve"> busc</w:t>
      </w:r>
      <w:r w:rsidR="00B31B13" w:rsidRPr="00A62343">
        <w:rPr>
          <w:rFonts w:ascii="Verdana" w:hAnsi="Verdana"/>
          <w:sz w:val="22"/>
          <w:szCs w:val="22"/>
        </w:rPr>
        <w:t>ó</w:t>
      </w:r>
      <w:r w:rsidR="003D15E1" w:rsidRPr="00A62343">
        <w:rPr>
          <w:rFonts w:ascii="Verdana" w:hAnsi="Verdana"/>
          <w:sz w:val="22"/>
          <w:szCs w:val="22"/>
        </w:rPr>
        <w:t xml:space="preserve"> garantizar un acceso real y efectivo de </w:t>
      </w:r>
      <w:r w:rsidR="00B31B13" w:rsidRPr="00A62343">
        <w:rPr>
          <w:rFonts w:ascii="Verdana" w:hAnsi="Verdana"/>
          <w:sz w:val="22"/>
          <w:szCs w:val="22"/>
        </w:rPr>
        <w:t xml:space="preserve">las personas pertenecientes a </w:t>
      </w:r>
      <w:r w:rsidR="003D15E1" w:rsidRPr="00A62343">
        <w:rPr>
          <w:rFonts w:ascii="Verdana" w:hAnsi="Verdana"/>
          <w:sz w:val="22"/>
          <w:szCs w:val="22"/>
        </w:rPr>
        <w:t>dichos grupos</w:t>
      </w:r>
      <w:r w:rsidR="00B31B13" w:rsidRPr="00A62343">
        <w:rPr>
          <w:rFonts w:ascii="Verdana" w:hAnsi="Verdana"/>
          <w:sz w:val="22"/>
          <w:szCs w:val="22"/>
        </w:rPr>
        <w:t>, a los cargos de elección popular.</w:t>
      </w:r>
    </w:p>
    <w:p w14:paraId="630D6EF2" w14:textId="52A2B6C9" w:rsidR="003D15E1" w:rsidRPr="00A62343" w:rsidRDefault="003D15E1"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 xml:space="preserve">De ahí que resulte </w:t>
      </w:r>
      <w:r w:rsidRPr="00A62343">
        <w:rPr>
          <w:rFonts w:ascii="Verdana" w:hAnsi="Verdana"/>
          <w:b/>
          <w:bCs/>
          <w:sz w:val="22"/>
          <w:szCs w:val="22"/>
        </w:rPr>
        <w:t>infundado</w:t>
      </w:r>
      <w:r w:rsidRPr="00A62343">
        <w:rPr>
          <w:rFonts w:ascii="Verdana" w:hAnsi="Verdana"/>
          <w:sz w:val="22"/>
          <w:szCs w:val="22"/>
        </w:rPr>
        <w:t xml:space="preserve"> el agravio en estudio. </w:t>
      </w:r>
    </w:p>
    <w:p w14:paraId="4ABFDE56" w14:textId="3B3D914D" w:rsidR="00250259" w:rsidRPr="00A62343" w:rsidRDefault="00250259"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Finalmente, por lo que hace al agravio marcado con el i</w:t>
      </w:r>
      <w:r w:rsidR="006F50B8" w:rsidRPr="00A62343">
        <w:rPr>
          <w:rFonts w:ascii="Verdana" w:hAnsi="Verdana"/>
          <w:sz w:val="22"/>
          <w:szCs w:val="22"/>
        </w:rPr>
        <w:t xml:space="preserve">nciso </w:t>
      </w:r>
      <w:r w:rsidR="006F50B8" w:rsidRPr="00A62343">
        <w:rPr>
          <w:rFonts w:ascii="Verdana" w:hAnsi="Verdana"/>
          <w:b/>
          <w:bCs/>
          <w:i/>
          <w:iCs/>
          <w:sz w:val="22"/>
          <w:szCs w:val="22"/>
        </w:rPr>
        <w:t>f)</w:t>
      </w:r>
      <w:r w:rsidRPr="00A62343">
        <w:rPr>
          <w:rFonts w:ascii="Verdana" w:hAnsi="Verdana"/>
          <w:sz w:val="22"/>
          <w:szCs w:val="22"/>
        </w:rPr>
        <w:t xml:space="preserve">, </w:t>
      </w:r>
      <w:r w:rsidR="004A52A1" w:rsidRPr="00A62343">
        <w:rPr>
          <w:rFonts w:ascii="Verdana" w:hAnsi="Verdana"/>
          <w:sz w:val="22"/>
          <w:szCs w:val="22"/>
        </w:rPr>
        <w:t>el</w:t>
      </w:r>
      <w:r w:rsidRPr="00A62343">
        <w:rPr>
          <w:rFonts w:ascii="Verdana" w:hAnsi="Verdana"/>
          <w:sz w:val="22"/>
          <w:szCs w:val="22"/>
        </w:rPr>
        <w:t xml:space="preserve"> PRI aduce que e</w:t>
      </w:r>
      <w:r w:rsidR="006F50B8" w:rsidRPr="00A62343">
        <w:rPr>
          <w:rFonts w:ascii="Verdana" w:hAnsi="Verdana"/>
          <w:sz w:val="22"/>
          <w:szCs w:val="22"/>
        </w:rPr>
        <w:t xml:space="preserve">s inconsistente el criterio adoptado por la </w:t>
      </w:r>
      <w:r w:rsidRPr="00A62343">
        <w:rPr>
          <w:rFonts w:ascii="Verdana" w:hAnsi="Verdana"/>
          <w:smallCaps/>
          <w:sz w:val="22"/>
          <w:szCs w:val="22"/>
        </w:rPr>
        <w:t>Autoridad Responsable</w:t>
      </w:r>
      <w:r w:rsidR="006F50B8" w:rsidRPr="00A62343">
        <w:rPr>
          <w:rFonts w:ascii="Verdana" w:hAnsi="Verdana"/>
          <w:sz w:val="22"/>
          <w:szCs w:val="22"/>
        </w:rPr>
        <w:t xml:space="preserve"> al señalar que se tomará en consideración para la postulación de candidaturas a los grupos de atención prioritaria, el Proceso Electoral Concurrente Ordinario 2020-2021, puesto que pasa por alto la </w:t>
      </w:r>
      <w:proofErr w:type="spellStart"/>
      <w:r w:rsidR="006F50B8" w:rsidRPr="00A62343">
        <w:rPr>
          <w:rFonts w:ascii="Verdana" w:hAnsi="Verdana"/>
          <w:sz w:val="22"/>
          <w:szCs w:val="22"/>
        </w:rPr>
        <w:t>distritación</w:t>
      </w:r>
      <w:proofErr w:type="spellEnd"/>
      <w:r w:rsidR="006F50B8" w:rsidRPr="00A62343">
        <w:rPr>
          <w:rFonts w:ascii="Verdana" w:hAnsi="Verdana"/>
          <w:sz w:val="22"/>
          <w:szCs w:val="22"/>
        </w:rPr>
        <w:t xml:space="preserve"> y el </w:t>
      </w:r>
      <w:proofErr w:type="spellStart"/>
      <w:r w:rsidR="006F50B8" w:rsidRPr="00A62343">
        <w:rPr>
          <w:rFonts w:ascii="Verdana" w:hAnsi="Verdana"/>
          <w:sz w:val="22"/>
          <w:szCs w:val="22"/>
        </w:rPr>
        <w:t>reseccionamiento</w:t>
      </w:r>
      <w:proofErr w:type="spellEnd"/>
      <w:r w:rsidR="006F50B8" w:rsidRPr="00A62343">
        <w:rPr>
          <w:rFonts w:ascii="Verdana" w:hAnsi="Verdana"/>
          <w:sz w:val="22"/>
          <w:szCs w:val="22"/>
        </w:rPr>
        <w:t xml:space="preserve"> realizado en el Estado recientemente, por lo que no puede existir certeza jurídica sobre las condiciones suscitadas en aquel proceso electoral con respecto a este, al </w:t>
      </w:r>
      <w:r w:rsidR="006F50B8" w:rsidRPr="00A62343">
        <w:rPr>
          <w:rFonts w:ascii="Verdana" w:hAnsi="Verdana"/>
          <w:sz w:val="22"/>
          <w:szCs w:val="22"/>
        </w:rPr>
        <w:lastRenderedPageBreak/>
        <w:t>no haber identidad entre los dos procesos electorales en cuanto a su demarcación territorial</w:t>
      </w:r>
      <w:r w:rsidRPr="00A62343">
        <w:rPr>
          <w:rFonts w:ascii="Verdana" w:hAnsi="Verdana"/>
          <w:sz w:val="22"/>
          <w:szCs w:val="22"/>
        </w:rPr>
        <w:t xml:space="preserve">; que tampoco puede hablarse </w:t>
      </w:r>
      <w:r w:rsidR="00F6681E" w:rsidRPr="00A62343">
        <w:rPr>
          <w:rFonts w:ascii="Verdana" w:hAnsi="Verdana"/>
          <w:sz w:val="22"/>
          <w:szCs w:val="22"/>
        </w:rPr>
        <w:t>de identidad de intención política de la ciudadanía, pues entre ambos procesos hubo otro en el que se renovó la gubernatura del Estado, cambiando los resultados por partido en los diversos distritos de la entidad.</w:t>
      </w:r>
    </w:p>
    <w:p w14:paraId="4C0FE7E9" w14:textId="32EC2F31" w:rsidR="00693E63" w:rsidRPr="00A62343" w:rsidRDefault="007372F8" w:rsidP="001F54E1">
      <w:pPr>
        <w:spacing w:before="100" w:beforeAutospacing="1" w:after="100" w:afterAutospacing="1" w:line="360" w:lineRule="auto"/>
        <w:jc w:val="both"/>
        <w:rPr>
          <w:rFonts w:ascii="Verdana" w:hAnsi="Verdana"/>
          <w:sz w:val="22"/>
          <w:szCs w:val="22"/>
        </w:rPr>
      </w:pPr>
      <w:r w:rsidRPr="00A62343">
        <w:rPr>
          <w:rFonts w:ascii="Verdana" w:hAnsi="Verdana"/>
          <w:sz w:val="22"/>
          <w:szCs w:val="22"/>
        </w:rPr>
        <w:t>Ha sido criterio de esta autoridad jurisdiccional,</w:t>
      </w:r>
      <w:r w:rsidR="004A52A1" w:rsidRPr="00A62343">
        <w:rPr>
          <w:rFonts w:ascii="Verdana" w:hAnsi="Verdana"/>
          <w:sz w:val="22"/>
          <w:szCs w:val="22"/>
        </w:rPr>
        <w:t xml:space="preserve"> en el diverso TEEA-RAP-009/2023</w:t>
      </w:r>
      <w:r w:rsidR="006B230D" w:rsidRPr="00A62343">
        <w:rPr>
          <w:rFonts w:ascii="Verdana" w:hAnsi="Verdana"/>
          <w:sz w:val="22"/>
          <w:szCs w:val="22"/>
        </w:rPr>
        <w:t xml:space="preserve"> Y ACUMULADOS</w:t>
      </w:r>
      <w:r w:rsidR="004A52A1" w:rsidRPr="00A62343">
        <w:rPr>
          <w:rFonts w:ascii="Verdana" w:hAnsi="Verdana"/>
          <w:sz w:val="22"/>
          <w:szCs w:val="22"/>
        </w:rPr>
        <w:t xml:space="preserve">, </w:t>
      </w:r>
      <w:r w:rsidR="00693E63" w:rsidRPr="00A62343">
        <w:rPr>
          <w:rFonts w:ascii="Verdana" w:hAnsi="Verdana"/>
          <w:sz w:val="22"/>
          <w:szCs w:val="22"/>
        </w:rPr>
        <w:t>que dado que tomar en consideración los resultados obtenidos en la pasada elección de gubernatura, distorsionaría la construcción del parámetro para la postulación de candidaturas de grupos de atención prioritaria</w:t>
      </w:r>
      <w:r w:rsidR="00AF020D" w:rsidRPr="00A62343">
        <w:rPr>
          <w:rFonts w:ascii="Verdana" w:hAnsi="Verdana"/>
          <w:sz w:val="22"/>
          <w:szCs w:val="22"/>
        </w:rPr>
        <w:t xml:space="preserve"> </w:t>
      </w:r>
      <w:r w:rsidR="00693E63" w:rsidRPr="00A62343">
        <w:rPr>
          <w:rFonts w:ascii="Verdana" w:hAnsi="Verdana"/>
          <w:sz w:val="22"/>
          <w:szCs w:val="22"/>
        </w:rPr>
        <w:t>de los cargos que se renovarán en el presente proceso electoral, esto es, las diputaciones y Ayuntamientos del Estado</w:t>
      </w:r>
      <w:r w:rsidR="00AF020D" w:rsidRPr="00A62343">
        <w:rPr>
          <w:rFonts w:ascii="Verdana" w:hAnsi="Verdana"/>
          <w:sz w:val="22"/>
          <w:szCs w:val="22"/>
        </w:rPr>
        <w:t>. Lo anterior, pues en el proceso electoral que refiere el Partido inconforme, la ciudadanía votó para elegir un solo cargo de elección popular, esto es la titularidad del poder Ejecutivo estatal, por lo que tales resultados no resultan idóneos para evaluar las preferencias electorales respecto a la conformación del Congreso Local y los Ayuntamientos de Aguascalientes.</w:t>
      </w:r>
    </w:p>
    <w:p w14:paraId="692802EE" w14:textId="23CADF78" w:rsidR="00AF020D" w:rsidRPr="00A62343" w:rsidRDefault="00AF020D" w:rsidP="001F54E1">
      <w:pPr>
        <w:spacing w:before="100" w:beforeAutospacing="1" w:after="100" w:afterAutospacing="1" w:line="360" w:lineRule="auto"/>
        <w:jc w:val="both"/>
        <w:rPr>
          <w:rFonts w:ascii="Verdana" w:hAnsi="Verdana"/>
          <w:sz w:val="22"/>
          <w:szCs w:val="22"/>
          <w:lang w:val="es-MX"/>
        </w:rPr>
      </w:pPr>
      <w:r w:rsidRPr="00A62343">
        <w:rPr>
          <w:rFonts w:ascii="Verdana" w:hAnsi="Verdana"/>
          <w:sz w:val="22"/>
          <w:szCs w:val="22"/>
          <w:lang w:val="es-MX"/>
        </w:rPr>
        <w:t xml:space="preserve">De tal forma, lo acordado por la </w:t>
      </w:r>
      <w:r w:rsidRPr="00A62343">
        <w:rPr>
          <w:rFonts w:ascii="Verdana" w:hAnsi="Verdana"/>
          <w:smallCaps/>
          <w:sz w:val="22"/>
          <w:szCs w:val="22"/>
          <w:lang w:val="es-MX"/>
        </w:rPr>
        <w:t>Autoridad Responsable</w:t>
      </w:r>
      <w:r w:rsidRPr="00A62343">
        <w:rPr>
          <w:rFonts w:ascii="Verdana" w:hAnsi="Verdana"/>
          <w:sz w:val="22"/>
          <w:szCs w:val="22"/>
          <w:lang w:val="es-MX"/>
        </w:rPr>
        <w:t xml:space="preserve"> en cuanto a tomar como parámetro los resultados obtenidos de las elecciones celebradas en el marco del proceso electoral 2020-2021 -últimas en la que se eligieron los cargos a renovarse en los presentes comicios- atiende a una </w:t>
      </w:r>
      <w:r w:rsidRPr="00A62343">
        <w:rPr>
          <w:rFonts w:ascii="Verdana" w:hAnsi="Verdana"/>
          <w:bCs/>
          <w:sz w:val="22"/>
          <w:szCs w:val="22"/>
          <w:lang w:val="es-MX"/>
        </w:rPr>
        <w:t>lógica sistemática y funcional de los procesos comiciales</w:t>
      </w:r>
      <w:r w:rsidRPr="00A62343">
        <w:rPr>
          <w:rFonts w:ascii="Verdana" w:hAnsi="Verdana"/>
          <w:sz w:val="22"/>
          <w:szCs w:val="22"/>
          <w:lang w:val="es-MX"/>
        </w:rPr>
        <w:t xml:space="preserve"> y de las reglas que los constituyen. </w:t>
      </w:r>
    </w:p>
    <w:p w14:paraId="3F0561AB" w14:textId="2EF7400B" w:rsidR="00AF020D" w:rsidRPr="00A62343" w:rsidRDefault="00AF020D" w:rsidP="001F54E1">
      <w:pPr>
        <w:spacing w:before="100" w:beforeAutospacing="1" w:after="100" w:afterAutospacing="1" w:line="360" w:lineRule="auto"/>
        <w:jc w:val="both"/>
        <w:rPr>
          <w:rFonts w:ascii="Verdana" w:hAnsi="Verdana"/>
          <w:sz w:val="22"/>
          <w:szCs w:val="22"/>
          <w:lang w:val="es-MX"/>
        </w:rPr>
      </w:pPr>
      <w:bookmarkStart w:id="5" w:name="_heading=h.5lz9k617z2sa" w:colFirst="0" w:colLast="0"/>
      <w:bookmarkEnd w:id="5"/>
      <w:r w:rsidRPr="00A62343">
        <w:rPr>
          <w:rFonts w:ascii="Verdana" w:hAnsi="Verdana"/>
          <w:sz w:val="22"/>
          <w:szCs w:val="22"/>
          <w:lang w:val="es-MX"/>
        </w:rPr>
        <w:t xml:space="preserve">En consecuencia, este </w:t>
      </w:r>
      <w:r w:rsidRPr="00A62343">
        <w:rPr>
          <w:rFonts w:ascii="Verdana" w:hAnsi="Verdana"/>
          <w:smallCaps/>
          <w:sz w:val="22"/>
          <w:szCs w:val="22"/>
          <w:lang w:val="es-MX"/>
        </w:rPr>
        <w:t>Tribunal Electoral</w:t>
      </w:r>
      <w:r w:rsidRPr="00A62343">
        <w:rPr>
          <w:rFonts w:ascii="Verdana" w:hAnsi="Verdana"/>
          <w:sz w:val="22"/>
          <w:szCs w:val="22"/>
          <w:lang w:val="es-MX"/>
        </w:rPr>
        <w:t xml:space="preserve"> estima que </w:t>
      </w:r>
      <w:r w:rsidRPr="00A62343">
        <w:rPr>
          <w:rFonts w:ascii="Verdana" w:hAnsi="Verdana"/>
          <w:bCs/>
          <w:sz w:val="22"/>
          <w:szCs w:val="22"/>
          <w:lang w:val="es-MX"/>
        </w:rPr>
        <w:t>en correspondencia con el objeto y fin</w:t>
      </w:r>
      <w:r w:rsidRPr="00A62343">
        <w:rPr>
          <w:rFonts w:ascii="Verdana" w:hAnsi="Verdana"/>
          <w:sz w:val="22"/>
          <w:szCs w:val="22"/>
          <w:lang w:val="es-MX"/>
        </w:rPr>
        <w:t xml:space="preserve"> que pretenden procurar l</w:t>
      </w:r>
      <w:r w:rsidR="004A52A1" w:rsidRPr="00A62343">
        <w:rPr>
          <w:rFonts w:ascii="Verdana" w:hAnsi="Verdana"/>
          <w:sz w:val="22"/>
          <w:szCs w:val="22"/>
          <w:lang w:val="es-MX"/>
        </w:rPr>
        <w:t>a</w:t>
      </w:r>
      <w:r w:rsidRPr="00A62343">
        <w:rPr>
          <w:rFonts w:ascii="Verdana" w:hAnsi="Verdana"/>
          <w:sz w:val="22"/>
          <w:szCs w:val="22"/>
          <w:lang w:val="es-MX"/>
        </w:rPr>
        <w:t xml:space="preserve">s </w:t>
      </w:r>
      <w:r w:rsidR="004A52A1" w:rsidRPr="00A62343">
        <w:rPr>
          <w:rFonts w:ascii="Verdana" w:hAnsi="Verdana"/>
          <w:sz w:val="22"/>
          <w:szCs w:val="22"/>
          <w:lang w:val="es-MX"/>
        </w:rPr>
        <w:t>acciones afirmativas impugnadas</w:t>
      </w:r>
      <w:r w:rsidRPr="00A62343">
        <w:rPr>
          <w:rFonts w:ascii="Verdana" w:hAnsi="Verdana"/>
          <w:sz w:val="22"/>
          <w:szCs w:val="22"/>
          <w:lang w:val="es-MX"/>
        </w:rPr>
        <w:t xml:space="preserve">, es </w:t>
      </w:r>
      <w:r w:rsidRPr="00A62343">
        <w:rPr>
          <w:rFonts w:ascii="Verdana" w:hAnsi="Verdana"/>
          <w:bCs/>
          <w:sz w:val="22"/>
          <w:szCs w:val="22"/>
          <w:lang w:val="es-MX"/>
        </w:rPr>
        <w:t>razonable y proporcional tomar como criterio los resultados de la elección inmediata anterior en la que se eligieron los mismos cargos públicos</w:t>
      </w:r>
      <w:r w:rsidRPr="00A62343">
        <w:rPr>
          <w:rFonts w:ascii="Verdana" w:hAnsi="Verdana"/>
          <w:sz w:val="22"/>
          <w:szCs w:val="22"/>
          <w:lang w:val="es-MX"/>
        </w:rPr>
        <w:t xml:space="preserve"> a renovarse en el presente proceso electoral, dado que tales datos serán los que, de manera efectiva, den cuenta de las situaciones de discriminación y/o desventaja que las </w:t>
      </w:r>
      <w:r w:rsidR="004A52A1" w:rsidRPr="00A62343">
        <w:rPr>
          <w:rFonts w:ascii="Verdana" w:hAnsi="Verdana"/>
          <w:sz w:val="22"/>
          <w:szCs w:val="22"/>
          <w:lang w:val="es-MX"/>
        </w:rPr>
        <w:t xml:space="preserve">personas pertenecientes a estos grupos de atención prioritaria </w:t>
      </w:r>
      <w:r w:rsidRPr="00A62343">
        <w:rPr>
          <w:rFonts w:ascii="Verdana" w:hAnsi="Verdana"/>
          <w:sz w:val="22"/>
          <w:szCs w:val="22"/>
          <w:lang w:val="es-MX"/>
        </w:rPr>
        <w:t>atraviesen en los procesos electivos para conformar los Ayuntamientos y distritos de que se trate.</w:t>
      </w:r>
    </w:p>
    <w:p w14:paraId="4C80A49A" w14:textId="48E83523" w:rsidR="00AF020D" w:rsidRPr="00A62343" w:rsidRDefault="00AF020D" w:rsidP="001F54E1">
      <w:pPr>
        <w:spacing w:before="100" w:beforeAutospacing="1" w:after="100" w:afterAutospacing="1" w:line="360" w:lineRule="auto"/>
        <w:jc w:val="both"/>
        <w:rPr>
          <w:rFonts w:ascii="Verdana" w:hAnsi="Verdana"/>
          <w:sz w:val="22"/>
          <w:szCs w:val="22"/>
          <w:lang w:val="es-MX"/>
        </w:rPr>
      </w:pPr>
      <w:bookmarkStart w:id="6" w:name="_heading=h.fo3sma1yun8z" w:colFirst="0" w:colLast="0"/>
      <w:bookmarkEnd w:id="6"/>
      <w:r w:rsidRPr="00A62343">
        <w:rPr>
          <w:rFonts w:ascii="Verdana" w:hAnsi="Verdana"/>
          <w:sz w:val="22"/>
          <w:szCs w:val="22"/>
          <w:lang w:val="es-MX"/>
        </w:rPr>
        <w:t xml:space="preserve">Por tanto, contrario a lo que afirma </w:t>
      </w:r>
      <w:r w:rsidR="004A52A1" w:rsidRPr="00A62343">
        <w:rPr>
          <w:rFonts w:ascii="Verdana" w:hAnsi="Verdana"/>
          <w:sz w:val="22"/>
          <w:szCs w:val="22"/>
          <w:lang w:val="es-MX"/>
        </w:rPr>
        <w:t>el</w:t>
      </w:r>
      <w:r w:rsidRPr="00A62343">
        <w:rPr>
          <w:rFonts w:ascii="Verdana" w:hAnsi="Verdana"/>
          <w:sz w:val="22"/>
          <w:szCs w:val="22"/>
          <w:lang w:val="es-MX"/>
        </w:rPr>
        <w:t xml:space="preserve"> </w:t>
      </w:r>
      <w:r w:rsidR="004A52A1" w:rsidRPr="00A62343">
        <w:rPr>
          <w:rFonts w:ascii="Verdana" w:hAnsi="Verdana"/>
          <w:sz w:val="22"/>
          <w:szCs w:val="22"/>
          <w:lang w:val="es-MX"/>
        </w:rPr>
        <w:t>PRI</w:t>
      </w:r>
      <w:r w:rsidRPr="00A62343">
        <w:rPr>
          <w:rFonts w:ascii="Verdana" w:hAnsi="Verdana"/>
          <w:sz w:val="22"/>
          <w:szCs w:val="22"/>
          <w:lang w:val="es-MX"/>
        </w:rPr>
        <w:t xml:space="preserve">, será a través de la medición propuesta por la </w:t>
      </w:r>
      <w:r w:rsidR="004A52A1" w:rsidRPr="00A62343">
        <w:rPr>
          <w:rFonts w:ascii="Verdana" w:hAnsi="Verdana"/>
          <w:smallCaps/>
          <w:sz w:val="22"/>
          <w:szCs w:val="22"/>
          <w:lang w:val="es-MX"/>
        </w:rPr>
        <w:t>A</w:t>
      </w:r>
      <w:r w:rsidRPr="00A62343">
        <w:rPr>
          <w:rFonts w:ascii="Verdana" w:hAnsi="Verdana"/>
          <w:smallCaps/>
          <w:sz w:val="22"/>
          <w:szCs w:val="22"/>
          <w:lang w:val="es-MX"/>
        </w:rPr>
        <w:t xml:space="preserve">utoridad </w:t>
      </w:r>
      <w:r w:rsidR="004A52A1" w:rsidRPr="00A62343">
        <w:rPr>
          <w:rFonts w:ascii="Verdana" w:hAnsi="Verdana"/>
          <w:smallCaps/>
          <w:sz w:val="22"/>
          <w:szCs w:val="22"/>
          <w:lang w:val="es-MX"/>
        </w:rPr>
        <w:t>R</w:t>
      </w:r>
      <w:r w:rsidRPr="00A62343">
        <w:rPr>
          <w:rFonts w:ascii="Verdana" w:hAnsi="Verdana"/>
          <w:smallCaps/>
          <w:sz w:val="22"/>
          <w:szCs w:val="22"/>
          <w:lang w:val="es-MX"/>
        </w:rPr>
        <w:t>esponsable</w:t>
      </w:r>
      <w:r w:rsidRPr="00A62343">
        <w:rPr>
          <w:rFonts w:ascii="Verdana" w:hAnsi="Verdana"/>
          <w:sz w:val="22"/>
          <w:szCs w:val="22"/>
          <w:lang w:val="es-MX"/>
        </w:rPr>
        <w:t xml:space="preserve">, que se hará efectiva la participación de las </w:t>
      </w:r>
      <w:r w:rsidR="00927426" w:rsidRPr="00A62343">
        <w:rPr>
          <w:rFonts w:ascii="Verdana" w:hAnsi="Verdana"/>
          <w:sz w:val="22"/>
          <w:szCs w:val="22"/>
          <w:lang w:val="es-MX"/>
        </w:rPr>
        <w:t>personas pertenecientes a estos grupos de atención prioritaria</w:t>
      </w:r>
      <w:r w:rsidRPr="00A62343">
        <w:rPr>
          <w:rFonts w:ascii="Verdana" w:hAnsi="Verdana"/>
          <w:sz w:val="22"/>
          <w:szCs w:val="22"/>
          <w:lang w:val="es-MX"/>
        </w:rPr>
        <w:t xml:space="preserve">, ello bajo un criterio equilibrado que </w:t>
      </w:r>
      <w:r w:rsidR="00927426" w:rsidRPr="00A62343">
        <w:rPr>
          <w:rFonts w:ascii="Verdana" w:hAnsi="Verdana"/>
          <w:sz w:val="22"/>
          <w:szCs w:val="22"/>
          <w:lang w:val="es-MX"/>
        </w:rPr>
        <w:t xml:space="preserve">les </w:t>
      </w:r>
      <w:r w:rsidRPr="00A62343">
        <w:rPr>
          <w:rFonts w:ascii="Verdana" w:hAnsi="Verdana"/>
          <w:sz w:val="22"/>
          <w:szCs w:val="22"/>
          <w:lang w:val="es-MX"/>
        </w:rPr>
        <w:t xml:space="preserve">otorgue las </w:t>
      </w:r>
      <w:r w:rsidRPr="00A62343">
        <w:rPr>
          <w:rFonts w:ascii="Verdana" w:hAnsi="Verdana"/>
          <w:sz w:val="22"/>
          <w:szCs w:val="22"/>
          <w:lang w:val="es-MX"/>
        </w:rPr>
        <w:lastRenderedPageBreak/>
        <w:t xml:space="preserve">condiciones mínimas para que puedan competir en condiciones de igualdad no sólo cuantitativa sino cualitativa. </w:t>
      </w:r>
    </w:p>
    <w:p w14:paraId="7E378CB8" w14:textId="28DA4A3E" w:rsidR="00AF020D" w:rsidRPr="00A62343" w:rsidRDefault="00AF020D" w:rsidP="001F54E1">
      <w:pPr>
        <w:spacing w:before="100" w:beforeAutospacing="1" w:after="100" w:afterAutospacing="1" w:line="360" w:lineRule="auto"/>
        <w:jc w:val="both"/>
        <w:rPr>
          <w:rFonts w:ascii="Verdana" w:hAnsi="Verdana"/>
          <w:sz w:val="22"/>
          <w:szCs w:val="22"/>
          <w:lang w:val="es-MX"/>
        </w:rPr>
      </w:pPr>
      <w:bookmarkStart w:id="7" w:name="_heading=h.5l091tksrdu1" w:colFirst="0" w:colLast="0"/>
      <w:bookmarkEnd w:id="7"/>
      <w:r w:rsidRPr="00A62343">
        <w:rPr>
          <w:rFonts w:ascii="Verdana" w:hAnsi="Verdana"/>
          <w:sz w:val="22"/>
          <w:szCs w:val="22"/>
          <w:lang w:val="es-MX"/>
        </w:rPr>
        <w:t xml:space="preserve">Hacerlo de otra forma, es decir, tomar como indicador los resultados obtenidos de la pasada elección de gubernatura, distorsionaría la información sobre las preferencias electorales en los cargos de diputaciones y Ayuntamientos, dado que </w:t>
      </w:r>
      <w:r w:rsidRPr="00A62343">
        <w:rPr>
          <w:rFonts w:ascii="Verdana" w:hAnsi="Verdana"/>
          <w:bCs/>
          <w:sz w:val="22"/>
          <w:szCs w:val="22"/>
          <w:lang w:val="es-MX"/>
        </w:rPr>
        <w:t>la naturaleza de los cargos públicos a renovarse guarda estrecha relación con la voluntad del electorado</w:t>
      </w:r>
      <w:r w:rsidRPr="00A62343">
        <w:rPr>
          <w:rFonts w:ascii="Verdana" w:hAnsi="Verdana"/>
          <w:sz w:val="22"/>
          <w:szCs w:val="22"/>
          <w:lang w:val="es-MX"/>
        </w:rPr>
        <w:t xml:space="preserve"> respecto a la simpatía que mantiene con los partidos políticos de las candidaturas que estos postulan. </w:t>
      </w:r>
    </w:p>
    <w:p w14:paraId="4A91A71E" w14:textId="7275C371" w:rsidR="00AF020D" w:rsidRPr="00A62343" w:rsidRDefault="00AF020D" w:rsidP="001F54E1">
      <w:pPr>
        <w:spacing w:before="100" w:beforeAutospacing="1" w:after="100" w:afterAutospacing="1" w:line="360" w:lineRule="auto"/>
        <w:jc w:val="both"/>
        <w:rPr>
          <w:rFonts w:ascii="Verdana" w:hAnsi="Verdana"/>
          <w:sz w:val="22"/>
          <w:szCs w:val="22"/>
          <w:lang w:val="es-MX"/>
        </w:rPr>
      </w:pPr>
      <w:bookmarkStart w:id="8" w:name="_heading=h.92xevf7tcblm" w:colFirst="0" w:colLast="0"/>
      <w:bookmarkEnd w:id="8"/>
      <w:r w:rsidRPr="00A62343">
        <w:rPr>
          <w:rFonts w:ascii="Verdana" w:hAnsi="Verdana"/>
          <w:sz w:val="22"/>
          <w:szCs w:val="22"/>
          <w:lang w:val="es-MX"/>
        </w:rPr>
        <w:t xml:space="preserve">Finalmente, se debe tener presente que la construcción de una acción afirmativa </w:t>
      </w:r>
      <w:r w:rsidRPr="00A62343">
        <w:rPr>
          <w:rFonts w:ascii="Verdana" w:hAnsi="Verdana"/>
          <w:bCs/>
          <w:sz w:val="22"/>
          <w:szCs w:val="22"/>
          <w:lang w:val="es-MX"/>
        </w:rPr>
        <w:t>debe atender al contexto en que se aplique y del objetivo</w:t>
      </w:r>
      <w:r w:rsidRPr="00A62343">
        <w:rPr>
          <w:rFonts w:ascii="Verdana" w:hAnsi="Verdana"/>
          <w:sz w:val="22"/>
          <w:szCs w:val="22"/>
          <w:lang w:val="es-MX"/>
        </w:rPr>
        <w:t xml:space="preserve"> que se pretende lograr,</w:t>
      </w:r>
      <w:r w:rsidRPr="00A62343">
        <w:rPr>
          <w:rFonts w:ascii="Verdana" w:hAnsi="Verdana"/>
          <w:sz w:val="22"/>
          <w:szCs w:val="22"/>
          <w:vertAlign w:val="superscript"/>
          <w:lang w:val="es-MX"/>
        </w:rPr>
        <w:footnoteReference w:id="45"/>
      </w:r>
      <w:r w:rsidRPr="00A62343">
        <w:rPr>
          <w:rFonts w:ascii="Verdana" w:hAnsi="Verdana"/>
          <w:sz w:val="22"/>
          <w:szCs w:val="22"/>
          <w:lang w:val="es-MX"/>
        </w:rPr>
        <w:t xml:space="preserve"> por lo que </w:t>
      </w:r>
      <w:r w:rsidR="00927426" w:rsidRPr="00A62343">
        <w:rPr>
          <w:rFonts w:ascii="Verdana" w:hAnsi="Verdana"/>
          <w:sz w:val="22"/>
          <w:szCs w:val="22"/>
          <w:lang w:val="es-MX"/>
        </w:rPr>
        <w:t xml:space="preserve">realizar la postulación de candidaturas </w:t>
      </w:r>
      <w:r w:rsidRPr="00A62343">
        <w:rPr>
          <w:rFonts w:ascii="Verdana" w:hAnsi="Verdana"/>
          <w:sz w:val="22"/>
          <w:szCs w:val="22"/>
          <w:lang w:val="es-MX"/>
        </w:rPr>
        <w:t xml:space="preserve">a partir de los resultados obtenidos en el proceso comicial concurrente de 2020-2021, otorga las condiciones adecuadas para que las </w:t>
      </w:r>
      <w:r w:rsidR="00927426" w:rsidRPr="00A62343">
        <w:rPr>
          <w:rFonts w:ascii="Verdana" w:hAnsi="Verdana"/>
          <w:sz w:val="22"/>
          <w:szCs w:val="22"/>
          <w:lang w:val="es-MX"/>
        </w:rPr>
        <w:t>personas pertenecientes a los grupos de atención prioritaria</w:t>
      </w:r>
      <w:r w:rsidRPr="00A62343">
        <w:rPr>
          <w:rFonts w:ascii="Verdana" w:hAnsi="Verdana"/>
          <w:sz w:val="22"/>
          <w:szCs w:val="22"/>
          <w:lang w:val="es-MX"/>
        </w:rPr>
        <w:t xml:space="preserve"> participen en condiciones de competitividad en relación no sólo de la fuerza política que las postule, sino también con el cargo público por el que han de competir, lo que se traduce en que partirán de un punto de arranque efectivo que les permita desplegar sus atributos y capacidades en condiciones de igualdad efectiva.</w:t>
      </w:r>
    </w:p>
    <w:p w14:paraId="230DCF09" w14:textId="3228BF72" w:rsidR="007372F8" w:rsidRPr="00A62343" w:rsidRDefault="007372F8" w:rsidP="007372F8">
      <w:pPr>
        <w:spacing w:before="100" w:beforeAutospacing="1" w:after="100" w:afterAutospacing="1" w:line="360" w:lineRule="auto"/>
        <w:jc w:val="both"/>
        <w:rPr>
          <w:rFonts w:ascii="Verdana" w:hAnsi="Verdana"/>
          <w:sz w:val="22"/>
          <w:szCs w:val="22"/>
        </w:rPr>
      </w:pPr>
      <w:r w:rsidRPr="00A62343">
        <w:rPr>
          <w:rFonts w:ascii="Verdana" w:hAnsi="Verdana"/>
          <w:sz w:val="22"/>
          <w:szCs w:val="22"/>
        </w:rPr>
        <w:t xml:space="preserve">De lo anterior resulta </w:t>
      </w:r>
      <w:r w:rsidRPr="00A62343">
        <w:rPr>
          <w:rFonts w:ascii="Verdana" w:hAnsi="Verdana"/>
          <w:b/>
          <w:bCs/>
          <w:sz w:val="22"/>
          <w:szCs w:val="22"/>
        </w:rPr>
        <w:t>infundado</w:t>
      </w:r>
      <w:r w:rsidRPr="00A62343">
        <w:rPr>
          <w:rFonts w:ascii="Verdana" w:hAnsi="Verdana"/>
          <w:sz w:val="22"/>
          <w:szCs w:val="22"/>
        </w:rPr>
        <w:t xml:space="preserve"> el agravio en estudio. </w:t>
      </w:r>
    </w:p>
    <w:p w14:paraId="3B0417C9" w14:textId="44C7998A" w:rsidR="00F6681E" w:rsidRPr="00A62343" w:rsidRDefault="007372F8" w:rsidP="001F54E1">
      <w:pPr>
        <w:spacing w:before="100" w:beforeAutospacing="1" w:after="100" w:afterAutospacing="1" w:line="360" w:lineRule="auto"/>
        <w:jc w:val="both"/>
        <w:rPr>
          <w:rFonts w:ascii="Verdana" w:eastAsia="Arial" w:hAnsi="Verdana" w:cs="Arial"/>
          <w:b/>
          <w:bCs/>
          <w:color w:val="000000"/>
          <w:sz w:val="22"/>
          <w:szCs w:val="22"/>
        </w:rPr>
      </w:pPr>
      <w:r w:rsidRPr="00A62343">
        <w:rPr>
          <w:rFonts w:ascii="Verdana" w:eastAsia="Arial" w:hAnsi="Verdana" w:cs="Arial"/>
          <w:b/>
          <w:bCs/>
          <w:color w:val="000000"/>
          <w:sz w:val="22"/>
          <w:szCs w:val="22"/>
        </w:rPr>
        <w:t xml:space="preserve">De los </w:t>
      </w:r>
      <w:r w:rsidR="00F6681E" w:rsidRPr="00A62343">
        <w:rPr>
          <w:rFonts w:ascii="Verdana" w:eastAsia="Arial" w:hAnsi="Verdana" w:cs="Arial"/>
          <w:b/>
          <w:bCs/>
          <w:color w:val="000000"/>
          <w:sz w:val="22"/>
          <w:szCs w:val="22"/>
        </w:rPr>
        <w:t>Juicios para la Protección de los Derechos Político-Electorales de la Ciudadanía</w:t>
      </w:r>
    </w:p>
    <w:p w14:paraId="48EFB389" w14:textId="5D29587F" w:rsidR="003300A9" w:rsidRPr="00A62343" w:rsidRDefault="003300A9" w:rsidP="003300A9">
      <w:pPr>
        <w:pStyle w:val="NormalWeb"/>
        <w:spacing w:line="360" w:lineRule="auto"/>
        <w:jc w:val="both"/>
        <w:rPr>
          <w:rFonts w:ascii="Verdana" w:hAnsi="Verdana" w:cs="Arial"/>
          <w:bCs/>
          <w:sz w:val="22"/>
          <w:szCs w:val="22"/>
        </w:rPr>
      </w:pPr>
      <w:r w:rsidRPr="00A62343">
        <w:rPr>
          <w:rFonts w:ascii="Verdana" w:hAnsi="Verdana" w:cs="Arial"/>
          <w:bCs/>
          <w:sz w:val="22"/>
          <w:szCs w:val="22"/>
        </w:rPr>
        <w:t xml:space="preserve">Los agravios aducidos por </w:t>
      </w:r>
      <w:r w:rsidRPr="00A62343">
        <w:rPr>
          <w:rFonts w:ascii="Verdana" w:hAnsi="Verdana" w:cs="Arial"/>
          <w:sz w:val="22"/>
          <w:szCs w:val="22"/>
        </w:rPr>
        <w:t xml:space="preserve">las </w:t>
      </w:r>
      <w:r w:rsidRPr="00A62343">
        <w:rPr>
          <w:rFonts w:ascii="Verdana" w:hAnsi="Verdana"/>
          <w:bCs/>
          <w:smallCaps/>
          <w:sz w:val="22"/>
          <w:szCs w:val="22"/>
        </w:rPr>
        <w:t>Partes Promoventes</w:t>
      </w:r>
      <w:r w:rsidRPr="00A62343">
        <w:rPr>
          <w:rFonts w:ascii="Verdana" w:hAnsi="Verdana" w:cs="Arial"/>
          <w:bCs/>
          <w:sz w:val="22"/>
          <w:szCs w:val="22"/>
        </w:rPr>
        <w:t>, se plantearon de manera idéntica</w:t>
      </w:r>
      <w:r w:rsidR="00CA74F2" w:rsidRPr="00A62343">
        <w:rPr>
          <w:rFonts w:ascii="Verdana" w:hAnsi="Verdana" w:cs="Arial"/>
          <w:bCs/>
          <w:sz w:val="22"/>
          <w:szCs w:val="22"/>
        </w:rPr>
        <w:t xml:space="preserve"> conforme lo </w:t>
      </w:r>
      <w:r w:rsidR="00DA46F9" w:rsidRPr="00A62343">
        <w:rPr>
          <w:rFonts w:ascii="Verdana" w:hAnsi="Verdana" w:cs="Arial"/>
          <w:bCs/>
          <w:sz w:val="22"/>
          <w:szCs w:val="22"/>
        </w:rPr>
        <w:t>siguiente</w:t>
      </w:r>
      <w:r w:rsidRPr="00A62343">
        <w:rPr>
          <w:rFonts w:ascii="Verdana" w:hAnsi="Verdana"/>
          <w:bCs/>
          <w:smallCaps/>
          <w:sz w:val="22"/>
          <w:szCs w:val="22"/>
        </w:rPr>
        <w:t>:</w:t>
      </w:r>
      <w:r w:rsidRPr="00A62343">
        <w:rPr>
          <w:rFonts w:ascii="Verdana" w:hAnsi="Verdana" w:cs="Arial"/>
          <w:bCs/>
          <w:sz w:val="22"/>
          <w:szCs w:val="22"/>
        </w:rPr>
        <w:t xml:space="preserve"> </w:t>
      </w:r>
    </w:p>
    <w:p w14:paraId="2EC77892" w14:textId="77777777" w:rsidR="003300A9" w:rsidRPr="00A62343" w:rsidRDefault="003300A9" w:rsidP="003300A9">
      <w:pPr>
        <w:pStyle w:val="NormalWeb"/>
        <w:numPr>
          <w:ilvl w:val="0"/>
          <w:numId w:val="5"/>
        </w:numPr>
        <w:spacing w:line="360" w:lineRule="auto"/>
        <w:jc w:val="both"/>
        <w:rPr>
          <w:rFonts w:ascii="Verdana" w:hAnsi="Verdana" w:cs="Arial"/>
          <w:bCs/>
          <w:sz w:val="22"/>
          <w:szCs w:val="22"/>
        </w:rPr>
      </w:pPr>
      <w:r w:rsidRPr="00A62343">
        <w:rPr>
          <w:rFonts w:ascii="Verdana" w:hAnsi="Verdana" w:cs="Arial"/>
          <w:bCs/>
          <w:sz w:val="22"/>
          <w:szCs w:val="22"/>
        </w:rPr>
        <w:t xml:space="preserve">La omisión de la </w:t>
      </w:r>
      <w:r w:rsidRPr="00A62343">
        <w:rPr>
          <w:rFonts w:ascii="Verdana" w:hAnsi="Verdana" w:cs="Arial"/>
          <w:bCs/>
          <w:smallCaps/>
          <w:sz w:val="22"/>
          <w:szCs w:val="22"/>
        </w:rPr>
        <w:t>Autoridad Responsable</w:t>
      </w:r>
      <w:r w:rsidRPr="00A62343">
        <w:rPr>
          <w:rFonts w:ascii="Verdana" w:hAnsi="Verdana" w:cs="Arial"/>
          <w:bCs/>
          <w:sz w:val="22"/>
          <w:szCs w:val="22"/>
        </w:rPr>
        <w:t xml:space="preserve"> de no haber considerado una acción afirmativa para los pueblos y/o comunidades indígenas y/o naciones mexicanas, transgrediendo el artículo 2 de la </w:t>
      </w:r>
      <w:r w:rsidRPr="00A62343">
        <w:rPr>
          <w:rFonts w:ascii="Verdana" w:hAnsi="Verdana" w:cs="Arial"/>
          <w:bCs/>
          <w:smallCaps/>
          <w:sz w:val="22"/>
          <w:szCs w:val="22"/>
        </w:rPr>
        <w:t>Constitución Federal</w:t>
      </w:r>
      <w:r w:rsidRPr="00A62343">
        <w:rPr>
          <w:rFonts w:ascii="Verdana" w:hAnsi="Verdana" w:cs="Arial"/>
          <w:bCs/>
          <w:sz w:val="22"/>
          <w:szCs w:val="22"/>
        </w:rPr>
        <w:t>.</w:t>
      </w:r>
    </w:p>
    <w:p w14:paraId="35693ECC" w14:textId="77777777" w:rsidR="003300A9" w:rsidRPr="00A62343" w:rsidRDefault="003300A9" w:rsidP="003300A9">
      <w:pPr>
        <w:pStyle w:val="NormalWeb"/>
        <w:numPr>
          <w:ilvl w:val="0"/>
          <w:numId w:val="5"/>
        </w:numPr>
        <w:spacing w:line="360" w:lineRule="auto"/>
        <w:jc w:val="both"/>
        <w:rPr>
          <w:rFonts w:ascii="Verdana" w:hAnsi="Verdana" w:cs="Arial"/>
          <w:bCs/>
          <w:sz w:val="22"/>
          <w:szCs w:val="22"/>
        </w:rPr>
      </w:pPr>
      <w:r w:rsidRPr="00A62343">
        <w:rPr>
          <w:rFonts w:ascii="Verdana" w:hAnsi="Verdana" w:cs="Arial"/>
          <w:bCs/>
          <w:sz w:val="22"/>
          <w:szCs w:val="22"/>
        </w:rPr>
        <w:t>Violación al principio de progresividad.</w:t>
      </w:r>
    </w:p>
    <w:p w14:paraId="219AF612" w14:textId="77777777" w:rsidR="003300A9" w:rsidRPr="00A62343" w:rsidRDefault="003300A9" w:rsidP="003300A9">
      <w:pPr>
        <w:pStyle w:val="NormalWeb"/>
        <w:numPr>
          <w:ilvl w:val="0"/>
          <w:numId w:val="5"/>
        </w:numPr>
        <w:spacing w:line="360" w:lineRule="auto"/>
        <w:jc w:val="both"/>
        <w:rPr>
          <w:rFonts w:ascii="Verdana" w:hAnsi="Verdana" w:cs="Arial"/>
          <w:bCs/>
          <w:sz w:val="22"/>
          <w:szCs w:val="22"/>
        </w:rPr>
      </w:pPr>
      <w:r w:rsidRPr="00A62343">
        <w:rPr>
          <w:rFonts w:ascii="Verdana" w:hAnsi="Verdana" w:cs="Arial"/>
          <w:bCs/>
          <w:sz w:val="22"/>
          <w:szCs w:val="22"/>
        </w:rPr>
        <w:t>No se consideró la población total indígena en Aguascalientes, ni la población indígena en cada municipio.</w:t>
      </w:r>
    </w:p>
    <w:p w14:paraId="50DEE1D6" w14:textId="77777777" w:rsidR="003300A9" w:rsidRPr="00A62343" w:rsidRDefault="003300A9" w:rsidP="003300A9">
      <w:pPr>
        <w:pStyle w:val="NormalWeb"/>
        <w:numPr>
          <w:ilvl w:val="0"/>
          <w:numId w:val="5"/>
        </w:numPr>
        <w:spacing w:line="360" w:lineRule="auto"/>
        <w:jc w:val="both"/>
        <w:rPr>
          <w:rFonts w:ascii="Verdana" w:hAnsi="Verdana" w:cs="Arial"/>
          <w:bCs/>
          <w:sz w:val="22"/>
          <w:szCs w:val="22"/>
        </w:rPr>
      </w:pPr>
      <w:r w:rsidRPr="00A62343">
        <w:rPr>
          <w:rFonts w:ascii="Verdana" w:hAnsi="Verdana" w:cs="Arial"/>
          <w:bCs/>
          <w:sz w:val="22"/>
          <w:szCs w:val="22"/>
        </w:rPr>
        <w:lastRenderedPageBreak/>
        <w:t xml:space="preserve">La omisión de la </w:t>
      </w:r>
      <w:r w:rsidRPr="00A62343">
        <w:rPr>
          <w:rFonts w:ascii="Verdana" w:hAnsi="Verdana" w:cs="Arial"/>
          <w:bCs/>
          <w:smallCaps/>
          <w:sz w:val="22"/>
          <w:szCs w:val="22"/>
        </w:rPr>
        <w:t>Autoridad Responsable</w:t>
      </w:r>
      <w:r w:rsidRPr="00A62343">
        <w:rPr>
          <w:rFonts w:ascii="Verdana" w:hAnsi="Verdana" w:cs="Arial"/>
          <w:bCs/>
          <w:sz w:val="22"/>
          <w:szCs w:val="22"/>
        </w:rPr>
        <w:t xml:space="preserve"> de realizar una consulta previa, libre, informada y de buena fe a las personas indígenas.</w:t>
      </w:r>
    </w:p>
    <w:p w14:paraId="767D7273" w14:textId="42367726" w:rsidR="007372F8" w:rsidRPr="00A62343" w:rsidRDefault="007372F8"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Por cuestión de método, se considera necesario an</w:t>
      </w:r>
      <w:r w:rsidR="003300A9" w:rsidRPr="00A62343">
        <w:rPr>
          <w:rFonts w:ascii="Verdana" w:hAnsi="Verdana" w:cs="Arial"/>
          <w:sz w:val="22"/>
          <w:szCs w:val="22"/>
        </w:rPr>
        <w:t>alizar lo relativo a</w:t>
      </w:r>
      <w:r w:rsidR="000964C6" w:rsidRPr="00A62343">
        <w:rPr>
          <w:rFonts w:ascii="Verdana" w:hAnsi="Verdana" w:cs="Arial"/>
          <w:sz w:val="22"/>
          <w:szCs w:val="22"/>
        </w:rPr>
        <w:t xml:space="preserve">l </w:t>
      </w:r>
      <w:r w:rsidR="003300A9" w:rsidRPr="00A62343">
        <w:rPr>
          <w:rFonts w:ascii="Verdana" w:hAnsi="Verdana" w:cs="Arial"/>
          <w:sz w:val="22"/>
          <w:szCs w:val="22"/>
        </w:rPr>
        <w:t xml:space="preserve">agravio </w:t>
      </w:r>
      <w:r w:rsidR="003300A9" w:rsidRPr="00A62343">
        <w:rPr>
          <w:rFonts w:ascii="Verdana" w:hAnsi="Verdana" w:cs="Arial"/>
          <w:b/>
          <w:bCs/>
          <w:i/>
          <w:iCs/>
          <w:sz w:val="22"/>
          <w:szCs w:val="22"/>
        </w:rPr>
        <w:t>d)</w:t>
      </w:r>
      <w:r w:rsidR="003300A9" w:rsidRPr="00A62343">
        <w:rPr>
          <w:rFonts w:ascii="Verdana" w:hAnsi="Verdana" w:cs="Arial"/>
          <w:sz w:val="22"/>
          <w:szCs w:val="22"/>
        </w:rPr>
        <w:t xml:space="preserve">, </w:t>
      </w:r>
      <w:r w:rsidR="0068539E" w:rsidRPr="00A62343">
        <w:rPr>
          <w:rFonts w:ascii="Verdana" w:hAnsi="Verdana" w:cs="Arial"/>
          <w:sz w:val="22"/>
          <w:szCs w:val="22"/>
        </w:rPr>
        <w:t xml:space="preserve">toda vez que, de resultar fundado, tendría como consecuencia la modificación o revocación del </w:t>
      </w:r>
      <w:r w:rsidR="0068539E" w:rsidRPr="00A62343">
        <w:rPr>
          <w:rFonts w:ascii="Verdana" w:hAnsi="Verdana" w:cs="Arial"/>
          <w:smallCaps/>
          <w:sz w:val="22"/>
          <w:szCs w:val="22"/>
        </w:rPr>
        <w:t>Acto Impugnado</w:t>
      </w:r>
      <w:r w:rsidR="0068539E" w:rsidRPr="00A62343">
        <w:rPr>
          <w:rFonts w:ascii="Verdana" w:hAnsi="Verdana" w:cs="Arial"/>
          <w:sz w:val="22"/>
          <w:szCs w:val="22"/>
        </w:rPr>
        <w:t xml:space="preserve">, </w:t>
      </w:r>
      <w:r w:rsidR="00DA46F9" w:rsidRPr="00A62343">
        <w:rPr>
          <w:rFonts w:ascii="Verdana" w:hAnsi="Verdana" w:cs="Arial"/>
          <w:sz w:val="22"/>
          <w:szCs w:val="22"/>
        </w:rPr>
        <w:t>atendiendo</w:t>
      </w:r>
      <w:r w:rsidR="003300A9" w:rsidRPr="00A62343">
        <w:rPr>
          <w:rFonts w:ascii="Verdana" w:hAnsi="Verdana" w:cs="Arial"/>
          <w:sz w:val="22"/>
          <w:szCs w:val="22"/>
        </w:rPr>
        <w:t xml:space="preserve"> a lo siguiente:</w:t>
      </w:r>
    </w:p>
    <w:p w14:paraId="6EE02221" w14:textId="44450AF3"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Las etapas y fases del procedimiento para la modificación de los ordenamientos normativos es una exigencia derivada del principio de legalidad, aplicado a la esfera legislativa, como se prevé en el artículo 16 de la </w:t>
      </w:r>
      <w:r w:rsidRPr="00A62343">
        <w:rPr>
          <w:rFonts w:ascii="Verdana" w:hAnsi="Verdana" w:cs="Arial"/>
          <w:smallCaps/>
          <w:sz w:val="22"/>
          <w:szCs w:val="22"/>
        </w:rPr>
        <w:t xml:space="preserve">Constitución </w:t>
      </w:r>
      <w:r w:rsidR="00DA46F9" w:rsidRPr="00A62343">
        <w:rPr>
          <w:rFonts w:ascii="Verdana" w:hAnsi="Verdana" w:cs="Arial"/>
          <w:smallCaps/>
          <w:sz w:val="22"/>
          <w:szCs w:val="22"/>
        </w:rPr>
        <w:t>Federal</w:t>
      </w:r>
      <w:r w:rsidRPr="00A62343">
        <w:rPr>
          <w:rFonts w:ascii="Verdana" w:hAnsi="Verdana" w:cs="Arial"/>
          <w:sz w:val="22"/>
          <w:szCs w:val="22"/>
        </w:rPr>
        <w:t xml:space="preserve">. Pero cuando se trata de reformar, adicionar y/o derogar disposiciones jurídicas en materia electoral, el fundamento para un correcto seguimiento de las fases legislativas está estrechamente vinculado con uno de los principios rectores en la materia, que es el de certeza, como se deriva del artículo 41 de la </w:t>
      </w:r>
      <w:r w:rsidRPr="00A62343">
        <w:rPr>
          <w:rFonts w:ascii="Verdana" w:hAnsi="Verdana" w:cs="Arial"/>
          <w:smallCaps/>
          <w:sz w:val="22"/>
          <w:szCs w:val="22"/>
        </w:rPr>
        <w:t>Constitución Federal</w:t>
      </w:r>
      <w:r w:rsidRPr="00A62343">
        <w:rPr>
          <w:rFonts w:ascii="Verdana" w:hAnsi="Verdana" w:cs="Arial"/>
          <w:sz w:val="22"/>
          <w:szCs w:val="22"/>
        </w:rPr>
        <w:t>.</w:t>
      </w:r>
    </w:p>
    <w:p w14:paraId="278A2E5F" w14:textId="2BC714D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A la luz de los estándares constitucionales y convencionales desarrollados por la doctrina jurisprudencial tanto de la </w:t>
      </w:r>
      <w:r w:rsidRPr="00A62343">
        <w:rPr>
          <w:rFonts w:ascii="Verdana" w:hAnsi="Verdana" w:cs="Arial"/>
          <w:smallCaps/>
          <w:sz w:val="22"/>
          <w:szCs w:val="22"/>
        </w:rPr>
        <w:t>Suprema Corte</w:t>
      </w:r>
      <w:r w:rsidRPr="00A62343">
        <w:rPr>
          <w:rFonts w:ascii="Verdana" w:hAnsi="Verdana" w:cs="Arial"/>
          <w:sz w:val="22"/>
          <w:szCs w:val="22"/>
        </w:rPr>
        <w:t xml:space="preserve">, la </w:t>
      </w:r>
      <w:r w:rsidRPr="00A62343">
        <w:rPr>
          <w:rFonts w:ascii="Verdana" w:hAnsi="Verdana" w:cs="Arial"/>
          <w:smallCaps/>
          <w:sz w:val="22"/>
          <w:szCs w:val="22"/>
        </w:rPr>
        <w:t>Sala Superior</w:t>
      </w:r>
      <w:r w:rsidRPr="00A62343">
        <w:rPr>
          <w:rFonts w:ascii="Verdana" w:hAnsi="Verdana" w:cs="Arial"/>
          <w:sz w:val="22"/>
          <w:szCs w:val="22"/>
        </w:rPr>
        <w:t xml:space="preserve">, y como de la </w:t>
      </w:r>
      <w:r w:rsidR="00287D88" w:rsidRPr="00A62343">
        <w:rPr>
          <w:rFonts w:ascii="Verdana" w:hAnsi="Verdana" w:cs="Arial"/>
          <w:smallCaps/>
          <w:sz w:val="22"/>
          <w:szCs w:val="22"/>
        </w:rPr>
        <w:t>Corte IDH</w:t>
      </w:r>
      <w:r w:rsidRPr="00A62343">
        <w:rPr>
          <w:rFonts w:ascii="Verdana" w:hAnsi="Verdana" w:cs="Arial"/>
          <w:sz w:val="22"/>
          <w:szCs w:val="22"/>
        </w:rPr>
        <w:t>, cuando se está frente a una medida legislativa y las realizadas por autoridades administrativas electorales de cualquier orden de gobierno, susceptibles de afectar a ciertos grupos en situación de vulnerabilidad, se debe reconocer un derecho a ser consultados sobre tales medidas, previo a su adopción por el órgano competente.</w:t>
      </w:r>
    </w:p>
    <w:p w14:paraId="7B21B904" w14:textId="7777777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La </w:t>
      </w:r>
      <w:r w:rsidRPr="00A62343">
        <w:rPr>
          <w:rFonts w:ascii="Verdana" w:hAnsi="Verdana" w:cs="Arial"/>
          <w:smallCaps/>
          <w:sz w:val="22"/>
          <w:szCs w:val="22"/>
        </w:rPr>
        <w:t>Suprema Corte</w:t>
      </w:r>
      <w:r w:rsidRPr="00A62343">
        <w:rPr>
          <w:rFonts w:ascii="Verdana" w:hAnsi="Verdana" w:cs="Arial"/>
          <w:sz w:val="22"/>
          <w:szCs w:val="22"/>
        </w:rPr>
        <w:t>, ha reconocido una doble vertiente de la consulta a estos grupos: (1) como un derecho sustantivo que puede ser jurídicamente reclamado; y, (2) como un requisito constitucional del procedimiento legislativo, cuya ausencia de su cumplimiento puede generar la invalidez completa de un ordenamiento general o bien de determinadas normas que les afecten</w:t>
      </w:r>
      <w:r w:rsidRPr="00A62343">
        <w:rPr>
          <w:rFonts w:ascii="Verdana" w:hAnsi="Verdana" w:cs="Arial"/>
          <w:bCs/>
          <w:sz w:val="22"/>
          <w:szCs w:val="22"/>
          <w:vertAlign w:val="superscript"/>
        </w:rPr>
        <w:footnoteReference w:id="46"/>
      </w:r>
      <w:r w:rsidRPr="00A62343">
        <w:rPr>
          <w:rFonts w:ascii="Verdana" w:hAnsi="Verdana" w:cs="Arial"/>
          <w:sz w:val="22"/>
          <w:szCs w:val="22"/>
        </w:rPr>
        <w:t>.</w:t>
      </w:r>
    </w:p>
    <w:p w14:paraId="57C3CBBB" w14:textId="7777777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Por su parte, la </w:t>
      </w:r>
      <w:r w:rsidRPr="00A62343">
        <w:rPr>
          <w:rFonts w:ascii="Verdana" w:hAnsi="Verdana" w:cs="Arial"/>
          <w:smallCaps/>
          <w:sz w:val="22"/>
          <w:szCs w:val="22"/>
        </w:rPr>
        <w:t>Sala Superior</w:t>
      </w:r>
      <w:r w:rsidRPr="00A62343">
        <w:rPr>
          <w:rFonts w:ascii="Verdana" w:hAnsi="Verdana" w:cs="Arial"/>
          <w:sz w:val="22"/>
          <w:szCs w:val="22"/>
        </w:rPr>
        <w:t xml:space="preserve">, ha señalado que las autoridades administrativas electorales de cualquier orden de gobierno, tienen el deber de consultar a la comunidad interesada, mediante mecanismos </w:t>
      </w:r>
      <w:r w:rsidRPr="00A62343">
        <w:rPr>
          <w:rFonts w:ascii="Verdana" w:hAnsi="Verdana" w:cs="Arial"/>
          <w:sz w:val="22"/>
          <w:szCs w:val="22"/>
        </w:rPr>
        <w:lastRenderedPageBreak/>
        <w:t>eficaces que garanticen su conocimiento, y por conducto de sus instituciones representativas, cada vez que pretendan emitir alguna medida susceptible de afectarles directamente, con el objeto de garantizar la vigencia de sus derechos indígenas y el desarrollo integral de pueblos y comunidades; sin que la opinión que al efecto se emita vincule a la autoridad administrativa, porque se trata de una consulta para determinar si los intereses de los pueblos indígenas serían agraviados.</w:t>
      </w:r>
      <w:r w:rsidRPr="00A62343">
        <w:rPr>
          <w:rStyle w:val="Refdenotaalpie"/>
          <w:rFonts w:ascii="Verdana" w:hAnsi="Verdana" w:cs="Arial"/>
          <w:sz w:val="22"/>
          <w:szCs w:val="22"/>
        </w:rPr>
        <w:footnoteReference w:id="47"/>
      </w:r>
    </w:p>
    <w:p w14:paraId="0D6BB9C0" w14:textId="7777777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Cabe destacar que la </w:t>
      </w:r>
      <w:r w:rsidRPr="00A62343">
        <w:rPr>
          <w:rFonts w:ascii="Verdana" w:hAnsi="Verdana" w:cs="Arial"/>
          <w:smallCaps/>
          <w:sz w:val="22"/>
          <w:szCs w:val="22"/>
        </w:rPr>
        <w:t>Suprema Corte</w:t>
      </w:r>
      <w:r w:rsidRPr="00A62343">
        <w:rPr>
          <w:rFonts w:ascii="Verdana" w:hAnsi="Verdana" w:cs="Arial"/>
          <w:sz w:val="22"/>
          <w:szCs w:val="22"/>
        </w:rPr>
        <w:t>, ha subrayado que, para efecto de determinar si es exigible o no la obligación de consulta a los pueblos y comunidades indígenas y afromexicanas, resulta completamente irrelevante una valoración en el sentido de que la medida impugnada sea o no benéfica para tales grupos a juicio del órgano emisor.</w:t>
      </w:r>
      <w:r w:rsidRPr="00A62343">
        <w:rPr>
          <w:rFonts w:ascii="Verdana" w:hAnsi="Verdana" w:cs="Arial"/>
          <w:bCs/>
          <w:sz w:val="22"/>
          <w:szCs w:val="22"/>
          <w:vertAlign w:val="superscript"/>
        </w:rPr>
        <w:footnoteReference w:id="48"/>
      </w:r>
    </w:p>
    <w:p w14:paraId="78C1B50B" w14:textId="47ADDC2A"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Por tanto, la obligación de consulta representa una garantía del derecho de autodeterminación de estos pueblos y naciones indígenas, por lo que la afectación directa a la que se refiere el artículo 6.1. inciso a), del </w:t>
      </w:r>
      <w:r w:rsidR="000D1B22" w:rsidRPr="00A62343">
        <w:rPr>
          <w:rFonts w:ascii="Verdana" w:hAnsi="Verdana" w:cs="Arial"/>
          <w:smallCaps/>
          <w:sz w:val="22"/>
          <w:szCs w:val="22"/>
        </w:rPr>
        <w:t>Convenio 169</w:t>
      </w:r>
      <w:r w:rsidRPr="00A62343">
        <w:rPr>
          <w:rFonts w:ascii="Verdana" w:hAnsi="Verdana" w:cs="Arial"/>
          <w:sz w:val="22"/>
          <w:szCs w:val="22"/>
        </w:rPr>
        <w:t>, no puede tener una connotación exclusivamente negativa, sino más bien se trata de una acepción mucho más amplia que abarca la generación de cualquier efecto diferenciador en la particular situación de estos pueblos y comunidades.</w:t>
      </w:r>
      <w:r w:rsidRPr="00A62343">
        <w:rPr>
          <w:rFonts w:ascii="Verdana" w:hAnsi="Verdana" w:cs="Arial"/>
          <w:bCs/>
          <w:sz w:val="22"/>
          <w:szCs w:val="22"/>
          <w:vertAlign w:val="superscript"/>
        </w:rPr>
        <w:footnoteReference w:id="49"/>
      </w:r>
    </w:p>
    <w:p w14:paraId="3A4B4CF9" w14:textId="5F86948E"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En tal sentido, en todo acto administrativo que afecte a las personas indígenas, debe incluirse el requisito de consulta previa, libre, informada, culturalmente apropiada y de buena fe, que deriva del artículo 6 del </w:t>
      </w:r>
      <w:r w:rsidR="000D1B22" w:rsidRPr="00A62343">
        <w:rPr>
          <w:rFonts w:ascii="Verdana" w:hAnsi="Verdana" w:cs="Arial"/>
          <w:smallCaps/>
          <w:sz w:val="22"/>
          <w:szCs w:val="22"/>
        </w:rPr>
        <w:t xml:space="preserve">Convenio 169 </w:t>
      </w:r>
      <w:r w:rsidRPr="00A62343">
        <w:rPr>
          <w:rFonts w:ascii="Verdana" w:hAnsi="Verdana" w:cs="Arial"/>
          <w:sz w:val="22"/>
          <w:szCs w:val="22"/>
        </w:rPr>
        <w:t xml:space="preserve">y del artículo 2 de la </w:t>
      </w:r>
      <w:r w:rsidRPr="00A62343">
        <w:rPr>
          <w:rFonts w:ascii="Verdana" w:hAnsi="Verdana" w:cs="Arial"/>
          <w:smallCaps/>
          <w:sz w:val="22"/>
          <w:szCs w:val="22"/>
        </w:rPr>
        <w:t>Constitución Federal</w:t>
      </w:r>
      <w:r w:rsidRPr="00A62343">
        <w:rPr>
          <w:rFonts w:ascii="Verdana" w:hAnsi="Verdana" w:cs="Arial"/>
          <w:sz w:val="22"/>
          <w:szCs w:val="22"/>
        </w:rPr>
        <w:t xml:space="preserve">; ello entendido no sólo como un derecho sustantivo que les asiste en lo individual y lo colectivo a los pueblos y naciones indígenas y afromexicanas, sino también como una garantía de su autodeterminación, lo que se constituye como un mandato adicional que condiciona la validez de las normas reformadas mediante tal procedimiento. </w:t>
      </w:r>
    </w:p>
    <w:p w14:paraId="75D4CE89" w14:textId="4F06DBE4"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Por lo que, todo acto que verse sobre aspectos susceptibles de afectarles directamente a personas indígenas en sus derechos a ser votad</w:t>
      </w:r>
      <w:r w:rsidR="000D1B22" w:rsidRPr="00A62343">
        <w:rPr>
          <w:rFonts w:ascii="Verdana" w:hAnsi="Verdana" w:cs="Arial"/>
          <w:sz w:val="22"/>
          <w:szCs w:val="22"/>
        </w:rPr>
        <w:t>a</w:t>
      </w:r>
      <w:r w:rsidRPr="00A62343">
        <w:rPr>
          <w:rFonts w:ascii="Verdana" w:hAnsi="Verdana" w:cs="Arial"/>
          <w:sz w:val="22"/>
          <w:szCs w:val="22"/>
        </w:rPr>
        <w:t xml:space="preserve">s, y a integrar un órgano de representación, o participar en la dirección de los </w:t>
      </w:r>
      <w:r w:rsidRPr="00A62343">
        <w:rPr>
          <w:rFonts w:ascii="Verdana" w:hAnsi="Verdana" w:cs="Arial"/>
          <w:sz w:val="22"/>
          <w:szCs w:val="22"/>
        </w:rPr>
        <w:lastRenderedPageBreak/>
        <w:t>asuntos públicos, o ejercer las funciones públicas, se está en la obligación de consultarles previamente.</w:t>
      </w:r>
    </w:p>
    <w:p w14:paraId="0004550F" w14:textId="76DE190C"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Asimismo, la Segunda Sala de la </w:t>
      </w:r>
      <w:r w:rsidRPr="00A62343">
        <w:rPr>
          <w:rFonts w:ascii="Verdana" w:hAnsi="Verdana" w:cs="Arial"/>
          <w:smallCaps/>
          <w:sz w:val="22"/>
          <w:szCs w:val="22"/>
        </w:rPr>
        <w:t>Suprema Corte,</w:t>
      </w:r>
      <w:r w:rsidRPr="00A62343">
        <w:rPr>
          <w:rFonts w:ascii="Verdana" w:hAnsi="Verdana" w:cs="Arial"/>
          <w:sz w:val="22"/>
          <w:szCs w:val="22"/>
        </w:rPr>
        <w:t xml:space="preserve"> determin</w:t>
      </w:r>
      <w:r w:rsidR="000D1B22" w:rsidRPr="00A62343">
        <w:rPr>
          <w:rFonts w:ascii="Verdana" w:hAnsi="Verdana" w:cs="Arial"/>
          <w:sz w:val="22"/>
          <w:szCs w:val="22"/>
        </w:rPr>
        <w:t>ó</w:t>
      </w:r>
      <w:r w:rsidRPr="00A62343">
        <w:rPr>
          <w:rFonts w:ascii="Verdana" w:hAnsi="Verdana" w:cs="Arial"/>
          <w:sz w:val="22"/>
          <w:szCs w:val="22"/>
        </w:rPr>
        <w:t xml:space="preserve"> que el derecho humano a la consulta previa, libre, informada, culturalmente adecuada y de buena fe, debe realizarse ante la mera posibilidad de afectación o incidencia en los derechos de los pueblos y comunidades indígenas, sin que resulte exigible acreditar el daño ni su impacto significativo; pues conforme al Derecho Internacional de los Derechos Humanos, así como al corpus iuris de los pueblos indígenas y tribales, el deber de realizar una consulta previa no depende de la demostración de una afectación real a sus derechos, sino de la susceptibilidad de que puedan llegar a dañarse, pues uno de los objetos del procedimiento es determinar si los intereses de los pueblos indígenas serán perjudicados. Es decir, más allá del "grado de afectación" que pudiese tener una determinada decisión estatal, lo relevante es tener en cuenta que, si ésta es susceptible de impactar o ser resentida por las comunidades indígenas de manera directa o diferenciada al resto de la población, resultará necesario garantizar su participación. Por ende, el nivel de impacto o magnitud de la afectación es una cuestión que debe valorarse no para determinar la procedencia de la consulta, sino para determinar si en el proceso consultivo es suficiente con tomar en cuenta las opiniones de la comunidad indígena o, por el contrario, si resulta necesario obtener su consentimiento. En el entendido de que la exigencia de consentimiento no confiere a los pueblos y las comunidades indígenas un poder de veto, sino que más bien establece la necesidad de elaborar procedimientos de consulta con el fin de hacer todo lo posible por lograr el consenso de todas las partes interesadas.</w:t>
      </w:r>
      <w:r w:rsidRPr="00A62343">
        <w:rPr>
          <w:rStyle w:val="Refdenotaalpie"/>
          <w:rFonts w:ascii="Verdana" w:hAnsi="Verdana" w:cs="Arial"/>
          <w:sz w:val="22"/>
          <w:szCs w:val="22"/>
        </w:rPr>
        <w:footnoteReference w:id="50"/>
      </w:r>
    </w:p>
    <w:p w14:paraId="49AEF164" w14:textId="7777777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Ahora bien, la </w:t>
      </w:r>
      <w:r w:rsidRPr="00A62343">
        <w:rPr>
          <w:rFonts w:ascii="Verdana" w:hAnsi="Verdana" w:cs="Arial"/>
          <w:smallCaps/>
          <w:sz w:val="22"/>
          <w:szCs w:val="22"/>
        </w:rPr>
        <w:t>Suprema Corte</w:t>
      </w:r>
      <w:r w:rsidRPr="00A62343">
        <w:rPr>
          <w:rFonts w:ascii="Verdana" w:hAnsi="Verdana" w:cs="Arial"/>
          <w:sz w:val="22"/>
          <w:szCs w:val="22"/>
        </w:rPr>
        <w:t xml:space="preserve">, ha señalado que de conformidad con los estándares internacionales en materia de protección a los derechos de las comunidades indígenas, las características específicas del procedimiento de consulta variarán necesariamente en función de la naturaleza de la medida propuesta y del impacto sobre los grupos indígenas, por lo que las autoridades deben cumplir con los estándares siguientes: </w:t>
      </w:r>
      <w:r w:rsidRPr="00A62343">
        <w:rPr>
          <w:rFonts w:ascii="Verdana" w:hAnsi="Verdana" w:cs="Arial"/>
          <w:b/>
          <w:bCs/>
          <w:sz w:val="22"/>
          <w:szCs w:val="22"/>
        </w:rPr>
        <w:t>a)</w:t>
      </w:r>
      <w:r w:rsidRPr="00A62343">
        <w:rPr>
          <w:rFonts w:ascii="Verdana" w:hAnsi="Verdana" w:cs="Arial"/>
          <w:sz w:val="22"/>
          <w:szCs w:val="22"/>
        </w:rPr>
        <w:t xml:space="preserve"> previa al acto, toda vez que debe llevarse a cabo durante </w:t>
      </w:r>
      <w:r w:rsidRPr="00A62343">
        <w:rPr>
          <w:rFonts w:ascii="Verdana" w:hAnsi="Verdana" w:cs="Arial"/>
          <w:sz w:val="22"/>
          <w:szCs w:val="22"/>
        </w:rPr>
        <w:lastRenderedPageBreak/>
        <w:t xml:space="preserve">la fase de planificación del proyecto, con suficiente antelación al comienzo de las actividades de ejecución; </w:t>
      </w:r>
      <w:r w:rsidRPr="00A62343">
        <w:rPr>
          <w:rFonts w:ascii="Verdana" w:hAnsi="Verdana" w:cs="Arial"/>
          <w:b/>
          <w:bCs/>
          <w:sz w:val="22"/>
          <w:szCs w:val="22"/>
        </w:rPr>
        <w:t>b)</w:t>
      </w:r>
      <w:r w:rsidRPr="00A62343">
        <w:rPr>
          <w:rFonts w:ascii="Verdana" w:hAnsi="Verdana" w:cs="Arial"/>
          <w:sz w:val="22"/>
          <w:szCs w:val="22"/>
        </w:rPr>
        <w:t xml:space="preserve"> culturalmente adecuada, ya que debe respetar sus costumbres y tradiciones, considerando en todo momento los métodos tradicionales que utilizan en la toma de sus decisiones; en ese sentido, las decisiones que las comunidades indígenas tomen de acuerdo con el ejercicio de sus usos y costumbres deben respetarse en todo momento, lo que implica que las autoridades deben llevar a cabo la consulta, a través de medios e instrumentos idóneos para las comunidades indígenas, de suerte que la falta de acceso a las tecnologías de la información, no signifique un menoscabo en el ejercicio de este derecho; </w:t>
      </w:r>
      <w:r w:rsidRPr="00A62343">
        <w:rPr>
          <w:rFonts w:ascii="Verdana" w:hAnsi="Verdana" w:cs="Arial"/>
          <w:b/>
          <w:bCs/>
          <w:sz w:val="22"/>
          <w:szCs w:val="22"/>
        </w:rPr>
        <w:t>c)</w:t>
      </w:r>
      <w:r w:rsidRPr="00A62343">
        <w:rPr>
          <w:rFonts w:ascii="Verdana" w:hAnsi="Verdana" w:cs="Arial"/>
          <w:sz w:val="22"/>
          <w:szCs w:val="22"/>
        </w:rPr>
        <w:t xml:space="preserve"> informada, al exigir la existencia </w:t>
      </w:r>
      <w:bookmarkStart w:id="9" w:name="_Hlk151592792"/>
      <w:r w:rsidRPr="00A62343">
        <w:rPr>
          <w:rFonts w:ascii="Verdana" w:hAnsi="Verdana" w:cs="Arial"/>
          <w:sz w:val="22"/>
          <w:szCs w:val="22"/>
        </w:rPr>
        <w:t xml:space="preserve">de información precisa sobre la naturaleza y consecuencias del proyecto, </w:t>
      </w:r>
      <w:bookmarkEnd w:id="9"/>
      <w:r w:rsidRPr="00A62343">
        <w:rPr>
          <w:rFonts w:ascii="Verdana" w:hAnsi="Verdana" w:cs="Arial"/>
          <w:sz w:val="22"/>
          <w:szCs w:val="22"/>
        </w:rPr>
        <w:t xml:space="preserve">debiendo adoptar todas las medidas necesarias para que sea comprensible, por lo que si así lo requiere el caso concreto, deberá ser proporcionada en las lenguas o idiomas de las comunidades o pueblos involucrados, así como con todos los elementos necesarios para su entendimiento, de manera que los tecnicismos científicos no constituyan una barrera para que las comunidades puedan emitir una opinión; y </w:t>
      </w:r>
      <w:r w:rsidRPr="00A62343">
        <w:rPr>
          <w:rFonts w:ascii="Verdana" w:hAnsi="Verdana" w:cs="Arial"/>
          <w:b/>
          <w:bCs/>
          <w:sz w:val="22"/>
          <w:szCs w:val="22"/>
        </w:rPr>
        <w:t>d)</w:t>
      </w:r>
      <w:r w:rsidRPr="00A62343">
        <w:rPr>
          <w:rFonts w:ascii="Verdana" w:hAnsi="Verdana" w:cs="Arial"/>
          <w:sz w:val="22"/>
          <w:szCs w:val="22"/>
        </w:rPr>
        <w:t xml:space="preserve"> de buena fe, pues la consulta exige la ausencia de cualquier tipo de coerción por parte del Estado o de particulares que actúen con su autorización o aquiescencia. Asimismo, debe efectuarse fuera de un ambiente hostil que obligue a las comunidades o pueblos indígenas a tomar una decisión viciada o precipitada.</w:t>
      </w:r>
      <w:r w:rsidRPr="00A62343">
        <w:rPr>
          <w:rStyle w:val="Refdenotaalpie"/>
          <w:rFonts w:ascii="Verdana" w:hAnsi="Verdana" w:cs="Arial"/>
          <w:sz w:val="22"/>
          <w:szCs w:val="22"/>
        </w:rPr>
        <w:footnoteReference w:id="51"/>
      </w:r>
    </w:p>
    <w:p w14:paraId="576F5F32" w14:textId="77777777" w:rsidR="002B21D4" w:rsidRPr="00A62343" w:rsidRDefault="002B21D4" w:rsidP="001F54E1">
      <w:pPr>
        <w:pStyle w:val="Estilo"/>
        <w:spacing w:before="100" w:beforeAutospacing="1" w:after="100" w:afterAutospacing="1" w:line="360" w:lineRule="auto"/>
        <w:rPr>
          <w:rFonts w:ascii="Verdana" w:eastAsia="Times New Roman" w:hAnsi="Verdana" w:cs="Arial"/>
          <w:sz w:val="22"/>
          <w:lang w:eastAsia="es-MX"/>
        </w:rPr>
      </w:pPr>
      <w:r w:rsidRPr="00A62343">
        <w:rPr>
          <w:rFonts w:ascii="Verdana" w:eastAsia="Times New Roman" w:hAnsi="Verdana" w:cs="Arial"/>
          <w:sz w:val="22"/>
          <w:lang w:eastAsia="es-MX"/>
        </w:rPr>
        <w:t xml:space="preserve">El Relator Especial de Naciones Unidas sobre derechos indígenas, ha señalado que el deber de consulta “es aplicable siempre que una decisión del Estado pueda afectar a los pueblos indígenas </w:t>
      </w:r>
      <w:r w:rsidRPr="00A62343">
        <w:rPr>
          <w:rFonts w:ascii="Verdana" w:eastAsia="Times New Roman" w:hAnsi="Verdana" w:cs="Arial"/>
          <w:b/>
          <w:sz w:val="22"/>
          <w:lang w:eastAsia="es-MX"/>
        </w:rPr>
        <w:t xml:space="preserve">en modos no percibidos por otros individuos de la sociedad. </w:t>
      </w:r>
      <w:r w:rsidRPr="00A62343">
        <w:rPr>
          <w:rFonts w:ascii="Verdana" w:eastAsia="Times New Roman" w:hAnsi="Verdana" w:cs="Arial"/>
          <w:sz w:val="22"/>
          <w:lang w:eastAsia="es-MX"/>
        </w:rPr>
        <w:t>Una incidencia diferenciada de esa índole se presenta cuando la decisión se relaciona con los intereses o las condiciones específicos de determinados pueblos indígenas, incluso si la decisión tiene efectos más amplios, como es el caso de ciertas leyes.</w:t>
      </w:r>
      <w:r w:rsidRPr="00A62343">
        <w:rPr>
          <w:rStyle w:val="Refdenotaalpie"/>
          <w:rFonts w:ascii="Verdana" w:eastAsia="Times New Roman" w:hAnsi="Verdana" w:cs="Arial"/>
          <w:sz w:val="22"/>
          <w:lang w:eastAsia="es-MX"/>
        </w:rPr>
        <w:footnoteReference w:id="52"/>
      </w:r>
      <w:r w:rsidRPr="00A62343">
        <w:rPr>
          <w:rFonts w:ascii="Verdana" w:eastAsia="Times New Roman" w:hAnsi="Verdana" w:cs="Arial"/>
          <w:sz w:val="22"/>
          <w:lang w:eastAsia="es-MX"/>
        </w:rPr>
        <w:t xml:space="preserve"> </w:t>
      </w:r>
    </w:p>
    <w:p w14:paraId="66A3E125" w14:textId="7ED16A0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En tal sentido, </w:t>
      </w:r>
      <w:r w:rsidRPr="00A62343">
        <w:rPr>
          <w:rFonts w:ascii="Verdana" w:hAnsi="Verdana" w:cs="Arial"/>
          <w:b/>
          <w:bCs/>
          <w:sz w:val="22"/>
          <w:szCs w:val="22"/>
        </w:rPr>
        <w:t>es fundado, pero ineficaz</w:t>
      </w:r>
      <w:r w:rsidRPr="00A62343">
        <w:rPr>
          <w:rFonts w:ascii="Verdana" w:hAnsi="Verdana" w:cs="Arial"/>
          <w:sz w:val="22"/>
          <w:szCs w:val="22"/>
        </w:rPr>
        <w:t xml:space="preserve">, el agravio planteado, toda vez que, la </w:t>
      </w:r>
      <w:r w:rsidRPr="00A62343">
        <w:rPr>
          <w:rFonts w:ascii="Verdana" w:hAnsi="Verdana" w:cs="Arial"/>
          <w:smallCaps/>
          <w:sz w:val="22"/>
          <w:szCs w:val="22"/>
        </w:rPr>
        <w:t>Autoridad Responsable</w:t>
      </w:r>
      <w:r w:rsidRPr="00A62343">
        <w:rPr>
          <w:rFonts w:ascii="Verdana" w:hAnsi="Verdana" w:cs="Arial"/>
          <w:sz w:val="22"/>
          <w:szCs w:val="22"/>
        </w:rPr>
        <w:t xml:space="preserve">, no llevó a cabo la consulta adecuada, pues como se advierte en el documento digital denominado “Diálogos </w:t>
      </w:r>
      <w:r w:rsidRPr="00A62343">
        <w:rPr>
          <w:rFonts w:ascii="Verdana" w:hAnsi="Verdana" w:cs="Arial"/>
          <w:sz w:val="22"/>
          <w:szCs w:val="22"/>
        </w:rPr>
        <w:lastRenderedPageBreak/>
        <w:t>por una Democracia Inclusiva”,</w:t>
      </w:r>
      <w:r w:rsidRPr="00A62343">
        <w:rPr>
          <w:rStyle w:val="Refdenotaalpie"/>
          <w:rFonts w:ascii="Verdana" w:hAnsi="Verdana" w:cs="Arial"/>
          <w:sz w:val="22"/>
          <w:szCs w:val="22"/>
        </w:rPr>
        <w:footnoteReference w:id="53"/>
      </w:r>
      <w:r w:rsidRPr="00A62343">
        <w:rPr>
          <w:rFonts w:ascii="Verdana" w:hAnsi="Verdana" w:cs="Arial"/>
          <w:sz w:val="22"/>
          <w:szCs w:val="22"/>
        </w:rPr>
        <w:t xml:space="preserve"> el </w:t>
      </w:r>
      <w:r w:rsidRPr="00A62343">
        <w:rPr>
          <w:rFonts w:ascii="Verdana" w:hAnsi="Verdana" w:cs="Arial"/>
          <w:smallCaps/>
          <w:sz w:val="22"/>
          <w:szCs w:val="22"/>
        </w:rPr>
        <w:t>Instituto</w:t>
      </w:r>
      <w:r w:rsidRPr="00A62343">
        <w:rPr>
          <w:rFonts w:ascii="Verdana" w:hAnsi="Verdana" w:cs="Arial"/>
          <w:sz w:val="22"/>
          <w:szCs w:val="22"/>
        </w:rPr>
        <w:t xml:space="preserve">, no satisface los requisitos de una auténtica consulta estrecha, a partir de los parámetros establecidos por la </w:t>
      </w:r>
      <w:r w:rsidR="000D1B22" w:rsidRPr="00A62343">
        <w:rPr>
          <w:rFonts w:ascii="Verdana" w:hAnsi="Verdana" w:cs="Arial"/>
          <w:smallCaps/>
          <w:sz w:val="22"/>
          <w:szCs w:val="22"/>
        </w:rPr>
        <w:t>Suprema Corte</w:t>
      </w:r>
      <w:r w:rsidRPr="00A62343">
        <w:rPr>
          <w:rFonts w:ascii="Verdana" w:hAnsi="Verdana" w:cs="Arial"/>
          <w:sz w:val="22"/>
          <w:szCs w:val="22"/>
        </w:rPr>
        <w:t xml:space="preserve"> y a nivel del derecho interamericano, ya que no se demuestra que se hubieran establecido previamente criterios claros en cuanto a la forma de la consulta y la representatividad de l</w:t>
      </w:r>
      <w:r w:rsidR="000D1B22" w:rsidRPr="00A62343">
        <w:rPr>
          <w:rFonts w:ascii="Verdana" w:hAnsi="Verdana" w:cs="Arial"/>
          <w:sz w:val="22"/>
          <w:szCs w:val="22"/>
        </w:rPr>
        <w:t>a</w:t>
      </w:r>
      <w:r w:rsidRPr="00A62343">
        <w:rPr>
          <w:rFonts w:ascii="Verdana" w:hAnsi="Verdana" w:cs="Arial"/>
          <w:sz w:val="22"/>
          <w:szCs w:val="22"/>
        </w:rPr>
        <w:t>s</w:t>
      </w:r>
      <w:r w:rsidR="000D1B22" w:rsidRPr="00A62343">
        <w:rPr>
          <w:rFonts w:ascii="Verdana" w:hAnsi="Verdana" w:cs="Arial"/>
          <w:sz w:val="22"/>
          <w:szCs w:val="22"/>
        </w:rPr>
        <w:t xml:space="preserve"> personas</w:t>
      </w:r>
      <w:r w:rsidRPr="00A62343">
        <w:rPr>
          <w:rFonts w:ascii="Verdana" w:hAnsi="Verdana" w:cs="Arial"/>
          <w:sz w:val="22"/>
          <w:szCs w:val="22"/>
        </w:rPr>
        <w:t xml:space="preserve"> indígenas, tampoco se observa que dichos diálogos tuvieran como objetivo el propiciar consensos en el marco del respeto a las costumbres indígenas; por tanto, no se instruyó un procedimiento adecuado, formal y transparente que tuviera la finalidad llegar a un acuerdo, así como tampoco se informó de forma precisa sobre la naturaleza y consecuencias del proyecto.</w:t>
      </w:r>
      <w:r w:rsidRPr="00A62343">
        <w:rPr>
          <w:rStyle w:val="Refdenotaalpie"/>
          <w:rFonts w:ascii="Verdana" w:hAnsi="Verdana" w:cs="Arial"/>
          <w:sz w:val="22"/>
          <w:szCs w:val="22"/>
        </w:rPr>
        <w:footnoteReference w:id="54"/>
      </w:r>
    </w:p>
    <w:p w14:paraId="38013C6E" w14:textId="7777777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b/>
          <w:bCs/>
          <w:sz w:val="22"/>
          <w:szCs w:val="22"/>
        </w:rPr>
        <w:t xml:space="preserve">Al respecto, la </w:t>
      </w:r>
      <w:r w:rsidRPr="00A62343">
        <w:rPr>
          <w:rFonts w:ascii="Verdana" w:hAnsi="Verdana" w:cs="Arial"/>
          <w:b/>
          <w:bCs/>
          <w:smallCaps/>
          <w:sz w:val="22"/>
          <w:szCs w:val="22"/>
        </w:rPr>
        <w:t>Sala Superior</w:t>
      </w:r>
      <w:r w:rsidRPr="00A62343">
        <w:rPr>
          <w:rFonts w:ascii="Verdana" w:hAnsi="Verdana" w:cs="Arial"/>
          <w:b/>
          <w:bCs/>
          <w:sz w:val="22"/>
          <w:szCs w:val="22"/>
        </w:rPr>
        <w:t xml:space="preserve"> ha señalado que, en atención al principio de definitividad, existe inviabilidad para llevar a cabo una nueva consulta, ante el hecho de que un proceso electoral en curso se encuentre avanzado</w:t>
      </w:r>
      <w:r w:rsidRPr="00A62343">
        <w:rPr>
          <w:rFonts w:ascii="Verdana" w:hAnsi="Verdana" w:cs="Arial"/>
          <w:sz w:val="22"/>
          <w:szCs w:val="22"/>
        </w:rPr>
        <w:t>.</w:t>
      </w:r>
      <w:r w:rsidRPr="00A62343">
        <w:rPr>
          <w:rStyle w:val="Refdenotaalpie"/>
          <w:rFonts w:ascii="Verdana" w:hAnsi="Verdana" w:cs="Arial"/>
          <w:sz w:val="22"/>
          <w:szCs w:val="22"/>
        </w:rPr>
        <w:footnoteReference w:id="55"/>
      </w:r>
      <w:r w:rsidRPr="00A62343">
        <w:rPr>
          <w:rFonts w:ascii="Verdana" w:hAnsi="Verdana" w:cs="Arial"/>
          <w:sz w:val="22"/>
          <w:szCs w:val="22"/>
        </w:rPr>
        <w:t xml:space="preserve">  </w:t>
      </w:r>
    </w:p>
    <w:p w14:paraId="227828B2" w14:textId="67DEFD60"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Por tanto, ante lo avanzado del proceso electoral en el Estado de Aguascalientes, </w:t>
      </w:r>
      <w:r w:rsidRPr="00A62343">
        <w:rPr>
          <w:rFonts w:ascii="Verdana" w:hAnsi="Verdana" w:cs="Arial"/>
          <w:b/>
          <w:bCs/>
          <w:sz w:val="22"/>
          <w:szCs w:val="22"/>
        </w:rPr>
        <w:t xml:space="preserve">no es viable ordenar una nueva consulta; sin embargo, </w:t>
      </w:r>
      <w:r w:rsidRPr="00A62343">
        <w:rPr>
          <w:rFonts w:ascii="Verdana" w:hAnsi="Verdana" w:cs="Arial"/>
          <w:sz w:val="22"/>
          <w:szCs w:val="22"/>
        </w:rPr>
        <w:t xml:space="preserve">se considera procedente vincular a la </w:t>
      </w:r>
      <w:r w:rsidRPr="00A62343">
        <w:rPr>
          <w:rFonts w:ascii="Verdana" w:hAnsi="Verdana" w:cs="Arial"/>
          <w:smallCaps/>
          <w:sz w:val="22"/>
          <w:szCs w:val="22"/>
        </w:rPr>
        <w:t>Autoridad Responsable</w:t>
      </w:r>
      <w:r w:rsidRPr="00A62343">
        <w:rPr>
          <w:rFonts w:ascii="Verdana" w:hAnsi="Verdana" w:cs="Arial"/>
          <w:sz w:val="22"/>
          <w:szCs w:val="22"/>
        </w:rPr>
        <w:t xml:space="preserve">, para que en los procesos electorales ulteriores, atienda en su justa dimensión los parámetros que ha establecido la </w:t>
      </w:r>
      <w:r w:rsidRPr="00A62343">
        <w:rPr>
          <w:rFonts w:ascii="Verdana" w:hAnsi="Verdana" w:cs="Arial"/>
          <w:smallCaps/>
          <w:sz w:val="22"/>
          <w:szCs w:val="22"/>
        </w:rPr>
        <w:t xml:space="preserve">Suprema Corte, </w:t>
      </w:r>
      <w:r w:rsidR="000D1B22" w:rsidRPr="00A62343">
        <w:rPr>
          <w:rFonts w:ascii="Verdana" w:hAnsi="Verdana" w:cs="Arial"/>
          <w:sz w:val="22"/>
          <w:szCs w:val="22"/>
        </w:rPr>
        <w:t>la</w:t>
      </w:r>
      <w:r w:rsidR="000D1B22" w:rsidRPr="00A62343">
        <w:rPr>
          <w:rFonts w:ascii="Verdana" w:hAnsi="Verdana" w:cs="Arial"/>
          <w:smallCaps/>
          <w:sz w:val="22"/>
          <w:szCs w:val="22"/>
        </w:rPr>
        <w:t xml:space="preserve"> </w:t>
      </w:r>
      <w:r w:rsidRPr="00A62343">
        <w:rPr>
          <w:rFonts w:ascii="Verdana" w:hAnsi="Verdana" w:cs="Arial"/>
          <w:smallCaps/>
          <w:sz w:val="22"/>
          <w:szCs w:val="22"/>
        </w:rPr>
        <w:t>Sala Superior</w:t>
      </w:r>
      <w:r w:rsidRPr="00A62343">
        <w:rPr>
          <w:rFonts w:ascii="Verdana" w:hAnsi="Verdana" w:cs="Arial"/>
          <w:sz w:val="22"/>
          <w:szCs w:val="22"/>
        </w:rPr>
        <w:t xml:space="preserve"> y los organismos interamericanos en materia de consultas (independientemente de la materia o grupo de atención prioritaria al que se dirige), con la finalidad de garantizar la participación efectiva y estrecha de quienes serán destinatarios de la actuación de esa autoridad.</w:t>
      </w:r>
    </w:p>
    <w:p w14:paraId="76BDFB3E" w14:textId="6314793B" w:rsidR="002B21D4" w:rsidRPr="00A62343" w:rsidRDefault="00C269B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Referente a los motivos de disensos </w:t>
      </w:r>
      <w:r w:rsidRPr="00A62343">
        <w:rPr>
          <w:rFonts w:ascii="Verdana" w:hAnsi="Verdana" w:cs="Arial"/>
          <w:b/>
          <w:bCs/>
          <w:i/>
          <w:iCs/>
          <w:sz w:val="22"/>
          <w:szCs w:val="22"/>
        </w:rPr>
        <w:t>a)</w:t>
      </w:r>
      <w:r w:rsidRPr="00A62343">
        <w:rPr>
          <w:rFonts w:ascii="Verdana" w:hAnsi="Verdana" w:cs="Arial"/>
          <w:sz w:val="22"/>
          <w:szCs w:val="22"/>
        </w:rPr>
        <w:t xml:space="preserve"> y </w:t>
      </w:r>
      <w:r w:rsidRPr="00A62343">
        <w:rPr>
          <w:rFonts w:ascii="Verdana" w:hAnsi="Verdana" w:cs="Arial"/>
          <w:b/>
          <w:bCs/>
          <w:i/>
          <w:iCs/>
          <w:sz w:val="22"/>
          <w:szCs w:val="22"/>
        </w:rPr>
        <w:t>c),</w:t>
      </w:r>
      <w:r w:rsidRPr="00A62343">
        <w:rPr>
          <w:rFonts w:ascii="Verdana" w:hAnsi="Verdana" w:cs="Arial"/>
          <w:sz w:val="22"/>
          <w:szCs w:val="22"/>
        </w:rPr>
        <w:t xml:space="preserve"> </w:t>
      </w:r>
      <w:r w:rsidR="002B21D4" w:rsidRPr="00A62343">
        <w:rPr>
          <w:rFonts w:ascii="Verdana" w:hAnsi="Verdana" w:cs="Arial"/>
          <w:sz w:val="22"/>
          <w:szCs w:val="22"/>
        </w:rPr>
        <w:t>l</w:t>
      </w:r>
      <w:r w:rsidR="004B2F8F" w:rsidRPr="00A62343">
        <w:rPr>
          <w:rFonts w:ascii="Verdana" w:hAnsi="Verdana" w:cs="Arial"/>
          <w:sz w:val="22"/>
          <w:szCs w:val="22"/>
        </w:rPr>
        <w:t>a</w:t>
      </w:r>
      <w:r w:rsidR="002B21D4" w:rsidRPr="00A62343">
        <w:rPr>
          <w:rFonts w:ascii="Verdana" w:hAnsi="Verdana" w:cs="Arial"/>
          <w:sz w:val="22"/>
          <w:szCs w:val="22"/>
        </w:rPr>
        <w:t xml:space="preserve">s </w:t>
      </w:r>
      <w:r w:rsidR="004B2F8F" w:rsidRPr="00A62343">
        <w:rPr>
          <w:rFonts w:ascii="Verdana" w:hAnsi="Verdana"/>
          <w:bCs/>
          <w:smallCaps/>
          <w:sz w:val="22"/>
          <w:szCs w:val="22"/>
        </w:rPr>
        <w:t>Partes</w:t>
      </w:r>
      <w:r w:rsidR="004B2F8F" w:rsidRPr="00A62343">
        <w:rPr>
          <w:rFonts w:ascii="Verdana" w:hAnsi="Verdana"/>
          <w:bCs/>
          <w:sz w:val="22"/>
          <w:szCs w:val="22"/>
        </w:rPr>
        <w:t xml:space="preserve"> </w:t>
      </w:r>
      <w:r w:rsidR="004B2F8F" w:rsidRPr="00A62343">
        <w:rPr>
          <w:rFonts w:ascii="Verdana" w:hAnsi="Verdana"/>
          <w:bCs/>
          <w:smallCaps/>
          <w:sz w:val="22"/>
          <w:szCs w:val="22"/>
        </w:rPr>
        <w:t>Promoventes</w:t>
      </w:r>
      <w:r w:rsidR="002B21D4" w:rsidRPr="00A62343">
        <w:rPr>
          <w:rFonts w:ascii="Verdana" w:hAnsi="Verdana" w:cs="Arial"/>
          <w:sz w:val="22"/>
          <w:szCs w:val="22"/>
        </w:rPr>
        <w:t xml:space="preserve">, señalan que la </w:t>
      </w:r>
      <w:r w:rsidR="002B21D4" w:rsidRPr="00A62343">
        <w:rPr>
          <w:rFonts w:ascii="Verdana" w:hAnsi="Verdana" w:cs="Arial"/>
          <w:smallCaps/>
          <w:sz w:val="22"/>
          <w:szCs w:val="22"/>
        </w:rPr>
        <w:t>Autoridad Responsable</w:t>
      </w:r>
      <w:r w:rsidR="002B21D4" w:rsidRPr="00A62343">
        <w:rPr>
          <w:rFonts w:ascii="Verdana" w:hAnsi="Verdana" w:cs="Arial"/>
          <w:sz w:val="22"/>
          <w:szCs w:val="22"/>
        </w:rPr>
        <w:t>, no consideró acciones afirmativas a favor</w:t>
      </w:r>
      <w:r w:rsidR="004B2F8F" w:rsidRPr="00A62343">
        <w:rPr>
          <w:rFonts w:ascii="Verdana" w:hAnsi="Verdana" w:cs="Arial"/>
          <w:sz w:val="22"/>
          <w:szCs w:val="22"/>
        </w:rPr>
        <w:t xml:space="preserve"> de</w:t>
      </w:r>
      <w:r w:rsidR="002B21D4" w:rsidRPr="00A62343">
        <w:rPr>
          <w:rFonts w:ascii="Verdana" w:hAnsi="Verdana" w:cs="Arial"/>
          <w:sz w:val="22"/>
          <w:szCs w:val="22"/>
        </w:rPr>
        <w:t xml:space="preserve"> la población indígena, así como tampoco consideró la población total indígena en Aguascalientes.</w:t>
      </w:r>
    </w:p>
    <w:p w14:paraId="715C7DC5" w14:textId="4D789B82"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lastRenderedPageBreak/>
        <w:t xml:space="preserve">Son </w:t>
      </w:r>
      <w:r w:rsidRPr="00A62343">
        <w:rPr>
          <w:rFonts w:ascii="Verdana" w:hAnsi="Verdana" w:cs="Arial"/>
          <w:b/>
          <w:bCs/>
          <w:sz w:val="22"/>
          <w:szCs w:val="22"/>
        </w:rPr>
        <w:t>fundados los agravios suplidos en su deficiencia,</w:t>
      </w:r>
      <w:r w:rsidRPr="00A62343">
        <w:rPr>
          <w:rFonts w:ascii="Verdana" w:hAnsi="Verdana" w:cs="Arial"/>
          <w:sz w:val="22"/>
          <w:szCs w:val="22"/>
        </w:rPr>
        <w:t xml:space="preserve"> en razón </w:t>
      </w:r>
      <w:r w:rsidR="004B2F8F" w:rsidRPr="00A62343">
        <w:rPr>
          <w:rFonts w:ascii="Verdana" w:hAnsi="Verdana" w:cs="Arial"/>
          <w:sz w:val="22"/>
          <w:szCs w:val="22"/>
        </w:rPr>
        <w:t>de</w:t>
      </w:r>
      <w:r w:rsidRPr="00A62343">
        <w:rPr>
          <w:rFonts w:ascii="Verdana" w:hAnsi="Verdana" w:cs="Arial"/>
          <w:sz w:val="22"/>
          <w:szCs w:val="22"/>
        </w:rPr>
        <w:t xml:space="preserve"> lo siguiente:</w:t>
      </w:r>
      <w:r w:rsidRPr="00A62343">
        <w:rPr>
          <w:rStyle w:val="Refdenotaalpie"/>
          <w:rFonts w:ascii="Verdana" w:hAnsi="Verdana" w:cs="Arial"/>
          <w:sz w:val="22"/>
          <w:szCs w:val="22"/>
        </w:rPr>
        <w:footnoteReference w:id="56"/>
      </w:r>
    </w:p>
    <w:p w14:paraId="0451DF56" w14:textId="7777777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La </w:t>
      </w:r>
      <w:r w:rsidRPr="00A62343">
        <w:rPr>
          <w:rFonts w:ascii="Verdana" w:hAnsi="Verdana" w:cs="Arial"/>
          <w:smallCaps/>
          <w:sz w:val="22"/>
          <w:szCs w:val="22"/>
        </w:rPr>
        <w:t>Sala Superior</w:t>
      </w:r>
      <w:r w:rsidRPr="00A62343">
        <w:rPr>
          <w:rFonts w:ascii="Verdana" w:hAnsi="Verdana" w:cs="Arial"/>
          <w:sz w:val="22"/>
          <w:szCs w:val="22"/>
        </w:rPr>
        <w:t>,</w:t>
      </w:r>
      <w:r w:rsidRPr="00A62343">
        <w:rPr>
          <w:rStyle w:val="Refdenotaalpie"/>
          <w:rFonts w:ascii="Verdana" w:hAnsi="Verdana" w:cs="Arial"/>
          <w:sz w:val="22"/>
          <w:szCs w:val="22"/>
        </w:rPr>
        <w:footnoteReference w:id="57"/>
      </w:r>
      <w:r w:rsidRPr="00A62343">
        <w:rPr>
          <w:rFonts w:ascii="Verdana" w:hAnsi="Verdana" w:cs="Arial"/>
          <w:sz w:val="22"/>
          <w:szCs w:val="22"/>
        </w:rPr>
        <w:t xml:space="preserve"> ha señalado que las acciones afirmativas constituyen una medida compensatoria para situaciones en desventaja, que tienen como propósito revertir escenarios de desigualdad histórica y de facto que enfrentan ciertos grupos humanos en el ejercicio de sus derechos, y con ello, garantizarles un plano de igualdad sustancial en el acceso a los bienes, servicios y oportunidades.</w:t>
      </w:r>
    </w:p>
    <w:p w14:paraId="53F1A7F4" w14:textId="7777777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Sus características principales son las siguientes:</w:t>
      </w:r>
    </w:p>
    <w:p w14:paraId="78C520F1" w14:textId="77777777" w:rsidR="002B21D4" w:rsidRPr="00A62343" w:rsidRDefault="002B21D4" w:rsidP="001F54E1">
      <w:pPr>
        <w:pStyle w:val="Prrafodelista"/>
        <w:numPr>
          <w:ilvl w:val="0"/>
          <w:numId w:val="4"/>
        </w:numPr>
        <w:spacing w:before="100" w:beforeAutospacing="1" w:after="100" w:afterAutospacing="1" w:line="360" w:lineRule="auto"/>
        <w:ind w:left="0" w:firstLine="0"/>
        <w:contextualSpacing/>
        <w:jc w:val="both"/>
        <w:rPr>
          <w:rFonts w:ascii="Verdana" w:hAnsi="Verdana" w:cs="Arial"/>
          <w:sz w:val="22"/>
          <w:szCs w:val="22"/>
        </w:rPr>
      </w:pPr>
      <w:r w:rsidRPr="00A62343">
        <w:rPr>
          <w:rFonts w:ascii="Verdana" w:hAnsi="Verdana" w:cs="Arial"/>
          <w:b/>
          <w:bCs/>
          <w:sz w:val="22"/>
          <w:szCs w:val="22"/>
        </w:rPr>
        <w:t>Temporales:</w:t>
      </w:r>
      <w:r w:rsidRPr="00A62343">
        <w:rPr>
          <w:rFonts w:ascii="Verdana" w:hAnsi="Verdana" w:cs="Arial"/>
          <w:sz w:val="22"/>
          <w:szCs w:val="22"/>
        </w:rPr>
        <w:t xml:space="preserve"> porque constituyen un medio cuya duración se encuentra condicionada al fin que se proponen;</w:t>
      </w:r>
    </w:p>
    <w:p w14:paraId="3D8DAD92" w14:textId="77777777" w:rsidR="002B21D4" w:rsidRPr="00A62343" w:rsidRDefault="002B21D4" w:rsidP="001F54E1">
      <w:pPr>
        <w:pStyle w:val="Prrafodelista"/>
        <w:numPr>
          <w:ilvl w:val="0"/>
          <w:numId w:val="4"/>
        </w:numPr>
        <w:spacing w:before="100" w:beforeAutospacing="1" w:after="100" w:afterAutospacing="1" w:line="360" w:lineRule="auto"/>
        <w:ind w:left="0" w:firstLine="0"/>
        <w:contextualSpacing/>
        <w:jc w:val="both"/>
        <w:rPr>
          <w:rFonts w:ascii="Verdana" w:hAnsi="Verdana" w:cs="Arial"/>
          <w:sz w:val="22"/>
          <w:szCs w:val="22"/>
        </w:rPr>
      </w:pPr>
      <w:r w:rsidRPr="00A62343">
        <w:rPr>
          <w:rFonts w:ascii="Verdana" w:hAnsi="Verdana" w:cs="Arial"/>
          <w:b/>
          <w:bCs/>
          <w:sz w:val="22"/>
          <w:szCs w:val="22"/>
        </w:rPr>
        <w:t>Proporcionales:</w:t>
      </w:r>
      <w:r w:rsidRPr="00A62343">
        <w:rPr>
          <w:rFonts w:ascii="Verdana" w:hAnsi="Verdana" w:cs="Arial"/>
          <w:sz w:val="22"/>
          <w:szCs w:val="22"/>
        </w:rPr>
        <w:t xml:space="preserve"> al exigírseles un equilibrio entre las medidas que se implementan con la acción y los resultados por conseguir, y sin que se produzca una mayor desigualdad a la que pretende eliminar; </w:t>
      </w:r>
    </w:p>
    <w:p w14:paraId="7F4882CA" w14:textId="4F13D075" w:rsidR="002B21D4" w:rsidRPr="00A62343" w:rsidRDefault="002B21D4" w:rsidP="001F54E1">
      <w:pPr>
        <w:pStyle w:val="Prrafodelista"/>
        <w:numPr>
          <w:ilvl w:val="0"/>
          <w:numId w:val="4"/>
        </w:numPr>
        <w:spacing w:before="100" w:beforeAutospacing="1" w:after="100" w:afterAutospacing="1" w:line="360" w:lineRule="auto"/>
        <w:ind w:left="0" w:firstLine="0"/>
        <w:contextualSpacing/>
        <w:jc w:val="both"/>
        <w:rPr>
          <w:rFonts w:ascii="Verdana" w:hAnsi="Verdana" w:cs="Arial"/>
          <w:sz w:val="22"/>
          <w:szCs w:val="22"/>
        </w:rPr>
      </w:pPr>
      <w:r w:rsidRPr="00A62343">
        <w:rPr>
          <w:rFonts w:ascii="Verdana" w:hAnsi="Verdana" w:cs="Arial"/>
          <w:b/>
          <w:bCs/>
          <w:sz w:val="22"/>
          <w:szCs w:val="22"/>
        </w:rPr>
        <w:t>Razonables y objetivas:</w:t>
      </w:r>
      <w:r w:rsidRPr="00A62343">
        <w:rPr>
          <w:rFonts w:ascii="Verdana" w:hAnsi="Verdana" w:cs="Arial"/>
          <w:sz w:val="22"/>
          <w:szCs w:val="22"/>
        </w:rPr>
        <w:t xml:space="preserve"> ya que deben responder al interés de la colectividad a partir de una situación de injusticia para un sector determinado</w:t>
      </w:r>
      <w:r w:rsidR="004B2F8F" w:rsidRPr="00A62343">
        <w:rPr>
          <w:rFonts w:ascii="Verdana" w:hAnsi="Verdana" w:cs="Arial"/>
          <w:sz w:val="22"/>
          <w:szCs w:val="22"/>
        </w:rPr>
        <w:t>;</w:t>
      </w:r>
    </w:p>
    <w:p w14:paraId="1BCE8DE6" w14:textId="5D74FB29" w:rsidR="002B21D4" w:rsidRPr="00A62343" w:rsidRDefault="002B21D4" w:rsidP="001F54E1">
      <w:pPr>
        <w:pStyle w:val="Prrafodelista"/>
        <w:numPr>
          <w:ilvl w:val="0"/>
          <w:numId w:val="4"/>
        </w:numPr>
        <w:spacing w:before="100" w:beforeAutospacing="1" w:after="100" w:afterAutospacing="1" w:line="360" w:lineRule="auto"/>
        <w:ind w:left="0" w:firstLine="0"/>
        <w:contextualSpacing/>
        <w:jc w:val="both"/>
        <w:rPr>
          <w:rFonts w:ascii="Verdana" w:hAnsi="Verdana" w:cs="Arial"/>
          <w:sz w:val="22"/>
          <w:szCs w:val="22"/>
        </w:rPr>
      </w:pPr>
      <w:r w:rsidRPr="00A62343">
        <w:rPr>
          <w:rFonts w:ascii="Verdana" w:hAnsi="Verdana" w:cs="Arial"/>
          <w:b/>
          <w:bCs/>
          <w:sz w:val="22"/>
          <w:szCs w:val="22"/>
        </w:rPr>
        <w:t>Flexibles</w:t>
      </w:r>
      <w:r w:rsidRPr="00A62343">
        <w:rPr>
          <w:rFonts w:ascii="Verdana" w:hAnsi="Verdana" w:cs="Arial"/>
          <w:sz w:val="22"/>
          <w:szCs w:val="22"/>
        </w:rPr>
        <w:t xml:space="preserve">: </w:t>
      </w:r>
      <w:r w:rsidR="004B2F8F" w:rsidRPr="00A62343">
        <w:rPr>
          <w:rFonts w:ascii="Verdana" w:hAnsi="Verdana" w:cs="Arial"/>
          <w:sz w:val="22"/>
          <w:szCs w:val="22"/>
        </w:rPr>
        <w:t>l</w:t>
      </w:r>
      <w:r w:rsidRPr="00A62343">
        <w:rPr>
          <w:rFonts w:ascii="Verdana" w:hAnsi="Verdana" w:cs="Arial"/>
          <w:sz w:val="22"/>
          <w:szCs w:val="22"/>
        </w:rPr>
        <w:t>as medidas no son fijas e inmutables, sino que deben revisarse y evaluarse y modificarse en atención a la eficacia de las medidas derivado de la situación de evolución de los grupos a los que ha sido destinada.</w:t>
      </w:r>
    </w:p>
    <w:p w14:paraId="5E26769C" w14:textId="77777777" w:rsidR="002B21D4" w:rsidRPr="00A62343" w:rsidRDefault="002B21D4" w:rsidP="001F54E1">
      <w:pPr>
        <w:spacing w:before="100" w:beforeAutospacing="1" w:after="100" w:afterAutospacing="1" w:line="360" w:lineRule="auto"/>
        <w:jc w:val="both"/>
        <w:rPr>
          <w:rFonts w:ascii="Verdana" w:hAnsi="Verdana" w:cs="Arial"/>
          <w:b/>
          <w:bCs/>
          <w:sz w:val="22"/>
          <w:szCs w:val="22"/>
          <w:u w:val="single"/>
        </w:rPr>
      </w:pPr>
      <w:r w:rsidRPr="00A62343">
        <w:rPr>
          <w:rFonts w:ascii="Verdana" w:hAnsi="Verdana" w:cs="Arial"/>
          <w:b/>
          <w:bCs/>
          <w:sz w:val="22"/>
          <w:szCs w:val="22"/>
          <w:u w:val="single"/>
        </w:rPr>
        <w:t>El objetivo central de las acciones afirmativas en materia electoral, descansa en la realización del derecho a la participación y a la representatividad política de aquellos grupos que históricamente han sido discriminados e invisibilizados, por tanto, constituyen un instrumento idóneo para concretizar el pluralismo nacional.</w:t>
      </w:r>
    </w:p>
    <w:p w14:paraId="04A13882" w14:textId="45391EFD"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Al ser medias transitorias y temporales, no deben perpetuar desigualdades en contra de aquellos grupos o personas que no se ven favorecid</w:t>
      </w:r>
      <w:r w:rsidR="004B2F8F" w:rsidRPr="00A62343">
        <w:rPr>
          <w:rFonts w:ascii="Verdana" w:hAnsi="Verdana" w:cs="Arial"/>
          <w:sz w:val="22"/>
          <w:szCs w:val="22"/>
        </w:rPr>
        <w:t>a</w:t>
      </w:r>
      <w:r w:rsidRPr="00A62343">
        <w:rPr>
          <w:rFonts w:ascii="Verdana" w:hAnsi="Verdana" w:cs="Arial"/>
          <w:sz w:val="22"/>
          <w:szCs w:val="22"/>
        </w:rPr>
        <w:t>s por las medidas adoptadas.</w:t>
      </w:r>
    </w:p>
    <w:p w14:paraId="3801940A" w14:textId="7777777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lastRenderedPageBreak/>
        <w:t>Al implementarse, debe evitarse que las disposiciones tengan efectos desproporcionados, por lo que no pueden ser incondicionales y absolutas.</w:t>
      </w:r>
    </w:p>
    <w:p w14:paraId="2F99220B" w14:textId="7777777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La exigencia de que se limite el período para el cual se hayan adoptado las medidas conlleva la necesidad, tanto en el diseño e iniciación de las medidas, de un sistema continuo de seguimiento de la aplicación y los resultados que utilice métodos de evaluación cuantitativa o cualitativa, según proceda.</w:t>
      </w:r>
    </w:p>
    <w:p w14:paraId="20BBD4BE" w14:textId="7777777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Se debe determinar con detenimiento las posibles consecuencias negativas para los derechos humanos de las comunidades beneficiarias de la suspensión abrupta de las medidas especiales, máxime si estas se han adoptado por un período prolongado.</w:t>
      </w:r>
    </w:p>
    <w:p w14:paraId="60DD4135" w14:textId="77777777" w:rsidR="002B21D4" w:rsidRPr="00A62343" w:rsidRDefault="002B21D4" w:rsidP="001F54E1">
      <w:pPr>
        <w:spacing w:before="100" w:beforeAutospacing="1" w:after="100" w:afterAutospacing="1" w:line="360" w:lineRule="auto"/>
        <w:jc w:val="both"/>
        <w:rPr>
          <w:rFonts w:ascii="Verdana" w:hAnsi="Verdana" w:cs="Arial"/>
          <w:b/>
          <w:bCs/>
          <w:sz w:val="22"/>
          <w:szCs w:val="22"/>
        </w:rPr>
      </w:pPr>
      <w:r w:rsidRPr="00A62343">
        <w:rPr>
          <w:rFonts w:ascii="Verdana" w:hAnsi="Verdana" w:cs="Arial"/>
          <w:b/>
          <w:bCs/>
          <w:sz w:val="22"/>
          <w:szCs w:val="22"/>
        </w:rPr>
        <w:t>Las acciones afirmativas al tener una naturaleza flexible y no inmutable admiten modificaciones, en todo caso, debe analizarse si las nuevas medidas, razonable y objetivamente procuran una mejor participación de los grupos a los que van dirigidas.</w:t>
      </w:r>
    </w:p>
    <w:p w14:paraId="231B7356" w14:textId="7777777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Ahora bien, la </w:t>
      </w:r>
      <w:r w:rsidRPr="00A62343">
        <w:rPr>
          <w:rFonts w:ascii="Verdana" w:hAnsi="Verdana" w:cs="Arial"/>
          <w:smallCaps/>
          <w:sz w:val="22"/>
          <w:szCs w:val="22"/>
        </w:rPr>
        <w:t>Autoridad Responsable</w:t>
      </w:r>
      <w:r w:rsidRPr="00A62343">
        <w:rPr>
          <w:rFonts w:ascii="Verdana" w:hAnsi="Verdana" w:cs="Arial"/>
          <w:sz w:val="22"/>
          <w:szCs w:val="22"/>
        </w:rPr>
        <w:t xml:space="preserve">, consideró que de acuerdo al Censo de Población y Vivienda 2020, la </w:t>
      </w:r>
      <w:r w:rsidRPr="00A62343">
        <w:rPr>
          <w:rFonts w:ascii="Verdana" w:hAnsi="Verdana" w:cs="Arial"/>
          <w:b/>
          <w:bCs/>
          <w:sz w:val="22"/>
          <w:szCs w:val="22"/>
          <w:u w:val="single"/>
        </w:rPr>
        <w:t>población hablante</w:t>
      </w:r>
      <w:r w:rsidRPr="00A62343">
        <w:rPr>
          <w:rFonts w:ascii="Verdana" w:hAnsi="Verdana" w:cs="Arial"/>
          <w:sz w:val="22"/>
          <w:szCs w:val="22"/>
        </w:rPr>
        <w:t xml:space="preserve"> de lengua indígena, mayor de dieciocho años es de 2,242 (DOS MIL DOSCIENTOS CUARENTA Y DOS), representando el 0.2 % (CERO PUNTO DOS POR CIENTO) del total de la población del Estado mayor de edad; y por tanto, para efectos de postulación de candidaturas por parte de partidos políticos y coaliciones, en el actual proceso, no será considerada una cuota en favor de los mismos, pues la misma no resultaría efectiva, a causa de los pocos asentamientos indígenas; y, por tanto, consideró viable, únicamente invitar a los partidos políticos, a procurar dentro de sus organismos una integración pluricultural, debiéndose observar la interseccionalidad de dichos grupos y favoreciendo su postulación de las personas pertenecientes en pueblos y comunidades indígenas del Estado de Aguascalientes, a fin de que estos sean visibilizados dentro de sus estructuras, debiendo coexistir el principio de no discriminación y la autodeterminación de los partidos políticos.</w:t>
      </w:r>
    </w:p>
    <w:p w14:paraId="6F245EFD" w14:textId="7777777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Al respecto, las personas indígenas participantes en los “Diálogos por una Democracia Inclusiva”, señalaron que: </w:t>
      </w:r>
      <w:r w:rsidRPr="00A62343">
        <w:rPr>
          <w:rFonts w:ascii="Verdana" w:hAnsi="Verdana" w:cs="Arial"/>
          <w:b/>
          <w:bCs/>
          <w:i/>
          <w:iCs/>
          <w:sz w:val="22"/>
          <w:szCs w:val="22"/>
        </w:rPr>
        <w:t xml:space="preserve">“es por todas y todos conocido el estudio censal del INEGI, sobre </w:t>
      </w:r>
      <w:r w:rsidRPr="00A62343">
        <w:rPr>
          <w:rFonts w:ascii="Verdana" w:hAnsi="Verdana" w:cs="Arial"/>
          <w:b/>
          <w:bCs/>
          <w:i/>
          <w:iCs/>
          <w:sz w:val="22"/>
          <w:szCs w:val="22"/>
          <w:u w:val="single"/>
        </w:rPr>
        <w:t xml:space="preserve">el cual consideran que se equivoca, ya que este informa que son 2,539 personas </w:t>
      </w:r>
      <w:r w:rsidRPr="00A62343">
        <w:rPr>
          <w:rFonts w:ascii="Verdana" w:hAnsi="Verdana" w:cs="Arial"/>
          <w:b/>
          <w:bCs/>
          <w:i/>
          <w:iCs/>
          <w:sz w:val="22"/>
          <w:szCs w:val="22"/>
          <w:u w:val="single"/>
        </w:rPr>
        <w:lastRenderedPageBreak/>
        <w:t>cuando en realidad la estadística supera a las 3,000 personas con diverso origen étnico</w:t>
      </w:r>
      <w:r w:rsidRPr="00A62343">
        <w:rPr>
          <w:rFonts w:ascii="Verdana" w:hAnsi="Verdana" w:cs="Arial"/>
          <w:b/>
          <w:bCs/>
          <w:i/>
          <w:iCs/>
          <w:sz w:val="22"/>
          <w:szCs w:val="22"/>
        </w:rPr>
        <w:t>”.</w:t>
      </w:r>
      <w:r w:rsidRPr="00A62343">
        <w:rPr>
          <w:rStyle w:val="Refdenotaalpie"/>
          <w:rFonts w:ascii="Verdana" w:hAnsi="Verdana" w:cs="Arial"/>
          <w:sz w:val="22"/>
          <w:szCs w:val="22"/>
        </w:rPr>
        <w:footnoteReference w:id="58"/>
      </w:r>
      <w:r w:rsidRPr="00A62343">
        <w:rPr>
          <w:rFonts w:ascii="Verdana" w:hAnsi="Verdana" w:cs="Arial"/>
          <w:sz w:val="22"/>
          <w:szCs w:val="22"/>
        </w:rPr>
        <w:t xml:space="preserve"> </w:t>
      </w:r>
    </w:p>
    <w:p w14:paraId="615D0B51" w14:textId="1F1CC9DB"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Por su parte, el INE, en el ACUERDO INE/CG527/2023, del Consejo General del Instituto Nacional Electoral por el que se emiten los criterios aplicables para el registro de candidaturas a los distintos cargos de elección popular que soliciten los partidos políticos nacionales y, en su caso, las coaliciones, ante los Consejos del Instituto en el Proceso Electoral Federal 2023-2024, publicado en el Diario Oficial de la Federación, el cuatro de octubre,</w:t>
      </w:r>
      <w:r w:rsidR="0068539E" w:rsidRPr="00A62343">
        <w:rPr>
          <w:rStyle w:val="Refdenotaalpie"/>
          <w:rFonts w:ascii="Verdana" w:hAnsi="Verdana" w:cs="Arial"/>
          <w:sz w:val="22"/>
          <w:szCs w:val="22"/>
        </w:rPr>
        <w:footnoteReference w:id="59"/>
      </w:r>
      <w:r w:rsidRPr="00A62343">
        <w:rPr>
          <w:rFonts w:ascii="Verdana" w:hAnsi="Verdana" w:cs="Arial"/>
          <w:sz w:val="22"/>
          <w:szCs w:val="22"/>
        </w:rPr>
        <w:t xml:space="preserve"> señaló que en el Municipio de Aguascalientes, se concentra una población indígena de 60,022, personas y en el Municipio de Jesús María, 7,984, personas indígenas, sin señalar la población de otros municipios, como se muestra a continuación:</w:t>
      </w:r>
    </w:p>
    <w:p w14:paraId="4988028F" w14:textId="7777777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noProof/>
          <w:sz w:val="22"/>
          <w:szCs w:val="22"/>
        </w:rPr>
        <w:drawing>
          <wp:inline distT="0" distB="0" distL="0" distR="0" wp14:anchorId="4A6B787D" wp14:editId="6E72DA4C">
            <wp:extent cx="5073043" cy="1991360"/>
            <wp:effectExtent l="0" t="0" r="0" b="8890"/>
            <wp:docPr id="10791821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82144" name=""/>
                    <pic:cNvPicPr/>
                  </pic:nvPicPr>
                  <pic:blipFill>
                    <a:blip r:embed="rId8"/>
                    <a:stretch>
                      <a:fillRect/>
                    </a:stretch>
                  </pic:blipFill>
                  <pic:spPr>
                    <a:xfrm>
                      <a:off x="0" y="0"/>
                      <a:ext cx="5091635" cy="1998658"/>
                    </a:xfrm>
                    <a:prstGeom prst="rect">
                      <a:avLst/>
                    </a:prstGeom>
                  </pic:spPr>
                </pic:pic>
              </a:graphicData>
            </a:graphic>
          </wp:inline>
        </w:drawing>
      </w:r>
    </w:p>
    <w:p w14:paraId="01D70384" w14:textId="4F2E15F9"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Lo anterior evidencia, un dato erróneo de población indígena en el Estado de Aguascalientes, por parte de la </w:t>
      </w:r>
      <w:r w:rsidRPr="00A62343">
        <w:rPr>
          <w:rFonts w:ascii="Verdana" w:hAnsi="Verdana" w:cs="Arial"/>
          <w:smallCaps/>
          <w:sz w:val="22"/>
          <w:szCs w:val="22"/>
        </w:rPr>
        <w:t>Autoridad Responsable</w:t>
      </w:r>
      <w:r w:rsidR="00B968BB" w:rsidRPr="00A62343">
        <w:rPr>
          <w:rFonts w:ascii="Verdana" w:hAnsi="Verdana" w:cs="Arial"/>
          <w:smallCaps/>
          <w:sz w:val="22"/>
          <w:szCs w:val="22"/>
        </w:rPr>
        <w:t xml:space="preserve">, </w:t>
      </w:r>
      <w:r w:rsidR="00B968BB" w:rsidRPr="00A62343">
        <w:rPr>
          <w:rFonts w:ascii="Verdana" w:hAnsi="Verdana" w:cs="Arial"/>
          <w:sz w:val="22"/>
          <w:szCs w:val="22"/>
        </w:rPr>
        <w:t>pues únicamente consideró la población hablante de lengua indígena</w:t>
      </w:r>
      <w:r w:rsidRPr="00A62343">
        <w:rPr>
          <w:rFonts w:ascii="Verdana" w:hAnsi="Verdana" w:cs="Arial"/>
          <w:sz w:val="22"/>
          <w:szCs w:val="22"/>
        </w:rPr>
        <w:t>.</w:t>
      </w:r>
    </w:p>
    <w:p w14:paraId="1F440399" w14:textId="2B27F475" w:rsidR="00DB4C84" w:rsidRPr="00A62343" w:rsidRDefault="00DB4C84" w:rsidP="00DB4C84">
      <w:pPr>
        <w:spacing w:before="100" w:beforeAutospacing="1" w:after="100" w:afterAutospacing="1" w:line="360" w:lineRule="auto"/>
        <w:jc w:val="both"/>
        <w:rPr>
          <w:rFonts w:ascii="Verdana" w:hAnsi="Verdana" w:cs="Arial"/>
          <w:b/>
          <w:bCs/>
          <w:sz w:val="22"/>
          <w:szCs w:val="22"/>
        </w:rPr>
      </w:pPr>
      <w:r w:rsidRPr="00A62343">
        <w:rPr>
          <w:rFonts w:ascii="Verdana" w:hAnsi="Verdana" w:cs="Arial"/>
          <w:sz w:val="22"/>
          <w:szCs w:val="22"/>
        </w:rPr>
        <w:t xml:space="preserve">Por lo tanto, no se consideró a las personas que se </w:t>
      </w:r>
      <w:proofErr w:type="spellStart"/>
      <w:r w:rsidRPr="00A62343">
        <w:rPr>
          <w:rFonts w:ascii="Verdana" w:hAnsi="Verdana" w:cs="Arial"/>
          <w:sz w:val="22"/>
          <w:szCs w:val="22"/>
        </w:rPr>
        <w:t>autoadscriben</w:t>
      </w:r>
      <w:proofErr w:type="spellEnd"/>
      <w:r w:rsidRPr="00A62343">
        <w:rPr>
          <w:rFonts w:ascii="Verdana" w:hAnsi="Verdana" w:cs="Arial"/>
          <w:sz w:val="22"/>
          <w:szCs w:val="22"/>
        </w:rPr>
        <w:t xml:space="preserve"> como indígenas,</w:t>
      </w:r>
      <w:r w:rsidR="0053317F" w:rsidRPr="00A62343">
        <w:rPr>
          <w:rFonts w:ascii="Verdana" w:hAnsi="Verdana" w:cs="Arial"/>
          <w:sz w:val="22"/>
          <w:szCs w:val="22"/>
        </w:rPr>
        <w:t xml:space="preserve"> p</w:t>
      </w:r>
      <w:r w:rsidRPr="00A62343">
        <w:rPr>
          <w:rFonts w:ascii="Verdana" w:hAnsi="Verdana" w:cs="Arial"/>
          <w:sz w:val="22"/>
          <w:szCs w:val="22"/>
        </w:rPr>
        <w:t xml:space="preserve">ues el artículo 1°, de Ley de Justicia Indígena del Estado de Aguascalientes, señala que las personas, los pueblos y las comunidades indígenas gozan de los derechos reconocidos por la </w:t>
      </w:r>
      <w:r w:rsidRPr="00A62343">
        <w:rPr>
          <w:rFonts w:ascii="Verdana" w:hAnsi="Verdana" w:cs="Arial"/>
          <w:smallCaps/>
          <w:sz w:val="22"/>
          <w:szCs w:val="22"/>
        </w:rPr>
        <w:t xml:space="preserve">Constitución </w:t>
      </w:r>
      <w:r w:rsidR="003F20B5" w:rsidRPr="00A62343">
        <w:rPr>
          <w:rFonts w:ascii="Verdana" w:hAnsi="Verdana" w:cs="Arial"/>
          <w:smallCaps/>
          <w:sz w:val="22"/>
          <w:szCs w:val="22"/>
        </w:rPr>
        <w:t>Federal</w:t>
      </w:r>
      <w:r w:rsidRPr="00A62343">
        <w:rPr>
          <w:rFonts w:ascii="Verdana" w:hAnsi="Verdana" w:cs="Arial"/>
          <w:sz w:val="22"/>
          <w:szCs w:val="22"/>
        </w:rPr>
        <w:t xml:space="preserve">, incluidos los Tratados Internacionales celebrados por el Ejecutivo de la Unión con aprobación del Senado, la presente Ley y demás ordenamientos aplicables, por lo que tienen </w:t>
      </w:r>
      <w:r w:rsidRPr="00A62343">
        <w:rPr>
          <w:rFonts w:ascii="Verdana" w:hAnsi="Verdana" w:cs="Arial"/>
          <w:b/>
          <w:bCs/>
          <w:sz w:val="22"/>
          <w:szCs w:val="22"/>
          <w:u w:val="single"/>
        </w:rPr>
        <w:t>derecho a determinar su propia identidad</w:t>
      </w:r>
      <w:r w:rsidRPr="00A62343">
        <w:rPr>
          <w:rFonts w:ascii="Verdana" w:hAnsi="Verdana" w:cs="Arial"/>
          <w:sz w:val="22"/>
          <w:szCs w:val="22"/>
        </w:rPr>
        <w:t xml:space="preserve"> o </w:t>
      </w:r>
      <w:r w:rsidRPr="00A62343">
        <w:rPr>
          <w:rFonts w:ascii="Verdana" w:hAnsi="Verdana" w:cs="Arial"/>
          <w:b/>
          <w:bCs/>
          <w:sz w:val="22"/>
          <w:szCs w:val="22"/>
          <w:u w:val="single"/>
        </w:rPr>
        <w:t xml:space="preserve">pertenencia conforme a sus costumbres y tradiciones, </w:t>
      </w:r>
      <w:r w:rsidRPr="00A62343">
        <w:rPr>
          <w:rFonts w:ascii="Verdana" w:hAnsi="Verdana" w:cs="Arial"/>
          <w:sz w:val="22"/>
          <w:szCs w:val="22"/>
        </w:rPr>
        <w:t xml:space="preserve">por tanto, </w:t>
      </w:r>
      <w:r w:rsidRPr="00A62343">
        <w:rPr>
          <w:rFonts w:ascii="Verdana" w:hAnsi="Verdana" w:cs="Arial"/>
          <w:b/>
          <w:bCs/>
          <w:sz w:val="22"/>
          <w:szCs w:val="22"/>
          <w:u w:val="single"/>
        </w:rPr>
        <w:t>la conciencia</w:t>
      </w:r>
      <w:r w:rsidRPr="00A62343">
        <w:rPr>
          <w:rFonts w:ascii="Verdana" w:hAnsi="Verdana" w:cs="Arial"/>
          <w:b/>
          <w:bCs/>
          <w:sz w:val="22"/>
          <w:szCs w:val="22"/>
        </w:rPr>
        <w:t xml:space="preserve"> de su identidad </w:t>
      </w:r>
      <w:r w:rsidRPr="00A62343">
        <w:rPr>
          <w:rFonts w:ascii="Verdana" w:hAnsi="Verdana" w:cs="Arial"/>
          <w:b/>
          <w:bCs/>
          <w:sz w:val="22"/>
          <w:szCs w:val="22"/>
        </w:rPr>
        <w:lastRenderedPageBreak/>
        <w:t>indígena deberá ser criterio fundamental para determinar a quiénes se aplican las disposiciones de esta ley, por lo cual se deberán tomar en cuenta los siguientes criterios:</w:t>
      </w:r>
    </w:p>
    <w:p w14:paraId="453B32CE" w14:textId="3E03569F" w:rsidR="00DB4C84" w:rsidRPr="00A62343" w:rsidRDefault="00DB4C84" w:rsidP="00DB4C84">
      <w:pPr>
        <w:spacing w:before="100" w:beforeAutospacing="1" w:after="100" w:afterAutospacing="1" w:line="360" w:lineRule="auto"/>
        <w:jc w:val="both"/>
        <w:rPr>
          <w:rFonts w:ascii="Verdana" w:hAnsi="Verdana" w:cs="Arial"/>
          <w:sz w:val="22"/>
          <w:szCs w:val="22"/>
        </w:rPr>
      </w:pPr>
      <w:r w:rsidRPr="00A62343">
        <w:rPr>
          <w:rFonts w:ascii="Verdana" w:hAnsi="Verdana" w:cs="Arial"/>
          <w:b/>
          <w:bCs/>
          <w:sz w:val="22"/>
          <w:szCs w:val="22"/>
          <w:u w:val="single"/>
        </w:rPr>
        <w:t>I. La autodefinición</w:t>
      </w:r>
      <w:r w:rsidRPr="00A62343">
        <w:rPr>
          <w:rFonts w:ascii="Verdana" w:hAnsi="Verdana" w:cs="Arial"/>
          <w:sz w:val="22"/>
          <w:szCs w:val="22"/>
        </w:rPr>
        <w:t xml:space="preserve"> de los pueblos y las comunidades indígena (sic) de sus propios integrantes; y</w:t>
      </w:r>
    </w:p>
    <w:p w14:paraId="68796C65" w14:textId="0B18DDBC" w:rsidR="00DB4C84" w:rsidRPr="00A62343" w:rsidRDefault="00DB4C84" w:rsidP="00DB4C84">
      <w:pPr>
        <w:spacing w:before="100" w:beforeAutospacing="1" w:after="100" w:afterAutospacing="1" w:line="360" w:lineRule="auto"/>
        <w:jc w:val="both"/>
        <w:rPr>
          <w:rFonts w:ascii="Verdana" w:hAnsi="Verdana" w:cs="Arial"/>
          <w:sz w:val="22"/>
          <w:szCs w:val="22"/>
        </w:rPr>
      </w:pPr>
      <w:r w:rsidRPr="00A62343">
        <w:rPr>
          <w:rFonts w:ascii="Verdana" w:hAnsi="Verdana" w:cs="Arial"/>
          <w:b/>
          <w:bCs/>
          <w:sz w:val="22"/>
          <w:szCs w:val="22"/>
          <w:u w:val="single"/>
        </w:rPr>
        <w:t xml:space="preserve">II. La </w:t>
      </w:r>
      <w:proofErr w:type="spellStart"/>
      <w:r w:rsidRPr="00A62343">
        <w:rPr>
          <w:rFonts w:ascii="Verdana" w:hAnsi="Verdana" w:cs="Arial"/>
          <w:b/>
          <w:bCs/>
          <w:sz w:val="22"/>
          <w:szCs w:val="22"/>
          <w:u w:val="single"/>
        </w:rPr>
        <w:t>autoadscripción</w:t>
      </w:r>
      <w:proofErr w:type="spellEnd"/>
      <w:r w:rsidRPr="00A62343">
        <w:rPr>
          <w:rFonts w:ascii="Verdana" w:hAnsi="Verdana" w:cs="Arial"/>
          <w:sz w:val="22"/>
          <w:szCs w:val="22"/>
        </w:rPr>
        <w:t xml:space="preserve"> de una persona a la comunidad indígena.</w:t>
      </w:r>
    </w:p>
    <w:p w14:paraId="30AE9115" w14:textId="323DB66C" w:rsidR="002B21D4" w:rsidRPr="00A62343" w:rsidRDefault="00B968BB"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Pues</w:t>
      </w:r>
      <w:r w:rsidR="002B21D4" w:rsidRPr="00A62343">
        <w:rPr>
          <w:rFonts w:ascii="Verdana" w:hAnsi="Verdana" w:cs="Arial"/>
          <w:sz w:val="22"/>
          <w:szCs w:val="22"/>
        </w:rPr>
        <w:t xml:space="preserve">, en el </w:t>
      </w:r>
      <w:r w:rsidR="007C2F3A" w:rsidRPr="00A62343">
        <w:rPr>
          <w:rFonts w:ascii="Verdana" w:hAnsi="Verdana" w:cs="Arial"/>
          <w:sz w:val="22"/>
          <w:szCs w:val="22"/>
        </w:rPr>
        <w:t>A</w:t>
      </w:r>
      <w:r w:rsidR="002B21D4" w:rsidRPr="00A62343">
        <w:rPr>
          <w:rFonts w:ascii="Verdana" w:hAnsi="Verdana" w:cs="Arial"/>
          <w:sz w:val="22"/>
          <w:szCs w:val="22"/>
        </w:rPr>
        <w:t>cuerdo impugnado, se desprende que únicamente, se solicit</w:t>
      </w:r>
      <w:r w:rsidR="004B2F8F" w:rsidRPr="00A62343">
        <w:rPr>
          <w:rFonts w:ascii="Verdana" w:hAnsi="Verdana" w:cs="Arial"/>
          <w:sz w:val="22"/>
          <w:szCs w:val="22"/>
        </w:rPr>
        <w:t>aron</w:t>
      </w:r>
      <w:r w:rsidR="002B21D4" w:rsidRPr="00A62343">
        <w:rPr>
          <w:rFonts w:ascii="Verdana" w:hAnsi="Verdana" w:cs="Arial"/>
          <w:sz w:val="22"/>
          <w:szCs w:val="22"/>
        </w:rPr>
        <w:t xml:space="preserve"> datos a la presidenta de la Junta de Gobierno del Instituto Nacional de Estadística y Geografía, del porcentaje en comparación con la población total en el Estado de Aguascalientes, sobre la población de pueblos y comunidades indígenas y afromexicana, de los 18 años en adelante, respecto de los instrumentos levantados por dicho Instituto</w:t>
      </w:r>
      <w:r w:rsidR="00DB4C84" w:rsidRPr="00A62343">
        <w:rPr>
          <w:rFonts w:ascii="Verdana" w:hAnsi="Verdana" w:cs="Arial"/>
          <w:sz w:val="22"/>
          <w:szCs w:val="22"/>
        </w:rPr>
        <w:t xml:space="preserve"> de personas hablantes de lengua indígena y no las de las que se </w:t>
      </w:r>
      <w:proofErr w:type="spellStart"/>
      <w:r w:rsidR="00DB4C84" w:rsidRPr="00A62343">
        <w:rPr>
          <w:rFonts w:ascii="Verdana" w:hAnsi="Verdana" w:cs="Arial"/>
          <w:sz w:val="22"/>
          <w:szCs w:val="22"/>
        </w:rPr>
        <w:t>autoadsc</w:t>
      </w:r>
      <w:r w:rsidR="0053317F" w:rsidRPr="00A62343">
        <w:rPr>
          <w:rFonts w:ascii="Verdana" w:hAnsi="Verdana" w:cs="Arial"/>
          <w:sz w:val="22"/>
          <w:szCs w:val="22"/>
        </w:rPr>
        <w:t>rib</w:t>
      </w:r>
      <w:r w:rsidR="00DB4C84" w:rsidRPr="00A62343">
        <w:rPr>
          <w:rFonts w:ascii="Verdana" w:hAnsi="Verdana" w:cs="Arial"/>
          <w:sz w:val="22"/>
          <w:szCs w:val="22"/>
        </w:rPr>
        <w:t>en</w:t>
      </w:r>
      <w:proofErr w:type="spellEnd"/>
      <w:r w:rsidR="003F20B5" w:rsidRPr="00A62343">
        <w:rPr>
          <w:rFonts w:ascii="Verdana" w:hAnsi="Verdana" w:cs="Arial"/>
          <w:sz w:val="22"/>
          <w:szCs w:val="22"/>
        </w:rPr>
        <w:t xml:space="preserve"> como tal</w:t>
      </w:r>
      <w:r w:rsidR="002B21D4" w:rsidRPr="00A62343">
        <w:rPr>
          <w:rFonts w:ascii="Verdana" w:hAnsi="Verdana" w:cs="Arial"/>
          <w:sz w:val="22"/>
          <w:szCs w:val="22"/>
        </w:rPr>
        <w:t>.</w:t>
      </w:r>
      <w:r w:rsidR="002B21D4" w:rsidRPr="00A62343">
        <w:rPr>
          <w:rStyle w:val="Refdenotaalpie"/>
          <w:rFonts w:ascii="Verdana" w:hAnsi="Verdana" w:cs="Arial"/>
          <w:sz w:val="22"/>
          <w:szCs w:val="22"/>
        </w:rPr>
        <w:footnoteReference w:id="60"/>
      </w:r>
    </w:p>
    <w:p w14:paraId="342174A2" w14:textId="008B32D0" w:rsidR="00B968BB" w:rsidRPr="00A62343" w:rsidRDefault="00B968BB" w:rsidP="00B968BB">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Al respecto, la </w:t>
      </w:r>
      <w:r w:rsidRPr="00A62343">
        <w:rPr>
          <w:rFonts w:ascii="Verdana" w:hAnsi="Verdana" w:cs="Arial"/>
          <w:smallCaps/>
          <w:sz w:val="22"/>
          <w:szCs w:val="22"/>
        </w:rPr>
        <w:t>Constitución Federal</w:t>
      </w:r>
      <w:r w:rsidRPr="00A62343">
        <w:rPr>
          <w:rFonts w:ascii="Verdana" w:hAnsi="Verdana" w:cs="Arial"/>
          <w:sz w:val="22"/>
          <w:szCs w:val="22"/>
        </w:rPr>
        <w:t>, reconoce en su artículo 2º, párrafo segundo, que México es una Nación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632A7728" w14:textId="77290C42" w:rsidR="00B968BB" w:rsidRPr="00A62343" w:rsidRDefault="00B968BB" w:rsidP="00B968BB">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Dicho artículo reconoce, entre los criterios para identificar a quiénes les aplican las disposiciones relativas a los pueblos indígenas, aquellas personas que se </w:t>
      </w:r>
      <w:proofErr w:type="spellStart"/>
      <w:r w:rsidRPr="00A62343">
        <w:rPr>
          <w:rFonts w:ascii="Verdana" w:hAnsi="Verdana" w:cs="Arial"/>
          <w:sz w:val="22"/>
          <w:szCs w:val="22"/>
        </w:rPr>
        <w:t>autoadscriben</w:t>
      </w:r>
      <w:proofErr w:type="spellEnd"/>
      <w:r w:rsidRPr="00A62343">
        <w:rPr>
          <w:rFonts w:ascii="Verdana" w:hAnsi="Verdana" w:cs="Arial"/>
          <w:sz w:val="22"/>
          <w:szCs w:val="22"/>
        </w:rPr>
        <w:t xml:space="preserve"> como tales, independientemente de su lugar de residencia o si no hablan alguna lengua indígena.</w:t>
      </w:r>
    </w:p>
    <w:p w14:paraId="340099F7" w14:textId="0FB08BB6" w:rsidR="002B21D4" w:rsidRPr="00A62343" w:rsidRDefault="002B21D4" w:rsidP="001F54E1">
      <w:pPr>
        <w:spacing w:before="100" w:beforeAutospacing="1" w:after="100" w:afterAutospacing="1" w:line="360" w:lineRule="auto"/>
        <w:jc w:val="both"/>
        <w:rPr>
          <w:rFonts w:ascii="Verdana" w:hAnsi="Verdana" w:cs="Arial"/>
          <w:sz w:val="22"/>
          <w:szCs w:val="22"/>
        </w:rPr>
      </w:pPr>
      <w:bookmarkStart w:id="10" w:name="_Hlk151594029"/>
      <w:r w:rsidRPr="00A62343">
        <w:rPr>
          <w:rFonts w:ascii="Verdana" w:hAnsi="Verdana" w:cs="Arial"/>
          <w:sz w:val="22"/>
          <w:szCs w:val="22"/>
        </w:rPr>
        <w:t xml:space="preserve">En tal sentido, la </w:t>
      </w:r>
      <w:r w:rsidRPr="00A62343">
        <w:rPr>
          <w:rFonts w:ascii="Verdana" w:hAnsi="Verdana" w:cs="Arial"/>
          <w:smallCaps/>
          <w:sz w:val="22"/>
          <w:szCs w:val="22"/>
        </w:rPr>
        <w:t>Autoridad Responsable</w:t>
      </w:r>
      <w:r w:rsidRPr="00A62343">
        <w:rPr>
          <w:rFonts w:ascii="Verdana" w:hAnsi="Verdana" w:cs="Arial"/>
          <w:sz w:val="22"/>
          <w:szCs w:val="22"/>
        </w:rPr>
        <w:t>, debió realizar una recopilación exhaustiva, y solicitar datos al INE de la población indígena,</w:t>
      </w:r>
      <w:r w:rsidR="0053317F" w:rsidRPr="00A62343">
        <w:rPr>
          <w:rFonts w:ascii="Verdana" w:hAnsi="Verdana" w:cs="Arial"/>
          <w:sz w:val="22"/>
          <w:szCs w:val="22"/>
        </w:rPr>
        <w:t xml:space="preserve"> así como al INEGI y otras autoridades que considere pertinentes, </w:t>
      </w:r>
      <w:r w:rsidRPr="00A62343">
        <w:rPr>
          <w:rFonts w:ascii="Verdana" w:hAnsi="Verdana" w:cs="Arial"/>
          <w:sz w:val="22"/>
          <w:szCs w:val="22"/>
        </w:rPr>
        <w:t xml:space="preserve"> para determinar la densidad poblacional indígena más cercana a la realidad, en el Estado de Aguascalientes y Municipios, y conforme a los datos obtenidos, garantizando las reglas de paridad, considere las cuotas correspondientes y realice las adecuaciones pertinentes al </w:t>
      </w:r>
      <w:r w:rsidRPr="00A62343">
        <w:rPr>
          <w:rFonts w:ascii="Verdana" w:hAnsi="Verdana" w:cs="Arial"/>
          <w:smallCaps/>
          <w:sz w:val="22"/>
          <w:szCs w:val="22"/>
        </w:rPr>
        <w:t>Acuerdo Impugnado</w:t>
      </w:r>
      <w:r w:rsidRPr="00A62343">
        <w:rPr>
          <w:rFonts w:ascii="Verdana" w:hAnsi="Verdana" w:cs="Arial"/>
          <w:sz w:val="22"/>
          <w:szCs w:val="22"/>
        </w:rPr>
        <w:t xml:space="preserve"> y a los lineamientos respectivos, y en su caso</w:t>
      </w:r>
      <w:r w:rsidR="004B2F8F" w:rsidRPr="00A62343">
        <w:rPr>
          <w:rFonts w:ascii="Verdana" w:hAnsi="Verdana" w:cs="Arial"/>
          <w:sz w:val="22"/>
          <w:szCs w:val="22"/>
        </w:rPr>
        <w:t>,</w:t>
      </w:r>
      <w:r w:rsidRPr="00A62343">
        <w:rPr>
          <w:rFonts w:ascii="Verdana" w:hAnsi="Verdana" w:cs="Arial"/>
          <w:sz w:val="22"/>
          <w:szCs w:val="22"/>
        </w:rPr>
        <w:t xml:space="preserve"> destine las fórmulas correspondientes a favor de las personas indígenas.</w:t>
      </w:r>
    </w:p>
    <w:p w14:paraId="0A5690BB" w14:textId="77777777" w:rsidR="0040288B" w:rsidRPr="00A62343" w:rsidRDefault="0040288B"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lastRenderedPageBreak/>
        <w:t xml:space="preserve">En consecuencia, </w:t>
      </w:r>
      <w:r w:rsidR="0099661F" w:rsidRPr="00A62343">
        <w:rPr>
          <w:rFonts w:ascii="Verdana" w:hAnsi="Verdana" w:cs="Arial"/>
          <w:sz w:val="22"/>
          <w:szCs w:val="22"/>
        </w:rPr>
        <w:t xml:space="preserve">al haber alcanzado su pretensión, resulta innecesario analizar los restantes motivos de disenso. </w:t>
      </w:r>
    </w:p>
    <w:p w14:paraId="5D238DC8" w14:textId="0CD43F03" w:rsidR="0099661F" w:rsidRPr="00A62343" w:rsidRDefault="0040288B"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Finalmente, no es ajeno a este Tribunal, </w:t>
      </w:r>
      <w:r w:rsidR="00634979" w:rsidRPr="00A62343">
        <w:rPr>
          <w:rFonts w:ascii="Verdana" w:hAnsi="Verdana" w:cs="Arial"/>
          <w:sz w:val="22"/>
          <w:szCs w:val="22"/>
        </w:rPr>
        <w:t xml:space="preserve">que existe </w:t>
      </w:r>
      <w:r w:rsidRPr="00A62343">
        <w:rPr>
          <w:rFonts w:ascii="Verdana" w:hAnsi="Verdana" w:cs="Arial"/>
          <w:sz w:val="22"/>
          <w:szCs w:val="22"/>
        </w:rPr>
        <w:t xml:space="preserve">migración y desplazamiento </w:t>
      </w:r>
      <w:r w:rsidR="00634979" w:rsidRPr="00A62343">
        <w:rPr>
          <w:rFonts w:ascii="Verdana" w:hAnsi="Verdana" w:cs="Arial"/>
          <w:sz w:val="22"/>
          <w:szCs w:val="22"/>
        </w:rPr>
        <w:t xml:space="preserve">de personas indígenas, </w:t>
      </w:r>
      <w:r w:rsidRPr="00A62343">
        <w:rPr>
          <w:rFonts w:ascii="Verdana" w:hAnsi="Verdana" w:cs="Arial"/>
          <w:sz w:val="22"/>
          <w:szCs w:val="22"/>
        </w:rPr>
        <w:t xml:space="preserve">de </w:t>
      </w:r>
      <w:r w:rsidR="00634979" w:rsidRPr="00A62343">
        <w:rPr>
          <w:rFonts w:ascii="Verdana" w:hAnsi="Verdana" w:cs="Arial"/>
          <w:sz w:val="22"/>
          <w:szCs w:val="22"/>
        </w:rPr>
        <w:t>sus lugares</w:t>
      </w:r>
      <w:r w:rsidRPr="00A62343">
        <w:rPr>
          <w:rFonts w:ascii="Verdana" w:hAnsi="Verdana" w:cs="Arial"/>
          <w:sz w:val="22"/>
          <w:szCs w:val="22"/>
        </w:rPr>
        <w:t xml:space="preserve"> de origen, </w:t>
      </w:r>
      <w:r w:rsidR="00634979" w:rsidRPr="00A62343">
        <w:rPr>
          <w:rFonts w:ascii="Verdana" w:hAnsi="Verdana" w:cs="Arial"/>
          <w:sz w:val="22"/>
          <w:szCs w:val="22"/>
        </w:rPr>
        <w:t>por motivos económicos, de educación, y de seguridad.</w:t>
      </w:r>
    </w:p>
    <w:p w14:paraId="7516DC6E" w14:textId="75DE1F1F" w:rsidR="00634979" w:rsidRPr="00A62343" w:rsidRDefault="0040288B" w:rsidP="00634979">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Al respecto,</w:t>
      </w:r>
      <w:r w:rsidR="00634979" w:rsidRPr="00A62343">
        <w:rPr>
          <w:rFonts w:ascii="Verdana" w:hAnsi="Verdana" w:cs="Arial"/>
          <w:sz w:val="22"/>
          <w:szCs w:val="22"/>
        </w:rPr>
        <w:t xml:space="preserve"> la Declaración de las Naciones Unidas sobre los derechos de los pueblos indígenas, en sus artículos 1</w:t>
      </w:r>
      <w:r w:rsidR="00FA7E9E" w:rsidRPr="00A62343">
        <w:rPr>
          <w:rFonts w:ascii="Verdana" w:hAnsi="Verdana" w:cs="Arial"/>
          <w:sz w:val="22"/>
          <w:szCs w:val="22"/>
        </w:rPr>
        <w:t xml:space="preserve">º </w:t>
      </w:r>
      <w:r w:rsidR="00634979" w:rsidRPr="00A62343">
        <w:rPr>
          <w:rFonts w:ascii="Verdana" w:hAnsi="Verdana" w:cs="Arial"/>
          <w:sz w:val="22"/>
          <w:szCs w:val="22"/>
        </w:rPr>
        <w:t>y 2</w:t>
      </w:r>
      <w:r w:rsidR="00FA7E9E" w:rsidRPr="00A62343">
        <w:rPr>
          <w:rFonts w:ascii="Verdana" w:hAnsi="Verdana" w:cs="Arial"/>
          <w:sz w:val="22"/>
          <w:szCs w:val="22"/>
        </w:rPr>
        <w:t>º</w:t>
      </w:r>
      <w:r w:rsidR="00634979" w:rsidRPr="00A62343">
        <w:rPr>
          <w:rFonts w:ascii="Verdana" w:hAnsi="Verdana" w:cs="Arial"/>
          <w:sz w:val="22"/>
          <w:szCs w:val="22"/>
        </w:rPr>
        <w:t xml:space="preserve">, señalan que </w:t>
      </w:r>
      <w:r w:rsidR="00634979" w:rsidRPr="00A62343">
        <w:rPr>
          <w:rFonts w:ascii="Verdana" w:hAnsi="Verdana" w:cs="Arial"/>
          <w:b/>
          <w:bCs/>
          <w:sz w:val="22"/>
          <w:szCs w:val="22"/>
        </w:rPr>
        <w:t xml:space="preserve">los indígenas tienen derecho, como pueblos </w:t>
      </w:r>
      <w:r w:rsidR="00634979" w:rsidRPr="00A62343">
        <w:rPr>
          <w:rFonts w:ascii="Verdana" w:hAnsi="Verdana" w:cs="Arial"/>
          <w:b/>
          <w:bCs/>
          <w:sz w:val="22"/>
          <w:szCs w:val="22"/>
          <w:u w:val="single"/>
        </w:rPr>
        <w:t>o como individuos</w:t>
      </w:r>
      <w:r w:rsidR="00634979" w:rsidRPr="00A62343">
        <w:rPr>
          <w:rFonts w:ascii="Verdana" w:hAnsi="Verdana" w:cs="Arial"/>
          <w:sz w:val="22"/>
          <w:szCs w:val="22"/>
        </w:rPr>
        <w:t>, al disfrute pleno de todos los derechos humanos y las libertades fundamentales reconocidos en la Carta de las Naciones Unidas, la Declaración Universal de Derechos Humanos y las normas internacionales de derechos humanos; además, los pueblos y los individuos indígenas son libres e iguales a todos los demás pueblos y personas y tienen derecho a no ser objeto de ningún tipo de discriminación en el ejercicio de sus derechos, en particular la fundada en su origen o identidad indígenas.</w:t>
      </w:r>
    </w:p>
    <w:p w14:paraId="7A6B5566" w14:textId="0B4F18D1" w:rsidR="0040288B" w:rsidRPr="00A62343" w:rsidRDefault="00634979" w:rsidP="0040288B">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A</w:t>
      </w:r>
      <w:r w:rsidR="003F20B5" w:rsidRPr="00A62343">
        <w:rPr>
          <w:rFonts w:ascii="Verdana" w:hAnsi="Verdana" w:cs="Arial"/>
          <w:sz w:val="22"/>
          <w:szCs w:val="22"/>
        </w:rPr>
        <w:t xml:space="preserve"> su vez</w:t>
      </w:r>
      <w:r w:rsidRPr="00A62343">
        <w:rPr>
          <w:rFonts w:ascii="Verdana" w:hAnsi="Verdana" w:cs="Arial"/>
          <w:sz w:val="22"/>
          <w:szCs w:val="22"/>
        </w:rPr>
        <w:t>, la</w:t>
      </w:r>
      <w:r w:rsidR="0040288B" w:rsidRPr="00A62343">
        <w:rPr>
          <w:rFonts w:ascii="Verdana" w:hAnsi="Verdana" w:cs="Arial"/>
          <w:sz w:val="22"/>
          <w:szCs w:val="22"/>
        </w:rPr>
        <w:t xml:space="preserve"> Corte Interamericana de Derechos Humanos ha señalado, que existe un fenómeno del desplazamiento </w:t>
      </w:r>
      <w:r w:rsidRPr="00A62343">
        <w:rPr>
          <w:rFonts w:ascii="Verdana" w:hAnsi="Verdana" w:cs="Arial"/>
          <w:sz w:val="22"/>
          <w:szCs w:val="22"/>
        </w:rPr>
        <w:t xml:space="preserve">de personas indígenas </w:t>
      </w:r>
      <w:r w:rsidR="0040288B" w:rsidRPr="00A62343">
        <w:rPr>
          <w:rFonts w:ascii="Verdana" w:hAnsi="Verdana" w:cs="Arial"/>
          <w:sz w:val="22"/>
          <w:szCs w:val="22"/>
        </w:rPr>
        <w:t xml:space="preserve">que afecta o se ponen en riesgo, </w:t>
      </w:r>
      <w:r w:rsidRPr="00A62343">
        <w:rPr>
          <w:rFonts w:ascii="Verdana" w:hAnsi="Verdana" w:cs="Arial"/>
          <w:sz w:val="22"/>
          <w:szCs w:val="22"/>
        </w:rPr>
        <w:t xml:space="preserve">sus de derechos humanos, </w:t>
      </w:r>
      <w:r w:rsidR="0040288B" w:rsidRPr="00A62343">
        <w:rPr>
          <w:rFonts w:ascii="Verdana" w:hAnsi="Verdana" w:cs="Arial"/>
          <w:sz w:val="22"/>
          <w:szCs w:val="22"/>
        </w:rPr>
        <w:t xml:space="preserve">y en atención a las circunstancias de especial vulnerabilidad e indefensión en que generalmente se encuentran los desplazados, su situación puede ser entendida como una condición de facto de desprotección. Esta situación, conforme a la Convención Americana, obliga a los Estados a adoptar medidas de carácter positivo para revertir los efectos de su referida condición de debilidad, vulnerabilidad e indefensión, incluso vis-à-vis </w:t>
      </w:r>
      <w:r w:rsidRPr="00A62343">
        <w:rPr>
          <w:rFonts w:ascii="Verdana" w:hAnsi="Verdana" w:cs="Arial"/>
          <w:sz w:val="22"/>
          <w:szCs w:val="22"/>
        </w:rPr>
        <w:t>las actuaciones</w:t>
      </w:r>
      <w:r w:rsidR="0040288B" w:rsidRPr="00A62343">
        <w:rPr>
          <w:rFonts w:ascii="Verdana" w:hAnsi="Verdana" w:cs="Arial"/>
          <w:sz w:val="22"/>
          <w:szCs w:val="22"/>
        </w:rPr>
        <w:t xml:space="preserve"> y prácticas de terceros particulares.</w:t>
      </w:r>
      <w:r w:rsidR="0040288B" w:rsidRPr="00A62343">
        <w:rPr>
          <w:rStyle w:val="Refdenotaalpie"/>
          <w:rFonts w:ascii="Verdana" w:hAnsi="Verdana" w:cs="Arial"/>
          <w:sz w:val="22"/>
          <w:szCs w:val="22"/>
        </w:rPr>
        <w:footnoteReference w:id="61"/>
      </w:r>
    </w:p>
    <w:p w14:paraId="1A9CDE1C" w14:textId="5B6F231D" w:rsidR="00DB4C84" w:rsidRPr="00A62343" w:rsidRDefault="00DB4C84" w:rsidP="00DB4C84">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En Aguascalientes en el Artículo 2°, de </w:t>
      </w:r>
      <w:r w:rsidRPr="00A62343">
        <w:rPr>
          <w:rFonts w:ascii="Verdana" w:hAnsi="Verdana"/>
          <w:sz w:val="22"/>
          <w:szCs w:val="22"/>
        </w:rPr>
        <w:t>Ley de Justicia Indígena del Estado de Aguascalientes,</w:t>
      </w:r>
      <w:r w:rsidRPr="00A62343">
        <w:rPr>
          <w:rFonts w:ascii="Verdana" w:hAnsi="Verdana" w:cs="Arial"/>
          <w:sz w:val="22"/>
          <w:szCs w:val="22"/>
        </w:rPr>
        <w:t xml:space="preserve"> expresa que en el territorio del estado de Aguascalientes actualmente no existen asentados pueblos indígenas ni comunidades indígenas que conserven sus propias instituciones sociales, económicas, culturales y políticas o parte de ellas y que sean conscientes de su identidad indígena, ello aún y cuando históricamente tales pueblos y comunidades existieron, puesto que los mismos fueron asimilados a la población, sin embargo se reconoce que esa población desciende de pueblos indígenas además de otros grupos sociológicos, por lo que se </w:t>
      </w:r>
      <w:r w:rsidRPr="00A62343">
        <w:rPr>
          <w:rFonts w:ascii="Verdana" w:hAnsi="Verdana" w:cs="Arial"/>
          <w:sz w:val="22"/>
          <w:szCs w:val="22"/>
        </w:rPr>
        <w:lastRenderedPageBreak/>
        <w:t>declara de interés general el respeto a todos los pueblos, a la cultura, la identidad, las tradiciones y las lenguas indígenas y el rescate de su riqueza.</w:t>
      </w:r>
    </w:p>
    <w:p w14:paraId="459A2D69" w14:textId="730D0817" w:rsidR="00DB4C84" w:rsidRPr="00A62343" w:rsidRDefault="00DB4C84" w:rsidP="00DB4C84">
      <w:pPr>
        <w:spacing w:before="100" w:beforeAutospacing="1" w:after="100" w:afterAutospacing="1" w:line="360" w:lineRule="auto"/>
        <w:jc w:val="both"/>
        <w:rPr>
          <w:rFonts w:ascii="Verdana" w:hAnsi="Verdana" w:cs="Arial"/>
          <w:b/>
          <w:bCs/>
          <w:sz w:val="22"/>
          <w:szCs w:val="22"/>
          <w:u w:val="single"/>
        </w:rPr>
      </w:pPr>
      <w:r w:rsidRPr="00A62343">
        <w:rPr>
          <w:rFonts w:ascii="Verdana" w:hAnsi="Verdana" w:cs="Arial"/>
          <w:sz w:val="22"/>
          <w:szCs w:val="22"/>
        </w:rPr>
        <w:t xml:space="preserve">Asimismo, reconoce que aún y cuando actualmente no existen pueblos y comunidades indígenas asentados en el territorio del Estado, </w:t>
      </w:r>
      <w:r w:rsidRPr="00A62343">
        <w:rPr>
          <w:rFonts w:ascii="Verdana" w:hAnsi="Verdana" w:cs="Arial"/>
          <w:b/>
          <w:bCs/>
          <w:sz w:val="22"/>
          <w:szCs w:val="22"/>
        </w:rPr>
        <w:t xml:space="preserve">si existen indígenas procedentes de otras entidades federativas </w:t>
      </w:r>
      <w:r w:rsidRPr="00A62343">
        <w:rPr>
          <w:rFonts w:ascii="Verdana" w:hAnsi="Verdana" w:cs="Arial"/>
          <w:sz w:val="22"/>
          <w:szCs w:val="22"/>
        </w:rPr>
        <w:t xml:space="preserve">o de otro país que transitan o residen temporal o permanentemente dentro del territorio del Estado, </w:t>
      </w:r>
      <w:r w:rsidRPr="00A62343">
        <w:rPr>
          <w:rFonts w:ascii="Verdana" w:hAnsi="Verdana" w:cs="Arial"/>
          <w:b/>
          <w:bCs/>
          <w:sz w:val="22"/>
          <w:szCs w:val="22"/>
          <w:u w:val="single"/>
        </w:rPr>
        <w:t>serán sujetos de las obligaciones y derechos de la presente Ley, reconociéndoles el derecho a la protección de sus costumbres, usos, tradiciones, lengua, religión, indumentaria y rasgos culturales.</w:t>
      </w:r>
    </w:p>
    <w:p w14:paraId="5D79FD6D" w14:textId="67F614EB" w:rsidR="0040288B" w:rsidRPr="00A62343" w:rsidRDefault="00FA7E9E" w:rsidP="0040288B">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En tal sentido, este tribunal considera apartarse de la determinación expuesta en la sentencia </w:t>
      </w:r>
      <w:r w:rsidR="00C37BD2" w:rsidRPr="00A62343">
        <w:rPr>
          <w:rFonts w:ascii="Verdana" w:hAnsi="Verdana" w:cs="Arial"/>
          <w:sz w:val="22"/>
          <w:szCs w:val="22"/>
        </w:rPr>
        <w:t>TEEA-JDC-016/2020.</w:t>
      </w:r>
    </w:p>
    <w:bookmarkEnd w:id="10"/>
    <w:p w14:paraId="161F6037" w14:textId="0F919CAB" w:rsidR="002B21D4" w:rsidRPr="00A62343" w:rsidRDefault="00C04669" w:rsidP="001F54E1">
      <w:pPr>
        <w:spacing w:before="100" w:beforeAutospacing="1" w:after="100" w:afterAutospacing="1" w:line="360" w:lineRule="auto"/>
        <w:jc w:val="both"/>
        <w:rPr>
          <w:rFonts w:ascii="Verdana" w:hAnsi="Verdana" w:cs="Arial"/>
          <w:b/>
          <w:bCs/>
          <w:sz w:val="22"/>
          <w:szCs w:val="22"/>
        </w:rPr>
      </w:pPr>
      <w:r w:rsidRPr="00A62343">
        <w:rPr>
          <w:rFonts w:ascii="Verdana" w:hAnsi="Verdana" w:cs="Arial"/>
          <w:b/>
          <w:bCs/>
          <w:sz w:val="22"/>
          <w:szCs w:val="22"/>
        </w:rPr>
        <w:t>EFECTOS.</w:t>
      </w:r>
    </w:p>
    <w:p w14:paraId="4CBADC65" w14:textId="259C5E7E"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 xml:space="preserve">Al resultar fundados los agravios expuestos, se ordena </w:t>
      </w:r>
      <w:r w:rsidR="002B4D89" w:rsidRPr="00A62343">
        <w:rPr>
          <w:rFonts w:ascii="Verdana" w:hAnsi="Verdana" w:cs="Arial"/>
          <w:sz w:val="22"/>
          <w:szCs w:val="22"/>
        </w:rPr>
        <w:t xml:space="preserve">a la </w:t>
      </w:r>
      <w:r w:rsidR="002B4D89" w:rsidRPr="00A62343">
        <w:rPr>
          <w:rFonts w:ascii="Verdana" w:hAnsi="Verdana" w:cs="Arial"/>
          <w:smallCaps/>
          <w:sz w:val="22"/>
          <w:szCs w:val="22"/>
        </w:rPr>
        <w:t>Autoridad Responsable</w:t>
      </w:r>
      <w:r w:rsidR="002B4D89" w:rsidRPr="00A62343">
        <w:rPr>
          <w:rFonts w:ascii="Verdana" w:hAnsi="Verdana" w:cs="Arial"/>
          <w:sz w:val="22"/>
          <w:szCs w:val="22"/>
        </w:rPr>
        <w:t xml:space="preserve"> </w:t>
      </w:r>
      <w:r w:rsidRPr="00A62343">
        <w:rPr>
          <w:rFonts w:ascii="Verdana" w:hAnsi="Verdana" w:cs="Arial"/>
          <w:sz w:val="22"/>
          <w:szCs w:val="22"/>
        </w:rPr>
        <w:t xml:space="preserve">modificar el </w:t>
      </w:r>
      <w:r w:rsidRPr="00A62343">
        <w:rPr>
          <w:rFonts w:ascii="Verdana" w:hAnsi="Verdana" w:cs="Arial"/>
          <w:smallCaps/>
          <w:sz w:val="22"/>
          <w:szCs w:val="22"/>
        </w:rPr>
        <w:t>Acto Impugnado</w:t>
      </w:r>
      <w:r w:rsidRPr="00A62343">
        <w:rPr>
          <w:rFonts w:ascii="Verdana" w:hAnsi="Verdana" w:cs="Arial"/>
          <w:sz w:val="22"/>
          <w:szCs w:val="22"/>
        </w:rPr>
        <w:t>, conforme a lo siguiente:</w:t>
      </w:r>
    </w:p>
    <w:p w14:paraId="37A5F44C" w14:textId="3AAAA9B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b/>
          <w:bCs/>
          <w:sz w:val="22"/>
          <w:szCs w:val="22"/>
        </w:rPr>
        <w:t>1.-</w:t>
      </w:r>
      <w:r w:rsidRPr="00A62343">
        <w:rPr>
          <w:rFonts w:ascii="Verdana" w:hAnsi="Verdana" w:cs="Arial"/>
          <w:sz w:val="22"/>
          <w:szCs w:val="22"/>
        </w:rPr>
        <w:t xml:space="preserve"> Dentro del </w:t>
      </w:r>
      <w:r w:rsidR="004B2F8F" w:rsidRPr="00A62343">
        <w:rPr>
          <w:rFonts w:ascii="Verdana" w:hAnsi="Verdana" w:cs="Arial"/>
          <w:sz w:val="22"/>
          <w:szCs w:val="22"/>
        </w:rPr>
        <w:t>t</w:t>
      </w:r>
      <w:r w:rsidRPr="00A62343">
        <w:rPr>
          <w:rFonts w:ascii="Verdana" w:hAnsi="Verdana" w:cs="Arial"/>
          <w:sz w:val="22"/>
          <w:szCs w:val="22"/>
        </w:rPr>
        <w:t xml:space="preserve">érmino de </w:t>
      </w:r>
      <w:r w:rsidR="00BD20B9" w:rsidRPr="00A62343">
        <w:rPr>
          <w:rFonts w:ascii="Verdana" w:hAnsi="Verdana" w:cs="Arial"/>
          <w:sz w:val="22"/>
          <w:szCs w:val="22"/>
        </w:rPr>
        <w:t>diez</w:t>
      </w:r>
      <w:r w:rsidRPr="00A62343">
        <w:rPr>
          <w:rFonts w:ascii="Verdana" w:hAnsi="Verdana" w:cs="Arial"/>
          <w:sz w:val="22"/>
          <w:szCs w:val="22"/>
        </w:rPr>
        <w:t xml:space="preserve"> días, deberá realizar una recopilación exhaustiva para determinar la densidad poblacional indígena en el Estado de Aguascalientes, para lo cual deberá solicitar datos al INE</w:t>
      </w:r>
      <w:r w:rsidR="008A6F61">
        <w:rPr>
          <w:rFonts w:ascii="Verdana" w:hAnsi="Verdana" w:cs="Arial"/>
          <w:sz w:val="22"/>
          <w:szCs w:val="22"/>
        </w:rPr>
        <w:t xml:space="preserve"> </w:t>
      </w:r>
      <w:r w:rsidRPr="00A62343">
        <w:rPr>
          <w:rFonts w:ascii="Verdana" w:hAnsi="Verdana" w:cs="Arial"/>
          <w:sz w:val="22"/>
          <w:szCs w:val="22"/>
        </w:rPr>
        <w:t xml:space="preserve">de la población indígena en el Estado y Municipios, </w:t>
      </w:r>
      <w:r w:rsidR="008A6F61">
        <w:rPr>
          <w:rFonts w:ascii="Verdana" w:hAnsi="Verdana" w:cs="Arial"/>
          <w:sz w:val="22"/>
          <w:szCs w:val="22"/>
        </w:rPr>
        <w:t>así como al INEGI y otras autoridades que considere pertinentes,</w:t>
      </w:r>
      <w:r w:rsidR="008A6F61">
        <w:rPr>
          <w:rFonts w:ascii="Verdana" w:hAnsi="Verdana" w:cs="Arial"/>
          <w:sz w:val="22"/>
          <w:szCs w:val="22"/>
        </w:rPr>
        <w:t xml:space="preserve"> </w:t>
      </w:r>
      <w:r w:rsidRPr="00A62343">
        <w:rPr>
          <w:rFonts w:ascii="Verdana" w:hAnsi="Verdana" w:cs="Arial"/>
          <w:sz w:val="22"/>
          <w:szCs w:val="22"/>
        </w:rPr>
        <w:t xml:space="preserve">y conforme a los datos obtenidos, garantizando las reglas de paridad, considere las cuotas correspondientes y realice las adecuaciones pertinentes al </w:t>
      </w:r>
      <w:r w:rsidRPr="00A62343">
        <w:rPr>
          <w:rFonts w:ascii="Verdana" w:hAnsi="Verdana" w:cs="Arial"/>
          <w:smallCaps/>
          <w:sz w:val="22"/>
          <w:szCs w:val="22"/>
        </w:rPr>
        <w:t>Acuerdo Impugnado</w:t>
      </w:r>
      <w:r w:rsidRPr="00A62343">
        <w:rPr>
          <w:rFonts w:ascii="Verdana" w:hAnsi="Verdana" w:cs="Arial"/>
          <w:sz w:val="22"/>
          <w:szCs w:val="22"/>
        </w:rPr>
        <w:t xml:space="preserve"> y a los lineamientos respectivos, y en su caso</w:t>
      </w:r>
      <w:r w:rsidR="004B2F8F" w:rsidRPr="00A62343">
        <w:rPr>
          <w:rFonts w:ascii="Verdana" w:hAnsi="Verdana" w:cs="Arial"/>
          <w:sz w:val="22"/>
          <w:szCs w:val="22"/>
        </w:rPr>
        <w:t>,</w:t>
      </w:r>
      <w:r w:rsidRPr="00A62343">
        <w:rPr>
          <w:rFonts w:ascii="Verdana" w:hAnsi="Verdana" w:cs="Arial"/>
          <w:sz w:val="22"/>
          <w:szCs w:val="22"/>
        </w:rPr>
        <w:t xml:space="preserve"> destine las fórmulas correspondientes a favor de las personas indígenas.</w:t>
      </w:r>
    </w:p>
    <w:p w14:paraId="7499C6C5" w14:textId="77777777" w:rsidR="002B21D4" w:rsidRPr="00A62343" w:rsidRDefault="002B21D4" w:rsidP="001F54E1">
      <w:pPr>
        <w:spacing w:before="100" w:beforeAutospacing="1" w:after="100" w:afterAutospacing="1" w:line="360" w:lineRule="auto"/>
        <w:jc w:val="both"/>
        <w:rPr>
          <w:rFonts w:ascii="Verdana" w:hAnsi="Verdana" w:cs="Arial"/>
          <w:sz w:val="22"/>
          <w:szCs w:val="22"/>
        </w:rPr>
      </w:pPr>
      <w:r w:rsidRPr="00A62343">
        <w:rPr>
          <w:rFonts w:ascii="Verdana" w:hAnsi="Verdana" w:cs="Arial"/>
          <w:b/>
          <w:bCs/>
          <w:sz w:val="22"/>
          <w:szCs w:val="22"/>
        </w:rPr>
        <w:t>2.-</w:t>
      </w:r>
      <w:r w:rsidRPr="00A62343">
        <w:rPr>
          <w:rFonts w:ascii="Verdana" w:hAnsi="Verdana" w:cs="Arial"/>
          <w:sz w:val="22"/>
          <w:szCs w:val="22"/>
        </w:rPr>
        <w:t xml:space="preserve"> Una vez concluido el proceso electoral 2023-2024, respetando el principio de progresividad, deberá realizar las consultas sobre los grupos de atención prioritaria, de los cuales pretenda implementar algún tipo de acción afirmativa en su beneficio, atendiendo a los parámetros establecidos por la </w:t>
      </w:r>
      <w:r w:rsidRPr="00A62343">
        <w:rPr>
          <w:rFonts w:ascii="Verdana" w:hAnsi="Verdana" w:cs="Arial"/>
          <w:smallCaps/>
          <w:sz w:val="22"/>
          <w:szCs w:val="22"/>
        </w:rPr>
        <w:t>Suprema Corte, Sala Superior</w:t>
      </w:r>
      <w:r w:rsidRPr="00A62343">
        <w:rPr>
          <w:rFonts w:ascii="Verdana" w:hAnsi="Verdana" w:cs="Arial"/>
          <w:sz w:val="22"/>
          <w:szCs w:val="22"/>
        </w:rPr>
        <w:t xml:space="preserve"> y los Organismos Interamericanos en materia de consultas.</w:t>
      </w:r>
    </w:p>
    <w:p w14:paraId="10CEEF6C" w14:textId="255D083B" w:rsidR="009C1068" w:rsidRPr="00A62343" w:rsidRDefault="00373BFA" w:rsidP="001F54E1">
      <w:pPr>
        <w:spacing w:before="100" w:beforeAutospacing="1" w:after="100" w:afterAutospacing="1" w:line="360" w:lineRule="auto"/>
        <w:jc w:val="center"/>
        <w:rPr>
          <w:rFonts w:ascii="Verdana" w:hAnsi="Verdana" w:cs="Tahoma"/>
          <w:color w:val="000000" w:themeColor="text1"/>
          <w:sz w:val="22"/>
          <w:szCs w:val="22"/>
        </w:rPr>
      </w:pPr>
      <w:r w:rsidRPr="00A62343">
        <w:rPr>
          <w:rFonts w:ascii="Verdana" w:hAnsi="Verdana" w:cs="Arial"/>
          <w:b/>
          <w:sz w:val="22"/>
          <w:szCs w:val="22"/>
        </w:rPr>
        <w:t>I</w:t>
      </w:r>
      <w:r w:rsidR="00071931" w:rsidRPr="00A62343">
        <w:rPr>
          <w:rFonts w:ascii="Verdana" w:hAnsi="Verdana" w:cs="Arial"/>
          <w:b/>
          <w:sz w:val="22"/>
          <w:szCs w:val="22"/>
        </w:rPr>
        <w:t>II</w:t>
      </w:r>
      <w:r w:rsidRPr="00A62343">
        <w:rPr>
          <w:rFonts w:ascii="Verdana" w:hAnsi="Verdana" w:cs="Arial"/>
          <w:b/>
          <w:sz w:val="22"/>
          <w:szCs w:val="22"/>
        </w:rPr>
        <w:t xml:space="preserve">. </w:t>
      </w:r>
      <w:r w:rsidR="009C1068" w:rsidRPr="00A62343">
        <w:rPr>
          <w:rFonts w:ascii="Verdana" w:hAnsi="Verdana" w:cs="Arial"/>
          <w:b/>
          <w:sz w:val="22"/>
          <w:szCs w:val="22"/>
        </w:rPr>
        <w:t>RESUELVE</w:t>
      </w:r>
    </w:p>
    <w:p w14:paraId="6DC3AAEB" w14:textId="7A340037" w:rsidR="009C1068" w:rsidRPr="00A62343" w:rsidRDefault="00DE6BA5" w:rsidP="001F54E1">
      <w:pPr>
        <w:spacing w:before="100" w:beforeAutospacing="1" w:after="100" w:afterAutospacing="1" w:line="360" w:lineRule="auto"/>
        <w:ind w:right="51"/>
        <w:jc w:val="both"/>
        <w:rPr>
          <w:rFonts w:ascii="Verdana" w:hAnsi="Verdana" w:cs="Arial"/>
          <w:sz w:val="22"/>
          <w:szCs w:val="22"/>
        </w:rPr>
      </w:pPr>
      <w:r w:rsidRPr="00A62343">
        <w:rPr>
          <w:rFonts w:ascii="Verdana" w:hAnsi="Verdana" w:cs="Arial"/>
          <w:b/>
          <w:bCs/>
          <w:sz w:val="22"/>
          <w:szCs w:val="22"/>
        </w:rPr>
        <w:t>ÚNICO</w:t>
      </w:r>
      <w:r w:rsidR="009C1068" w:rsidRPr="00A62343">
        <w:rPr>
          <w:rFonts w:ascii="Verdana" w:hAnsi="Verdana" w:cs="Arial"/>
          <w:b/>
          <w:bCs/>
          <w:sz w:val="22"/>
          <w:szCs w:val="22"/>
        </w:rPr>
        <w:t>.</w:t>
      </w:r>
      <w:r w:rsidR="009C1068" w:rsidRPr="00A62343">
        <w:rPr>
          <w:rFonts w:ascii="Verdana" w:hAnsi="Verdana" w:cs="Arial"/>
          <w:b/>
          <w:sz w:val="22"/>
          <w:szCs w:val="22"/>
        </w:rPr>
        <w:t xml:space="preserve"> </w:t>
      </w:r>
      <w:r w:rsidR="00BA63AD" w:rsidRPr="00A62343">
        <w:rPr>
          <w:rFonts w:ascii="Verdana" w:hAnsi="Verdana" w:cs="Arial"/>
          <w:bCs/>
          <w:sz w:val="22"/>
          <w:szCs w:val="22"/>
        </w:rPr>
        <w:t xml:space="preserve">Se </w:t>
      </w:r>
      <w:r w:rsidR="002B21D4" w:rsidRPr="00A62343">
        <w:rPr>
          <w:rFonts w:ascii="Verdana" w:hAnsi="Verdana" w:cs="Arial"/>
          <w:b/>
          <w:bCs/>
          <w:sz w:val="22"/>
          <w:szCs w:val="22"/>
        </w:rPr>
        <w:t>MODIFICA</w:t>
      </w:r>
      <w:r w:rsidR="002B21D4" w:rsidRPr="00A62343">
        <w:rPr>
          <w:rFonts w:ascii="Verdana" w:hAnsi="Verdana" w:cs="Arial"/>
          <w:sz w:val="22"/>
          <w:szCs w:val="22"/>
        </w:rPr>
        <w:t xml:space="preserve">, </w:t>
      </w:r>
      <w:r w:rsidR="002B21D4" w:rsidRPr="00A62343">
        <w:rPr>
          <w:rFonts w:ascii="Verdana" w:hAnsi="Verdana"/>
          <w:bCs/>
          <w:sz w:val="22"/>
          <w:szCs w:val="22"/>
        </w:rPr>
        <w:t>en lo que fue materia de impugnación</w:t>
      </w:r>
      <w:r w:rsidR="002B21D4" w:rsidRPr="00A62343">
        <w:rPr>
          <w:rFonts w:ascii="Verdana" w:hAnsi="Verdana" w:cs="Arial"/>
          <w:sz w:val="22"/>
          <w:szCs w:val="22"/>
        </w:rPr>
        <w:t xml:space="preserve"> el</w:t>
      </w:r>
      <w:r w:rsidR="005845B9" w:rsidRPr="00A62343">
        <w:rPr>
          <w:rFonts w:ascii="Verdana" w:hAnsi="Verdana" w:cs="Arial"/>
          <w:sz w:val="22"/>
          <w:szCs w:val="22"/>
        </w:rPr>
        <w:t xml:space="preserve"> </w:t>
      </w:r>
      <w:r w:rsidR="005845B9" w:rsidRPr="00A62343">
        <w:rPr>
          <w:rFonts w:ascii="Verdana" w:hAnsi="Verdana" w:cs="Arial"/>
          <w:smallCaps/>
          <w:sz w:val="22"/>
          <w:szCs w:val="22"/>
        </w:rPr>
        <w:t>Acto Re</w:t>
      </w:r>
      <w:r w:rsidR="006071D4" w:rsidRPr="00A62343">
        <w:rPr>
          <w:rFonts w:ascii="Verdana" w:hAnsi="Verdana" w:cs="Arial"/>
          <w:smallCaps/>
          <w:sz w:val="22"/>
          <w:szCs w:val="22"/>
        </w:rPr>
        <w:t>clamado</w:t>
      </w:r>
      <w:r w:rsidR="002B21D4" w:rsidRPr="00A62343">
        <w:rPr>
          <w:rFonts w:ascii="Verdana" w:hAnsi="Verdana" w:cs="Arial"/>
          <w:sz w:val="22"/>
          <w:szCs w:val="22"/>
        </w:rPr>
        <w:t>, conforme al apartado de efectos.</w:t>
      </w:r>
    </w:p>
    <w:p w14:paraId="0680EB6A" w14:textId="730F5948" w:rsidR="009C1068" w:rsidRPr="00A62343" w:rsidRDefault="009C1068" w:rsidP="001F54E1">
      <w:pPr>
        <w:spacing w:before="100" w:beforeAutospacing="1" w:after="100" w:afterAutospacing="1" w:line="360" w:lineRule="auto"/>
        <w:jc w:val="both"/>
        <w:rPr>
          <w:rFonts w:ascii="Verdana" w:hAnsi="Verdana" w:cs="Arial"/>
          <w:smallCaps/>
          <w:sz w:val="22"/>
          <w:szCs w:val="22"/>
          <w:lang w:val="es-MX"/>
        </w:rPr>
      </w:pPr>
      <w:r w:rsidRPr="00A62343">
        <w:rPr>
          <w:rFonts w:ascii="Verdana" w:hAnsi="Verdana" w:cs="Tahoma"/>
          <w:b/>
          <w:sz w:val="22"/>
          <w:szCs w:val="22"/>
          <w:lang w:val="es-MX"/>
        </w:rPr>
        <w:lastRenderedPageBreak/>
        <w:t>NOTIFÍQUESE</w:t>
      </w:r>
      <w:r w:rsidRPr="00A62343">
        <w:rPr>
          <w:rFonts w:ascii="Verdana" w:hAnsi="Verdana" w:cs="Tahoma"/>
          <w:sz w:val="22"/>
          <w:szCs w:val="22"/>
          <w:lang w:val="es-MX"/>
        </w:rPr>
        <w:t xml:space="preserve"> </w:t>
      </w:r>
      <w:r w:rsidR="00E45428" w:rsidRPr="00A62343">
        <w:rPr>
          <w:rFonts w:ascii="Verdana" w:hAnsi="Verdana" w:cs="Tahoma"/>
          <w:sz w:val="22"/>
          <w:szCs w:val="22"/>
          <w:lang w:val="es-MX"/>
        </w:rPr>
        <w:t>como en derecho corresponda</w:t>
      </w:r>
      <w:r w:rsidRPr="00A62343">
        <w:rPr>
          <w:rFonts w:ascii="Verdana" w:hAnsi="Verdana" w:cs="Arial"/>
          <w:smallCaps/>
          <w:sz w:val="22"/>
          <w:szCs w:val="22"/>
          <w:lang w:val="es-MX"/>
        </w:rPr>
        <w:t>.</w:t>
      </w:r>
    </w:p>
    <w:p w14:paraId="1AD406AB" w14:textId="77777777" w:rsidR="009C1068" w:rsidRPr="00A62343" w:rsidRDefault="009C1068" w:rsidP="001F54E1">
      <w:pPr>
        <w:pStyle w:val="NormalWeb"/>
        <w:widowControl w:val="0"/>
        <w:spacing w:line="360" w:lineRule="auto"/>
        <w:jc w:val="both"/>
        <w:rPr>
          <w:rFonts w:ascii="Verdana" w:hAnsi="Verdana"/>
          <w:sz w:val="22"/>
          <w:szCs w:val="22"/>
        </w:rPr>
      </w:pPr>
      <w:r w:rsidRPr="00A62343">
        <w:rPr>
          <w:rFonts w:ascii="Verdana" w:hAnsi="Verdana"/>
          <w:sz w:val="22"/>
          <w:szCs w:val="22"/>
        </w:rPr>
        <w:t>En su oportunidad, archívese este asunto como total y definitivamente concluido.</w:t>
      </w:r>
    </w:p>
    <w:p w14:paraId="2991B7D8" w14:textId="0525B71A" w:rsidR="002672C8" w:rsidRPr="00A62343" w:rsidRDefault="009C1068" w:rsidP="001F54E1">
      <w:pPr>
        <w:widowControl w:val="0"/>
        <w:spacing w:before="100" w:beforeAutospacing="1" w:after="100" w:afterAutospacing="1" w:line="360" w:lineRule="auto"/>
        <w:jc w:val="both"/>
        <w:rPr>
          <w:rFonts w:ascii="Verdana" w:hAnsi="Verdana" w:cs="Arial"/>
          <w:sz w:val="22"/>
          <w:szCs w:val="22"/>
        </w:rPr>
      </w:pPr>
      <w:r w:rsidRPr="00A62343">
        <w:rPr>
          <w:rFonts w:ascii="Verdana" w:hAnsi="Verdana" w:cs="Arial"/>
          <w:sz w:val="22"/>
          <w:szCs w:val="22"/>
        </w:rPr>
        <w:t>Así lo resolvieron por</w:t>
      </w:r>
      <w:r w:rsidR="00796621" w:rsidRPr="00A62343">
        <w:rPr>
          <w:rFonts w:ascii="Verdana" w:hAnsi="Verdana" w:cs="Arial"/>
          <w:sz w:val="22"/>
          <w:szCs w:val="22"/>
        </w:rPr>
        <w:t xml:space="preserve"> </w:t>
      </w:r>
      <w:r w:rsidR="00A62343">
        <w:rPr>
          <w:rFonts w:ascii="Verdana" w:hAnsi="Verdana" w:cs="Arial"/>
          <w:b/>
          <w:bCs/>
          <w:sz w:val="22"/>
          <w:szCs w:val="22"/>
        </w:rPr>
        <w:t>unanimidad</w:t>
      </w:r>
      <w:r w:rsidRPr="00A62343">
        <w:rPr>
          <w:rFonts w:ascii="Verdana" w:hAnsi="Verdana" w:cs="Arial"/>
          <w:b/>
          <w:sz w:val="22"/>
          <w:szCs w:val="22"/>
        </w:rPr>
        <w:t xml:space="preserve"> </w:t>
      </w:r>
      <w:r w:rsidRPr="00A62343">
        <w:rPr>
          <w:rFonts w:ascii="Verdana" w:hAnsi="Verdana" w:cs="Arial"/>
          <w:sz w:val="22"/>
          <w:szCs w:val="22"/>
        </w:rPr>
        <w:t>de votos las Magistraturas Héctor Salvador Hernández Gallegos, Magistra</w:t>
      </w:r>
      <w:r w:rsidR="00CD1205" w:rsidRPr="00A62343">
        <w:rPr>
          <w:rFonts w:ascii="Verdana" w:hAnsi="Verdana" w:cs="Arial"/>
          <w:sz w:val="22"/>
          <w:szCs w:val="22"/>
        </w:rPr>
        <w:t>tura que</w:t>
      </w:r>
      <w:r w:rsidRPr="00A62343">
        <w:rPr>
          <w:rFonts w:ascii="Verdana" w:hAnsi="Verdana" w:cs="Arial"/>
          <w:sz w:val="22"/>
          <w:szCs w:val="22"/>
        </w:rPr>
        <w:t xml:space="preserve"> Presid</w:t>
      </w:r>
      <w:r w:rsidR="00CD1205" w:rsidRPr="00A62343">
        <w:rPr>
          <w:rFonts w:ascii="Verdana" w:hAnsi="Verdana" w:cs="Arial"/>
          <w:sz w:val="22"/>
          <w:szCs w:val="22"/>
        </w:rPr>
        <w:t>e</w:t>
      </w:r>
      <w:r w:rsidR="009016C8" w:rsidRPr="00A62343">
        <w:rPr>
          <w:rFonts w:ascii="Verdana" w:hAnsi="Verdana" w:cs="Arial"/>
          <w:sz w:val="22"/>
          <w:szCs w:val="22"/>
        </w:rPr>
        <w:t>,</w:t>
      </w:r>
      <w:r w:rsidRPr="00A62343">
        <w:rPr>
          <w:rFonts w:ascii="Verdana" w:hAnsi="Verdana" w:cs="Arial"/>
          <w:sz w:val="22"/>
          <w:szCs w:val="22"/>
        </w:rPr>
        <w:t xml:space="preserve"> </w:t>
      </w:r>
      <w:r w:rsidR="009016C8" w:rsidRPr="00A62343">
        <w:rPr>
          <w:rFonts w:ascii="Verdana" w:hAnsi="Verdana" w:cs="Arial"/>
          <w:sz w:val="22"/>
          <w:szCs w:val="22"/>
        </w:rPr>
        <w:t>Magistrada Laura Hortensia Llamas Hernández</w:t>
      </w:r>
      <w:r w:rsidR="00BA63AD" w:rsidRPr="00A62343">
        <w:rPr>
          <w:rFonts w:ascii="Verdana" w:hAnsi="Verdana" w:cs="Arial"/>
          <w:sz w:val="22"/>
          <w:szCs w:val="22"/>
        </w:rPr>
        <w:t xml:space="preserve"> </w:t>
      </w:r>
      <w:r w:rsidRPr="00A62343">
        <w:rPr>
          <w:rFonts w:ascii="Verdana" w:hAnsi="Verdana" w:cs="Arial"/>
          <w:sz w:val="22"/>
          <w:szCs w:val="22"/>
        </w:rPr>
        <w:t>y</w:t>
      </w:r>
      <w:r w:rsidR="00E305AC" w:rsidRPr="00A62343">
        <w:rPr>
          <w:rFonts w:ascii="Verdana" w:hAnsi="Verdana" w:cs="Arial"/>
          <w:sz w:val="22"/>
          <w:szCs w:val="22"/>
        </w:rPr>
        <w:t xml:space="preserve"> </w:t>
      </w:r>
      <w:r w:rsidR="00B72F4D" w:rsidRPr="00A62343">
        <w:rPr>
          <w:rFonts w:ascii="Verdana" w:hAnsi="Verdana" w:cs="Arial"/>
          <w:sz w:val="22"/>
          <w:szCs w:val="22"/>
        </w:rPr>
        <w:t>el</w:t>
      </w:r>
      <w:r w:rsidRPr="00A62343">
        <w:rPr>
          <w:rFonts w:ascii="Verdana" w:hAnsi="Verdana" w:cs="Arial"/>
          <w:sz w:val="22"/>
          <w:szCs w:val="22"/>
        </w:rPr>
        <w:t xml:space="preserve"> Magistrad</w:t>
      </w:r>
      <w:r w:rsidR="00B72F4D" w:rsidRPr="00A62343">
        <w:rPr>
          <w:rFonts w:ascii="Verdana" w:hAnsi="Verdana" w:cs="Arial"/>
          <w:sz w:val="22"/>
          <w:szCs w:val="22"/>
        </w:rPr>
        <w:t>o</w:t>
      </w:r>
      <w:r w:rsidRPr="00A62343">
        <w:rPr>
          <w:rFonts w:ascii="Verdana" w:hAnsi="Verdana" w:cs="Arial"/>
          <w:sz w:val="22"/>
          <w:szCs w:val="22"/>
        </w:rPr>
        <w:t xml:space="preserve"> en funciones </w:t>
      </w:r>
      <w:r w:rsidR="00B72F4D" w:rsidRPr="00A62343">
        <w:rPr>
          <w:rFonts w:ascii="Verdana" w:hAnsi="Verdana" w:cs="Arial"/>
          <w:sz w:val="22"/>
          <w:szCs w:val="22"/>
        </w:rPr>
        <w:t>Néstor Enrique Rivera López</w:t>
      </w:r>
      <w:r w:rsidR="002C60BA" w:rsidRPr="00A62343">
        <w:rPr>
          <w:rFonts w:ascii="Verdana" w:hAnsi="Verdana" w:cs="Arial"/>
          <w:sz w:val="22"/>
          <w:szCs w:val="22"/>
        </w:rPr>
        <w:t>,</w:t>
      </w:r>
      <w:r w:rsidR="00A62343">
        <w:rPr>
          <w:rFonts w:ascii="Verdana" w:hAnsi="Verdana" w:cs="Arial"/>
          <w:sz w:val="22"/>
          <w:szCs w:val="22"/>
        </w:rPr>
        <w:t xml:space="preserve"> con voto concurrente de la </w:t>
      </w:r>
      <w:r w:rsidR="00A62343" w:rsidRPr="00A62343">
        <w:rPr>
          <w:rFonts w:ascii="Verdana" w:hAnsi="Verdana" w:cs="Arial"/>
          <w:sz w:val="22"/>
          <w:szCs w:val="22"/>
        </w:rPr>
        <w:t>Magistrada Laura Hortensia Llamas Hernández</w:t>
      </w:r>
      <w:r w:rsidR="00A62343">
        <w:rPr>
          <w:rFonts w:ascii="Verdana" w:hAnsi="Verdana" w:cs="Arial"/>
          <w:sz w:val="22"/>
          <w:szCs w:val="22"/>
        </w:rPr>
        <w:t>,</w:t>
      </w:r>
      <w:r w:rsidR="00796621" w:rsidRPr="00A62343">
        <w:rPr>
          <w:rFonts w:ascii="Verdana" w:hAnsi="Verdana" w:cs="Arial"/>
          <w:sz w:val="22"/>
          <w:szCs w:val="22"/>
        </w:rPr>
        <w:t xml:space="preserve"> </w:t>
      </w:r>
      <w:r w:rsidR="006372B9" w:rsidRPr="00A62343">
        <w:rPr>
          <w:rFonts w:ascii="Verdana" w:hAnsi="Verdana" w:cs="Arial"/>
          <w:sz w:val="22"/>
          <w:szCs w:val="22"/>
        </w:rPr>
        <w:t>quienes</w:t>
      </w:r>
      <w:r w:rsidRPr="00A62343">
        <w:rPr>
          <w:rFonts w:ascii="Verdana" w:hAnsi="Verdana" w:cs="Arial"/>
          <w:sz w:val="22"/>
          <w:szCs w:val="22"/>
        </w:rPr>
        <w:t xml:space="preserve"> actúan ante la Secretaría General de </w:t>
      </w:r>
      <w:r w:rsidR="00865526" w:rsidRPr="00A62343">
        <w:rPr>
          <w:rFonts w:ascii="Verdana" w:hAnsi="Verdana" w:cs="Arial"/>
          <w:sz w:val="22"/>
          <w:szCs w:val="22"/>
        </w:rPr>
        <w:t>A</w:t>
      </w:r>
      <w:r w:rsidRPr="00A62343">
        <w:rPr>
          <w:rFonts w:ascii="Verdana" w:hAnsi="Verdana" w:cs="Arial"/>
          <w:sz w:val="22"/>
          <w:szCs w:val="22"/>
        </w:rPr>
        <w:t>cuerdos en funciones, quién autoriza y da fe. Conste</w:t>
      </w:r>
      <w:r w:rsidR="002672C8" w:rsidRPr="00A62343">
        <w:rPr>
          <w:rFonts w:ascii="Verdana" w:hAnsi="Verdana" w:cs="Arial"/>
          <w:sz w:val="22"/>
          <w:szCs w:val="22"/>
        </w:rPr>
        <w:t>.</w:t>
      </w:r>
    </w:p>
    <w:p w14:paraId="44EA8AE1" w14:textId="77777777" w:rsidR="00C3502A" w:rsidRPr="00A62343" w:rsidRDefault="00C3502A" w:rsidP="0099661F">
      <w:pPr>
        <w:widowControl w:val="0"/>
        <w:spacing w:before="0" w:after="0"/>
        <w:jc w:val="both"/>
        <w:rPr>
          <w:rFonts w:ascii="Verdana" w:hAnsi="Verdana" w:cs="Arial"/>
          <w:sz w:val="22"/>
          <w:szCs w:val="22"/>
        </w:rPr>
      </w:pPr>
    </w:p>
    <w:p w14:paraId="2FF96977" w14:textId="77777777" w:rsidR="002672C8" w:rsidRPr="00A62343" w:rsidRDefault="002672C8" w:rsidP="0099661F">
      <w:pPr>
        <w:pStyle w:val="Sinespaciado"/>
        <w:jc w:val="center"/>
        <w:rPr>
          <w:rFonts w:ascii="Verdana" w:hAnsi="Verdana"/>
          <w:b/>
          <w:bCs/>
          <w:sz w:val="22"/>
          <w:szCs w:val="22"/>
        </w:rPr>
      </w:pPr>
      <w:r w:rsidRPr="00A62343">
        <w:rPr>
          <w:rFonts w:ascii="Verdana" w:hAnsi="Verdana"/>
          <w:b/>
          <w:bCs/>
          <w:sz w:val="22"/>
          <w:szCs w:val="22"/>
        </w:rPr>
        <w:t>MAGISTRATURA QUE PRESIDE</w:t>
      </w:r>
    </w:p>
    <w:p w14:paraId="25727FC3" w14:textId="77777777" w:rsidR="0099661F" w:rsidRPr="00A62343" w:rsidRDefault="0099661F" w:rsidP="0099661F">
      <w:pPr>
        <w:pStyle w:val="Sinespaciado"/>
        <w:jc w:val="center"/>
        <w:rPr>
          <w:rFonts w:ascii="Verdana" w:hAnsi="Verdana"/>
          <w:b/>
          <w:bCs/>
          <w:sz w:val="22"/>
          <w:szCs w:val="22"/>
        </w:rPr>
      </w:pPr>
    </w:p>
    <w:p w14:paraId="62326607" w14:textId="77777777" w:rsidR="0099661F" w:rsidRPr="00A62343" w:rsidRDefault="0099661F" w:rsidP="0099661F">
      <w:pPr>
        <w:pStyle w:val="Sinespaciado"/>
        <w:jc w:val="center"/>
        <w:rPr>
          <w:rFonts w:ascii="Verdana" w:hAnsi="Verdana"/>
          <w:b/>
          <w:bCs/>
          <w:sz w:val="22"/>
          <w:szCs w:val="22"/>
        </w:rPr>
      </w:pPr>
    </w:p>
    <w:p w14:paraId="69B8D36D" w14:textId="77777777" w:rsidR="0099661F" w:rsidRPr="00A62343" w:rsidRDefault="0099661F" w:rsidP="0099661F">
      <w:pPr>
        <w:pStyle w:val="Sinespaciado"/>
        <w:jc w:val="center"/>
        <w:rPr>
          <w:rFonts w:ascii="Verdana" w:hAnsi="Verdana"/>
          <w:b/>
          <w:bCs/>
          <w:sz w:val="22"/>
          <w:szCs w:val="22"/>
        </w:rPr>
      </w:pPr>
    </w:p>
    <w:p w14:paraId="2D87CD7F" w14:textId="77777777" w:rsidR="0099661F" w:rsidRPr="00A62343" w:rsidRDefault="0099661F" w:rsidP="0099661F">
      <w:pPr>
        <w:pStyle w:val="Sinespaciado"/>
        <w:jc w:val="center"/>
        <w:rPr>
          <w:rFonts w:ascii="Verdana" w:hAnsi="Verdana"/>
          <w:b/>
          <w:bCs/>
          <w:sz w:val="22"/>
          <w:szCs w:val="22"/>
        </w:rPr>
      </w:pPr>
    </w:p>
    <w:p w14:paraId="0E4FCD08" w14:textId="77777777" w:rsidR="002672C8" w:rsidRPr="00A62343" w:rsidRDefault="002672C8" w:rsidP="0099661F">
      <w:pPr>
        <w:pStyle w:val="Sinespaciado"/>
        <w:jc w:val="center"/>
        <w:rPr>
          <w:rFonts w:ascii="Verdana" w:hAnsi="Verdana"/>
          <w:b/>
          <w:bCs/>
          <w:sz w:val="22"/>
          <w:szCs w:val="22"/>
        </w:rPr>
      </w:pPr>
      <w:r w:rsidRPr="00A62343">
        <w:rPr>
          <w:rFonts w:ascii="Verdana" w:hAnsi="Verdana"/>
          <w:b/>
          <w:bCs/>
          <w:sz w:val="22"/>
          <w:szCs w:val="22"/>
        </w:rPr>
        <w:t>HÉCTOR SALVADOR HERNÁNDEZ GALLEGOS</w:t>
      </w:r>
    </w:p>
    <w:p w14:paraId="2679545F" w14:textId="77777777" w:rsidR="002672C8" w:rsidRPr="00A62343" w:rsidRDefault="002672C8" w:rsidP="0099661F">
      <w:pPr>
        <w:pStyle w:val="Sinespaciado"/>
        <w:jc w:val="center"/>
        <w:rPr>
          <w:rFonts w:ascii="Verdana" w:hAnsi="Verdana"/>
          <w:b/>
          <w:bCs/>
          <w:sz w:val="22"/>
          <w:szCs w:val="22"/>
        </w:rPr>
      </w:pPr>
    </w:p>
    <w:p w14:paraId="16BC0EC8" w14:textId="77777777" w:rsidR="002672C8" w:rsidRPr="00A62343" w:rsidRDefault="002672C8" w:rsidP="0099661F">
      <w:pPr>
        <w:pStyle w:val="Sinespaciado"/>
        <w:rPr>
          <w:rFonts w:ascii="Verdana" w:hAnsi="Verdana"/>
          <w:b/>
          <w:bCs/>
          <w:sz w:val="22"/>
          <w:szCs w:val="22"/>
        </w:rPr>
      </w:pPr>
    </w:p>
    <w:p w14:paraId="6103A2CC" w14:textId="77777777" w:rsidR="0099661F" w:rsidRPr="00A62343" w:rsidRDefault="0099661F" w:rsidP="0099661F">
      <w:pPr>
        <w:pStyle w:val="Sinespaciado"/>
        <w:rPr>
          <w:rFonts w:ascii="Verdana" w:hAnsi="Verdana"/>
          <w:b/>
          <w:bCs/>
          <w:sz w:val="22"/>
          <w:szCs w:val="22"/>
        </w:rPr>
      </w:pPr>
    </w:p>
    <w:p w14:paraId="7471122A" w14:textId="77777777" w:rsidR="0099661F" w:rsidRPr="00A62343" w:rsidRDefault="0099661F" w:rsidP="0099661F">
      <w:pPr>
        <w:pStyle w:val="Sinespaciado"/>
        <w:rPr>
          <w:rFonts w:ascii="Verdana" w:hAnsi="Verdana"/>
          <w:b/>
          <w:bCs/>
          <w:sz w:val="22"/>
          <w:szCs w:val="22"/>
        </w:rPr>
        <w:sectPr w:rsidR="0099661F" w:rsidRPr="00A62343" w:rsidSect="009557D8">
          <w:headerReference w:type="even" r:id="rId9"/>
          <w:headerReference w:type="default" r:id="rId10"/>
          <w:footerReference w:type="even" r:id="rId11"/>
          <w:footerReference w:type="default" r:id="rId12"/>
          <w:headerReference w:type="first" r:id="rId13"/>
          <w:footerReference w:type="first" r:id="rId14"/>
          <w:pgSz w:w="12240" w:h="20160" w:code="5"/>
          <w:pgMar w:top="3061" w:right="1418" w:bottom="1135" w:left="2835" w:header="709" w:footer="305" w:gutter="0"/>
          <w:pgNumType w:start="1"/>
          <w:cols w:space="708"/>
          <w:titlePg/>
          <w:docGrid w:linePitch="360"/>
        </w:sectPr>
      </w:pPr>
    </w:p>
    <w:p w14:paraId="683AFCE4" w14:textId="77777777" w:rsidR="002672C8" w:rsidRPr="00A62343" w:rsidRDefault="002672C8" w:rsidP="0099661F">
      <w:pPr>
        <w:pStyle w:val="Sinespaciado"/>
        <w:jc w:val="center"/>
        <w:rPr>
          <w:rFonts w:ascii="Verdana" w:hAnsi="Verdana"/>
          <w:b/>
          <w:bCs/>
          <w:sz w:val="22"/>
          <w:szCs w:val="22"/>
        </w:rPr>
      </w:pPr>
      <w:r w:rsidRPr="00A62343">
        <w:rPr>
          <w:rFonts w:ascii="Verdana" w:hAnsi="Verdana"/>
          <w:b/>
          <w:bCs/>
          <w:sz w:val="22"/>
          <w:szCs w:val="22"/>
        </w:rPr>
        <w:t>MAGISTRATURA</w:t>
      </w:r>
    </w:p>
    <w:p w14:paraId="445AA275" w14:textId="77777777" w:rsidR="002672C8" w:rsidRPr="00A62343" w:rsidRDefault="002672C8" w:rsidP="0099661F">
      <w:pPr>
        <w:pStyle w:val="Sinespaciado"/>
        <w:jc w:val="center"/>
        <w:rPr>
          <w:rFonts w:ascii="Verdana" w:hAnsi="Verdana"/>
          <w:b/>
          <w:bCs/>
          <w:sz w:val="22"/>
          <w:szCs w:val="22"/>
        </w:rPr>
      </w:pPr>
    </w:p>
    <w:p w14:paraId="348376A7" w14:textId="77777777" w:rsidR="0099661F" w:rsidRPr="00A62343" w:rsidRDefault="0099661F" w:rsidP="0099661F">
      <w:pPr>
        <w:pStyle w:val="Sinespaciado"/>
        <w:jc w:val="center"/>
        <w:rPr>
          <w:rFonts w:ascii="Verdana" w:hAnsi="Verdana"/>
          <w:b/>
          <w:bCs/>
          <w:sz w:val="22"/>
          <w:szCs w:val="22"/>
        </w:rPr>
      </w:pPr>
    </w:p>
    <w:p w14:paraId="2AF56509" w14:textId="77777777" w:rsidR="0099661F" w:rsidRPr="00A62343" w:rsidRDefault="0099661F" w:rsidP="0099661F">
      <w:pPr>
        <w:pStyle w:val="Sinespaciado"/>
        <w:jc w:val="center"/>
        <w:rPr>
          <w:rFonts w:ascii="Verdana" w:hAnsi="Verdana"/>
          <w:b/>
          <w:bCs/>
          <w:sz w:val="22"/>
          <w:szCs w:val="22"/>
        </w:rPr>
      </w:pPr>
    </w:p>
    <w:p w14:paraId="515CE6AD" w14:textId="77777777" w:rsidR="0099661F" w:rsidRPr="00A62343" w:rsidRDefault="0099661F" w:rsidP="0099661F">
      <w:pPr>
        <w:pStyle w:val="Sinespaciado"/>
        <w:jc w:val="center"/>
        <w:rPr>
          <w:rFonts w:ascii="Verdana" w:hAnsi="Verdana"/>
          <w:b/>
          <w:bCs/>
          <w:sz w:val="22"/>
          <w:szCs w:val="22"/>
        </w:rPr>
      </w:pPr>
    </w:p>
    <w:p w14:paraId="3A049AB5" w14:textId="2F615730" w:rsidR="002672C8" w:rsidRPr="00A62343" w:rsidRDefault="002672C8" w:rsidP="0099661F">
      <w:pPr>
        <w:pStyle w:val="Sinespaciado"/>
        <w:jc w:val="center"/>
        <w:rPr>
          <w:rFonts w:ascii="Verdana" w:hAnsi="Verdana"/>
          <w:b/>
          <w:bCs/>
          <w:sz w:val="22"/>
          <w:szCs w:val="22"/>
        </w:rPr>
      </w:pPr>
      <w:r w:rsidRPr="00A62343">
        <w:rPr>
          <w:rFonts w:ascii="Verdana" w:hAnsi="Verdana"/>
          <w:b/>
          <w:bCs/>
          <w:sz w:val="22"/>
          <w:szCs w:val="22"/>
        </w:rPr>
        <w:t>LAURA HORTENSIA LLAMAS HERNÁNDEZ</w:t>
      </w:r>
    </w:p>
    <w:p w14:paraId="41A8CF7C" w14:textId="77777777" w:rsidR="002672C8" w:rsidRPr="00A62343" w:rsidRDefault="002672C8" w:rsidP="0099661F">
      <w:pPr>
        <w:pStyle w:val="Sinespaciado"/>
        <w:jc w:val="center"/>
        <w:rPr>
          <w:rFonts w:ascii="Verdana" w:hAnsi="Verdana"/>
          <w:b/>
          <w:bCs/>
          <w:sz w:val="22"/>
          <w:szCs w:val="22"/>
        </w:rPr>
      </w:pPr>
      <w:r w:rsidRPr="00A62343">
        <w:rPr>
          <w:rFonts w:ascii="Verdana" w:hAnsi="Verdana"/>
          <w:b/>
          <w:bCs/>
          <w:sz w:val="22"/>
          <w:szCs w:val="22"/>
        </w:rPr>
        <w:t>MAGISTRATURA EN FUNCIONES</w:t>
      </w:r>
    </w:p>
    <w:p w14:paraId="25F7FC90" w14:textId="77777777" w:rsidR="0099661F" w:rsidRPr="00A62343" w:rsidRDefault="0099661F" w:rsidP="0099661F">
      <w:pPr>
        <w:pStyle w:val="Sinespaciado"/>
        <w:jc w:val="center"/>
        <w:rPr>
          <w:rFonts w:ascii="Verdana" w:hAnsi="Verdana"/>
          <w:b/>
          <w:bCs/>
          <w:sz w:val="22"/>
          <w:szCs w:val="22"/>
        </w:rPr>
      </w:pPr>
    </w:p>
    <w:p w14:paraId="377F72BC" w14:textId="77777777" w:rsidR="002672C8" w:rsidRPr="00A62343" w:rsidRDefault="002672C8" w:rsidP="0099661F">
      <w:pPr>
        <w:pStyle w:val="Sinespaciado"/>
        <w:jc w:val="center"/>
        <w:rPr>
          <w:rFonts w:ascii="Verdana" w:hAnsi="Verdana"/>
          <w:b/>
          <w:bCs/>
          <w:sz w:val="22"/>
          <w:szCs w:val="22"/>
        </w:rPr>
      </w:pPr>
    </w:p>
    <w:p w14:paraId="24E1CF27" w14:textId="77777777" w:rsidR="0099661F" w:rsidRPr="00A62343" w:rsidRDefault="0099661F" w:rsidP="0099661F">
      <w:pPr>
        <w:pStyle w:val="Sinespaciado"/>
        <w:jc w:val="center"/>
        <w:rPr>
          <w:rFonts w:ascii="Verdana" w:hAnsi="Verdana"/>
          <w:b/>
          <w:bCs/>
          <w:sz w:val="22"/>
          <w:szCs w:val="22"/>
        </w:rPr>
      </w:pPr>
    </w:p>
    <w:p w14:paraId="042CA21D" w14:textId="35AC051B" w:rsidR="002672C8" w:rsidRPr="00A62343" w:rsidRDefault="00B72F4D" w:rsidP="0099661F">
      <w:pPr>
        <w:pStyle w:val="Sinespaciado"/>
        <w:jc w:val="center"/>
        <w:rPr>
          <w:rFonts w:ascii="Verdana" w:hAnsi="Verdana"/>
          <w:b/>
          <w:bCs/>
          <w:sz w:val="22"/>
          <w:szCs w:val="22"/>
        </w:rPr>
      </w:pPr>
      <w:r w:rsidRPr="00A62343">
        <w:rPr>
          <w:rFonts w:ascii="Verdana" w:hAnsi="Verdana"/>
          <w:b/>
          <w:bCs/>
          <w:sz w:val="22"/>
          <w:szCs w:val="22"/>
        </w:rPr>
        <w:t>NÉSTOR ENRIQUE RIVERA LÓPEZ</w:t>
      </w:r>
    </w:p>
    <w:p w14:paraId="30D2CBCC" w14:textId="77777777" w:rsidR="002672C8" w:rsidRPr="00A62343" w:rsidRDefault="002672C8" w:rsidP="0099661F">
      <w:pPr>
        <w:pStyle w:val="Sinespaciado"/>
        <w:rPr>
          <w:rFonts w:ascii="Verdana" w:hAnsi="Verdana"/>
          <w:b/>
          <w:bCs/>
          <w:sz w:val="22"/>
          <w:szCs w:val="22"/>
        </w:rPr>
        <w:sectPr w:rsidR="002672C8" w:rsidRPr="00A62343" w:rsidSect="002672C8">
          <w:type w:val="continuous"/>
          <w:pgSz w:w="12240" w:h="20160" w:code="5"/>
          <w:pgMar w:top="3061" w:right="1418" w:bottom="1135" w:left="2835" w:header="709" w:footer="305" w:gutter="0"/>
          <w:pgNumType w:start="1"/>
          <w:cols w:num="2" w:space="708"/>
          <w:titlePg/>
          <w:docGrid w:linePitch="360"/>
        </w:sectPr>
      </w:pPr>
    </w:p>
    <w:p w14:paraId="12947CC8" w14:textId="77777777" w:rsidR="002672C8" w:rsidRPr="00A62343" w:rsidRDefault="002672C8" w:rsidP="0099661F">
      <w:pPr>
        <w:pStyle w:val="Sinespaciado"/>
        <w:rPr>
          <w:rFonts w:ascii="Verdana" w:hAnsi="Verdana"/>
          <w:b/>
          <w:bCs/>
          <w:sz w:val="22"/>
          <w:szCs w:val="22"/>
        </w:rPr>
      </w:pPr>
    </w:p>
    <w:p w14:paraId="3898D27F" w14:textId="77777777" w:rsidR="0099661F" w:rsidRPr="00A62343" w:rsidRDefault="0099661F" w:rsidP="0099661F">
      <w:pPr>
        <w:pStyle w:val="Sinespaciado"/>
        <w:jc w:val="center"/>
        <w:rPr>
          <w:rFonts w:ascii="Verdana" w:hAnsi="Verdana"/>
          <w:b/>
          <w:bCs/>
          <w:sz w:val="22"/>
          <w:szCs w:val="22"/>
        </w:rPr>
      </w:pPr>
    </w:p>
    <w:p w14:paraId="20DAF703" w14:textId="77777777" w:rsidR="0099661F" w:rsidRPr="00A62343" w:rsidRDefault="0099661F" w:rsidP="0099661F">
      <w:pPr>
        <w:pStyle w:val="Sinespaciado"/>
        <w:jc w:val="center"/>
        <w:rPr>
          <w:rFonts w:ascii="Verdana" w:hAnsi="Verdana"/>
          <w:b/>
          <w:bCs/>
          <w:sz w:val="22"/>
          <w:szCs w:val="22"/>
        </w:rPr>
      </w:pPr>
    </w:p>
    <w:p w14:paraId="65A1D10B" w14:textId="59D022FC" w:rsidR="002672C8" w:rsidRPr="00A62343" w:rsidRDefault="002672C8" w:rsidP="0099661F">
      <w:pPr>
        <w:pStyle w:val="Sinespaciado"/>
        <w:jc w:val="center"/>
        <w:rPr>
          <w:rFonts w:ascii="Verdana" w:hAnsi="Verdana"/>
          <w:b/>
          <w:bCs/>
          <w:sz w:val="22"/>
          <w:szCs w:val="22"/>
        </w:rPr>
      </w:pPr>
      <w:r w:rsidRPr="00A62343">
        <w:rPr>
          <w:rFonts w:ascii="Verdana" w:hAnsi="Verdana"/>
          <w:b/>
          <w:bCs/>
          <w:sz w:val="22"/>
          <w:szCs w:val="22"/>
        </w:rPr>
        <w:t xml:space="preserve">SECRETARÍA GENERAL </w:t>
      </w:r>
    </w:p>
    <w:p w14:paraId="6583ADA4" w14:textId="0BDD717C" w:rsidR="002672C8" w:rsidRPr="00A62343" w:rsidRDefault="002672C8" w:rsidP="0099661F">
      <w:pPr>
        <w:pStyle w:val="Sinespaciado"/>
        <w:jc w:val="center"/>
        <w:rPr>
          <w:rFonts w:ascii="Verdana" w:hAnsi="Verdana"/>
          <w:b/>
          <w:bCs/>
          <w:sz w:val="22"/>
          <w:szCs w:val="22"/>
        </w:rPr>
      </w:pPr>
      <w:r w:rsidRPr="00A62343">
        <w:rPr>
          <w:rFonts w:ascii="Verdana" w:hAnsi="Verdana"/>
          <w:b/>
          <w:bCs/>
          <w:sz w:val="22"/>
          <w:szCs w:val="22"/>
        </w:rPr>
        <w:t>DE ACUERDOS EN FUNCIONES</w:t>
      </w:r>
    </w:p>
    <w:p w14:paraId="4B484082" w14:textId="77777777" w:rsidR="0099661F" w:rsidRPr="00A62343" w:rsidRDefault="0099661F" w:rsidP="0099661F">
      <w:pPr>
        <w:pStyle w:val="Sinespaciado"/>
        <w:jc w:val="center"/>
        <w:rPr>
          <w:rFonts w:ascii="Verdana" w:hAnsi="Verdana"/>
          <w:b/>
          <w:bCs/>
          <w:sz w:val="22"/>
          <w:szCs w:val="22"/>
        </w:rPr>
      </w:pPr>
    </w:p>
    <w:p w14:paraId="7677928F" w14:textId="77777777" w:rsidR="0099661F" w:rsidRPr="00A62343" w:rsidRDefault="0099661F" w:rsidP="0099661F">
      <w:pPr>
        <w:pStyle w:val="Sinespaciado"/>
        <w:jc w:val="center"/>
        <w:rPr>
          <w:rFonts w:ascii="Verdana" w:hAnsi="Verdana"/>
          <w:b/>
          <w:bCs/>
          <w:sz w:val="22"/>
          <w:szCs w:val="22"/>
        </w:rPr>
      </w:pPr>
    </w:p>
    <w:p w14:paraId="4A553032" w14:textId="77777777" w:rsidR="0099661F" w:rsidRPr="00A62343" w:rsidRDefault="0099661F" w:rsidP="0099661F">
      <w:pPr>
        <w:pStyle w:val="Sinespaciado"/>
        <w:jc w:val="center"/>
        <w:rPr>
          <w:rFonts w:ascii="Verdana" w:hAnsi="Verdana"/>
          <w:b/>
          <w:bCs/>
          <w:sz w:val="22"/>
          <w:szCs w:val="22"/>
        </w:rPr>
      </w:pPr>
    </w:p>
    <w:p w14:paraId="075245DC" w14:textId="77777777" w:rsidR="0099661F" w:rsidRPr="00A62343" w:rsidRDefault="0099661F" w:rsidP="0099661F">
      <w:pPr>
        <w:pStyle w:val="Sinespaciado"/>
        <w:jc w:val="center"/>
        <w:rPr>
          <w:rFonts w:ascii="Verdana" w:hAnsi="Verdana"/>
          <w:b/>
          <w:bCs/>
          <w:sz w:val="22"/>
          <w:szCs w:val="22"/>
        </w:rPr>
      </w:pPr>
    </w:p>
    <w:p w14:paraId="6977B220" w14:textId="62042DD3" w:rsidR="002672C8" w:rsidRPr="00C04669" w:rsidRDefault="00B72F4D" w:rsidP="0099661F">
      <w:pPr>
        <w:pStyle w:val="Sinespaciado"/>
        <w:jc w:val="center"/>
        <w:rPr>
          <w:rFonts w:ascii="Verdana" w:hAnsi="Verdana"/>
          <w:b/>
          <w:bCs/>
          <w:sz w:val="22"/>
          <w:szCs w:val="22"/>
        </w:rPr>
      </w:pPr>
      <w:r w:rsidRPr="00A62343">
        <w:rPr>
          <w:rFonts w:ascii="Verdana" w:hAnsi="Verdana"/>
          <w:b/>
          <w:bCs/>
          <w:sz w:val="22"/>
          <w:szCs w:val="22"/>
        </w:rPr>
        <w:t>JOEL VALENTÍN JIMÉNEZ ALMANZA</w:t>
      </w:r>
    </w:p>
    <w:sectPr w:rsidR="002672C8" w:rsidRPr="00C04669" w:rsidSect="002672C8">
      <w:type w:val="continuous"/>
      <w:pgSz w:w="12240" w:h="20160" w:code="5"/>
      <w:pgMar w:top="3061" w:right="1418" w:bottom="1135" w:left="2835" w:header="709" w:footer="3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48120" w14:textId="77777777" w:rsidR="00055904" w:rsidRDefault="00055904" w:rsidP="009C1068">
      <w:pPr>
        <w:spacing w:before="0" w:after="0"/>
      </w:pPr>
      <w:r>
        <w:separator/>
      </w:r>
    </w:p>
  </w:endnote>
  <w:endnote w:type="continuationSeparator" w:id="0">
    <w:p w14:paraId="1A70108E" w14:textId="77777777" w:rsidR="00055904" w:rsidRDefault="00055904" w:rsidP="009C10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Univers">
    <w:altName w:val="Calibri"/>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5E62" w14:textId="77777777" w:rsidR="00313C6D" w:rsidRPr="00AF10AF" w:rsidRDefault="00313C6D" w:rsidP="0064145F">
    <w:pPr>
      <w:pStyle w:val="Piedepgina"/>
      <w:ind w:righ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E3DF" w14:textId="77777777" w:rsidR="00313C6D" w:rsidRPr="00AF10AF" w:rsidRDefault="00313C6D" w:rsidP="006414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2179" w14:textId="77777777" w:rsidR="00155B45" w:rsidRDefault="00155B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94C3E" w14:textId="77777777" w:rsidR="00055904" w:rsidRDefault="00055904" w:rsidP="009C1068">
      <w:pPr>
        <w:spacing w:before="0" w:after="0"/>
      </w:pPr>
      <w:r>
        <w:separator/>
      </w:r>
    </w:p>
  </w:footnote>
  <w:footnote w:type="continuationSeparator" w:id="0">
    <w:p w14:paraId="723A5A15" w14:textId="77777777" w:rsidR="00055904" w:rsidRDefault="00055904" w:rsidP="009C1068">
      <w:pPr>
        <w:spacing w:before="0" w:after="0"/>
      </w:pPr>
      <w:r>
        <w:continuationSeparator/>
      </w:r>
    </w:p>
  </w:footnote>
  <w:footnote w:id="1">
    <w:p w14:paraId="292F3549" w14:textId="77777777" w:rsidR="00E4255E" w:rsidRPr="00A62343" w:rsidRDefault="00E4255E" w:rsidP="006227F8">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Sesión Extraordinaria del Consejo General del Instituto Estatal Electoral de Aguascalientes</w:t>
      </w:r>
    </w:p>
  </w:footnote>
  <w:footnote w:id="2">
    <w:p w14:paraId="39121529" w14:textId="232A3C45" w:rsidR="00D011D9" w:rsidRPr="00A62343" w:rsidRDefault="00D011D9" w:rsidP="006227F8">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Disponible para su consulta en </w:t>
      </w:r>
      <w:hyperlink r:id="rId1" w:history="1">
        <w:r w:rsidRPr="00A62343">
          <w:rPr>
            <w:rStyle w:val="Hipervnculo"/>
            <w:sz w:val="16"/>
            <w:szCs w:val="16"/>
          </w:rPr>
          <w:t>https://www.ieeags.mx/media/sesiones/2023-10-27/CG-A-47/23/11._CG-A-47-23_Acuerdo_Lineamientos_GAP_candidaturas.pdf</w:t>
        </w:r>
      </w:hyperlink>
      <w:r w:rsidRPr="00A62343">
        <w:rPr>
          <w:rFonts w:ascii="Arial" w:hAnsi="Arial" w:cs="Arial"/>
          <w:sz w:val="16"/>
          <w:szCs w:val="16"/>
        </w:rPr>
        <w:t xml:space="preserve"> </w:t>
      </w:r>
    </w:p>
  </w:footnote>
  <w:footnote w:id="3">
    <w:p w14:paraId="5A211267" w14:textId="666B3870" w:rsidR="006227F8" w:rsidRPr="00A62343" w:rsidRDefault="006227F8">
      <w:pPr>
        <w:pStyle w:val="Textonotapie"/>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Foja</w:t>
      </w:r>
      <w:r w:rsidR="00EB571C" w:rsidRPr="00A62343">
        <w:rPr>
          <w:rFonts w:ascii="Arial" w:hAnsi="Arial" w:cs="Arial"/>
          <w:sz w:val="16"/>
          <w:szCs w:val="16"/>
        </w:rPr>
        <w:t>s</w:t>
      </w:r>
      <w:r w:rsidRPr="00A62343">
        <w:rPr>
          <w:rFonts w:ascii="Arial" w:hAnsi="Arial" w:cs="Arial"/>
          <w:sz w:val="16"/>
          <w:szCs w:val="16"/>
        </w:rPr>
        <w:t xml:space="preserve"> </w:t>
      </w:r>
      <w:r w:rsidR="00EB571C" w:rsidRPr="00A62343">
        <w:rPr>
          <w:rFonts w:ascii="Arial" w:hAnsi="Arial" w:cs="Arial"/>
          <w:sz w:val="16"/>
          <w:szCs w:val="16"/>
        </w:rPr>
        <w:t>001 y 122</w:t>
      </w:r>
      <w:r w:rsidRPr="00A62343">
        <w:rPr>
          <w:rFonts w:ascii="Arial" w:hAnsi="Arial" w:cs="Arial"/>
          <w:sz w:val="16"/>
          <w:szCs w:val="16"/>
        </w:rPr>
        <w:t xml:space="preserve"> del expediente</w:t>
      </w:r>
    </w:p>
  </w:footnote>
  <w:footnote w:id="4">
    <w:p w14:paraId="2550B3C4" w14:textId="66DF4250" w:rsidR="006227F8" w:rsidRPr="00A62343" w:rsidRDefault="006227F8">
      <w:pPr>
        <w:pStyle w:val="Textonotapie"/>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Foja </w:t>
      </w:r>
      <w:r w:rsidR="00EB571C" w:rsidRPr="00A62343">
        <w:rPr>
          <w:rFonts w:ascii="Arial" w:hAnsi="Arial" w:cs="Arial"/>
          <w:sz w:val="16"/>
          <w:szCs w:val="16"/>
        </w:rPr>
        <w:t>176</w:t>
      </w:r>
    </w:p>
  </w:footnote>
  <w:footnote w:id="5">
    <w:p w14:paraId="2C7AF521" w14:textId="77777777" w:rsidR="00C152D9" w:rsidRPr="00A62343" w:rsidRDefault="00C152D9" w:rsidP="00C152D9">
      <w:pPr>
        <w:pStyle w:val="Textonotapie"/>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Disponible para su consulta en </w:t>
      </w:r>
      <w:hyperlink r:id="rId2" w:anchor="page=38" w:history="1">
        <w:r w:rsidRPr="00A62343">
          <w:rPr>
            <w:rStyle w:val="Hipervnculo"/>
            <w:sz w:val="16"/>
            <w:szCs w:val="16"/>
          </w:rPr>
          <w:t>https://eservicios2.aguascalientes.gob.mx/PeriodicoOficial/web/viewer.html?file=../Archivos/10040.pdf#page=38</w:t>
        </w:r>
      </w:hyperlink>
      <w:r w:rsidRPr="00A62343">
        <w:rPr>
          <w:rFonts w:ascii="Arial" w:hAnsi="Arial" w:cs="Arial"/>
          <w:sz w:val="16"/>
          <w:szCs w:val="16"/>
        </w:rPr>
        <w:t xml:space="preserve"> </w:t>
      </w:r>
    </w:p>
  </w:footnote>
  <w:footnote w:id="6">
    <w:p w14:paraId="5ECE2B91" w14:textId="434DF5E8" w:rsidR="006227F8" w:rsidRPr="00A62343" w:rsidRDefault="006227F8">
      <w:pPr>
        <w:pStyle w:val="Textonotapie"/>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Foja </w:t>
      </w:r>
      <w:r w:rsidR="00EB571C" w:rsidRPr="00A62343">
        <w:rPr>
          <w:rFonts w:ascii="Arial" w:hAnsi="Arial" w:cs="Arial"/>
          <w:sz w:val="16"/>
          <w:szCs w:val="16"/>
        </w:rPr>
        <w:t>179</w:t>
      </w:r>
    </w:p>
  </w:footnote>
  <w:footnote w:id="7">
    <w:p w14:paraId="1EB9B922" w14:textId="0135A4DB" w:rsidR="006227F8" w:rsidRPr="00A62343" w:rsidRDefault="006227F8">
      <w:pPr>
        <w:pStyle w:val="Textonotapie"/>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Foja</w:t>
      </w:r>
      <w:r w:rsidR="00406152" w:rsidRPr="00A62343">
        <w:rPr>
          <w:rFonts w:ascii="Arial" w:hAnsi="Arial" w:cs="Arial"/>
          <w:sz w:val="16"/>
          <w:szCs w:val="16"/>
        </w:rPr>
        <w:t xml:space="preserve">s 189, 298, 333, 367, 401, 435, 469, 503, 536, 569, 603, 636, </w:t>
      </w:r>
      <w:r w:rsidR="00260ED8" w:rsidRPr="00A62343">
        <w:rPr>
          <w:rFonts w:ascii="Arial" w:hAnsi="Arial" w:cs="Arial"/>
          <w:sz w:val="16"/>
          <w:szCs w:val="16"/>
        </w:rPr>
        <w:t>669, 702, 735, 768, 799, 830, 861, 892 y 923</w:t>
      </w:r>
    </w:p>
  </w:footnote>
  <w:footnote w:id="8">
    <w:p w14:paraId="176965B5" w14:textId="5345329D" w:rsidR="006227F8" w:rsidRPr="00A62343" w:rsidRDefault="006227F8">
      <w:pPr>
        <w:pStyle w:val="Textonotapie"/>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Foja </w:t>
      </w:r>
      <w:r w:rsidR="00260ED8" w:rsidRPr="00A62343">
        <w:rPr>
          <w:rFonts w:ascii="Arial" w:hAnsi="Arial" w:cs="Arial"/>
          <w:sz w:val="16"/>
          <w:szCs w:val="16"/>
        </w:rPr>
        <w:t>995</w:t>
      </w:r>
    </w:p>
  </w:footnote>
  <w:footnote w:id="9">
    <w:p w14:paraId="6F410700" w14:textId="2A04FF24" w:rsidR="006227F8" w:rsidRPr="00A62343" w:rsidRDefault="006227F8">
      <w:pPr>
        <w:pStyle w:val="Textonotapie"/>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Foja </w:t>
      </w:r>
      <w:r w:rsidR="00260ED8" w:rsidRPr="00A62343">
        <w:rPr>
          <w:rFonts w:ascii="Arial" w:hAnsi="Arial" w:cs="Arial"/>
          <w:sz w:val="16"/>
          <w:szCs w:val="16"/>
        </w:rPr>
        <w:t>999</w:t>
      </w:r>
    </w:p>
  </w:footnote>
  <w:footnote w:id="10">
    <w:p w14:paraId="75C079FF" w14:textId="77777777" w:rsidR="00313C6D" w:rsidRPr="00A62343" w:rsidRDefault="00313C6D" w:rsidP="006227F8">
      <w:pPr>
        <w:spacing w:after="0"/>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Artículos 116</w:t>
      </w:r>
      <w:r w:rsidRPr="00A62343">
        <w:rPr>
          <w:rFonts w:ascii="Arial" w:hAnsi="Arial" w:cs="Arial"/>
          <w:sz w:val="16"/>
          <w:szCs w:val="16"/>
          <w:lang w:val="es-MX"/>
        </w:rPr>
        <w:t>, fracción IV, inciso c, párrafo quinto, e inciso l, de la Constitución Política de los Estados Unidos Mexicanos y 17, apartado B, párrafos primero y quince, de la Constitución Política del Estado de Aguascalientes.</w:t>
      </w:r>
    </w:p>
  </w:footnote>
  <w:footnote w:id="11">
    <w:p w14:paraId="41F2A279" w14:textId="1F4C73EE" w:rsidR="002D053E" w:rsidRPr="00A62343" w:rsidRDefault="002D053E" w:rsidP="006227F8">
      <w:pPr>
        <w:pStyle w:val="Textonotapie"/>
        <w:spacing w:after="0"/>
        <w:jc w:val="both"/>
        <w:rPr>
          <w:rFonts w:ascii="Arial" w:hAnsi="Arial" w:cs="Arial"/>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w:t>
      </w:r>
      <w:r w:rsidRPr="00A62343">
        <w:rPr>
          <w:rFonts w:ascii="Arial" w:hAnsi="Arial" w:cs="Arial"/>
          <w:bCs/>
          <w:sz w:val="16"/>
          <w:szCs w:val="16"/>
          <w:lang w:val="es-MX"/>
        </w:rPr>
        <w:t xml:space="preserve">Artículos 297, fracción II, 335, fracción II, 336 y 337 del </w:t>
      </w:r>
      <w:r w:rsidRPr="00A62343">
        <w:rPr>
          <w:rFonts w:ascii="Arial" w:hAnsi="Arial" w:cs="Arial"/>
          <w:bCs/>
          <w:smallCaps/>
          <w:sz w:val="16"/>
          <w:szCs w:val="16"/>
          <w:lang w:val="es-MX"/>
        </w:rPr>
        <w:t>Código Electoral</w:t>
      </w:r>
      <w:r w:rsidRPr="00A62343">
        <w:rPr>
          <w:rFonts w:ascii="Arial" w:hAnsi="Arial" w:cs="Arial"/>
          <w:bCs/>
          <w:sz w:val="16"/>
          <w:szCs w:val="16"/>
          <w:lang w:val="es-MX"/>
        </w:rPr>
        <w:t xml:space="preserve"> </w:t>
      </w:r>
      <w:r w:rsidRPr="00A62343">
        <w:rPr>
          <w:rFonts w:ascii="Arial" w:hAnsi="Arial" w:cs="Arial"/>
          <w:sz w:val="16"/>
          <w:szCs w:val="16"/>
          <w:lang w:val="es-MX"/>
        </w:rPr>
        <w:t>y 9° y 11 del Reglamento Interior del Tribunal Electoral del Estado de Aguascalientes.</w:t>
      </w:r>
    </w:p>
    <w:p w14:paraId="6F4477BA" w14:textId="144FC145" w:rsidR="002D053E" w:rsidRPr="00A62343" w:rsidRDefault="002D053E" w:rsidP="006227F8">
      <w:pPr>
        <w:pStyle w:val="Textonotapie"/>
        <w:jc w:val="both"/>
        <w:rPr>
          <w:rFonts w:ascii="Arial" w:hAnsi="Arial" w:cs="Arial"/>
          <w:sz w:val="16"/>
          <w:szCs w:val="16"/>
          <w:lang w:val="es-MX"/>
        </w:rPr>
      </w:pPr>
    </w:p>
  </w:footnote>
  <w:footnote w:id="12">
    <w:p w14:paraId="4C719703" w14:textId="77777777" w:rsidR="008A22CF" w:rsidRPr="00A62343" w:rsidRDefault="008A22CF" w:rsidP="008A22CF">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Este razonamiento encuentra sustento en la Jurisprudencia 36/2010 de rubro </w:t>
      </w:r>
      <w:r w:rsidRPr="00A62343">
        <w:rPr>
          <w:rFonts w:ascii="Arial" w:hAnsi="Arial" w:cs="Arial"/>
          <w:i/>
          <w:sz w:val="16"/>
          <w:szCs w:val="16"/>
        </w:rPr>
        <w:t>“</w:t>
      </w:r>
      <w:r w:rsidRPr="00A62343">
        <w:rPr>
          <w:rFonts w:ascii="Arial" w:hAnsi="Arial" w:cs="Arial"/>
          <w:b/>
          <w:i/>
          <w:sz w:val="16"/>
          <w:szCs w:val="16"/>
        </w:rPr>
        <w:t>PROCEDIMIENTO ADMINISTRATIVO ESPECIAL SANCIONADOR. SUJETOS LEGITIMADOS PARA PRESENTAR LA QUEJA O DENUNCIA</w:t>
      </w:r>
      <w:r w:rsidRPr="00A62343">
        <w:rPr>
          <w:rFonts w:ascii="Arial" w:hAnsi="Arial" w:cs="Arial"/>
          <w:b/>
          <w:iCs/>
          <w:sz w:val="16"/>
          <w:szCs w:val="16"/>
        </w:rPr>
        <w:t>.</w:t>
      </w:r>
      <w:r w:rsidRPr="00A62343">
        <w:rPr>
          <w:rFonts w:ascii="Arial" w:hAnsi="Arial" w:cs="Arial"/>
          <w:b/>
          <w:i/>
          <w:sz w:val="16"/>
          <w:szCs w:val="16"/>
        </w:rPr>
        <w:t>”</w:t>
      </w:r>
    </w:p>
  </w:footnote>
  <w:footnote w:id="13">
    <w:p w14:paraId="2A066431" w14:textId="789AB708" w:rsidR="002F3F29" w:rsidRPr="00A62343" w:rsidRDefault="002F3F29" w:rsidP="002F3F29">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Jurisprudencia 4/2012 de rubro </w:t>
      </w:r>
      <w:r w:rsidRPr="00A62343">
        <w:rPr>
          <w:rFonts w:ascii="Arial" w:hAnsi="Arial" w:cs="Arial"/>
          <w:i/>
          <w:sz w:val="16"/>
          <w:szCs w:val="16"/>
        </w:rPr>
        <w:t>“</w:t>
      </w:r>
      <w:r w:rsidRPr="00A62343">
        <w:rPr>
          <w:rFonts w:ascii="Arial" w:hAnsi="Arial" w:cs="Arial"/>
          <w:b/>
          <w:bCs/>
          <w:i/>
          <w:sz w:val="16"/>
          <w:szCs w:val="16"/>
        </w:rPr>
        <w:t>COMUNIDADES INDÍGENAS. LA CONCIENCIA DE IDENTIDAD ES SUFICIENTE PARA LEGITIMAR LA PROCEDENCIA DEL JUICIO PARA LA PROTECCIÓN DE LOS DERECHOS POLÍTICO-ELECTORALES DEL CIUDADANO.</w:t>
      </w:r>
      <w:r w:rsidRPr="00A62343">
        <w:rPr>
          <w:rFonts w:ascii="Arial" w:hAnsi="Arial" w:cs="Arial"/>
          <w:i/>
          <w:sz w:val="16"/>
          <w:szCs w:val="16"/>
          <w:vertAlign w:val="superscript"/>
        </w:rPr>
        <w:t>”</w:t>
      </w:r>
    </w:p>
  </w:footnote>
  <w:footnote w:id="14">
    <w:p w14:paraId="3A491152" w14:textId="27121F4B" w:rsidR="00B707D4" w:rsidRPr="00A62343" w:rsidRDefault="00B707D4" w:rsidP="002F3F29">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En el caso de los Juicios para la Protección de los Derechos Político-Electorales de la Ciudadanía</w:t>
      </w:r>
    </w:p>
  </w:footnote>
  <w:footnote w:id="15">
    <w:p w14:paraId="172C80A3" w14:textId="77777777" w:rsidR="00313C6D" w:rsidRPr="00A62343" w:rsidRDefault="00313C6D" w:rsidP="006227F8">
      <w:pPr>
        <w:pStyle w:val="Textonotapie"/>
        <w:spacing w:after="0"/>
        <w:jc w:val="both"/>
        <w:rPr>
          <w:rFonts w:ascii="Arial" w:hAnsi="Arial" w:cs="Arial"/>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w:t>
      </w:r>
      <w:r w:rsidRPr="00A62343">
        <w:rPr>
          <w:rFonts w:ascii="Arial" w:hAnsi="Arial" w:cs="Arial"/>
          <w:sz w:val="16"/>
          <w:szCs w:val="16"/>
          <w:lang w:val="es-MX"/>
        </w:rPr>
        <w:t xml:space="preserve">Artículos 300, segundo párrafo y 301, del </w:t>
      </w:r>
      <w:r w:rsidRPr="00A62343">
        <w:rPr>
          <w:rFonts w:ascii="Arial" w:hAnsi="Arial" w:cs="Arial"/>
          <w:smallCaps/>
          <w:sz w:val="16"/>
          <w:szCs w:val="16"/>
          <w:lang w:val="es-MX"/>
        </w:rPr>
        <w:t>Código Electoral</w:t>
      </w:r>
      <w:r w:rsidRPr="00A62343">
        <w:rPr>
          <w:rFonts w:ascii="Arial" w:hAnsi="Arial" w:cs="Arial"/>
          <w:sz w:val="16"/>
          <w:szCs w:val="16"/>
          <w:lang w:val="es-MX"/>
        </w:rPr>
        <w:t>.</w:t>
      </w:r>
    </w:p>
  </w:footnote>
  <w:footnote w:id="16">
    <w:p w14:paraId="18A6090C" w14:textId="14D1FA6A" w:rsidR="00996384" w:rsidRPr="00A62343" w:rsidRDefault="00996384">
      <w:pPr>
        <w:pStyle w:val="Textonotapie"/>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Disponible para su consulta en </w:t>
      </w:r>
      <w:hyperlink r:id="rId3" w:anchor="page=38" w:history="1">
        <w:r w:rsidRPr="00A62343">
          <w:rPr>
            <w:rStyle w:val="Hipervnculo"/>
            <w:sz w:val="16"/>
            <w:szCs w:val="16"/>
          </w:rPr>
          <w:t>https://eservicios2.aguascalientes.gob.mx/PeriodicoOficial/web/viewer.html?file=../Archivos/10040.pdf#page=38</w:t>
        </w:r>
      </w:hyperlink>
      <w:r w:rsidRPr="00A62343">
        <w:rPr>
          <w:rFonts w:ascii="Arial" w:hAnsi="Arial" w:cs="Arial"/>
          <w:sz w:val="16"/>
          <w:szCs w:val="16"/>
        </w:rPr>
        <w:t xml:space="preserve"> </w:t>
      </w:r>
    </w:p>
  </w:footnote>
  <w:footnote w:id="17">
    <w:p w14:paraId="7C3912DE" w14:textId="5F166F95" w:rsidR="00661078" w:rsidRPr="00A62343" w:rsidRDefault="00661078" w:rsidP="00661078">
      <w:pPr>
        <w:pStyle w:val="Textonotapie"/>
        <w:jc w:val="both"/>
        <w:rPr>
          <w:rFonts w:ascii="Arial" w:hAnsi="Arial" w:cs="Arial"/>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Es aplicable la Jurisprudencia 15/2010, de rubro: </w:t>
      </w:r>
      <w:r w:rsidRPr="00A62343">
        <w:rPr>
          <w:rFonts w:ascii="Arial" w:hAnsi="Arial" w:cs="Arial"/>
          <w:b/>
          <w:bCs/>
          <w:i/>
          <w:iCs/>
          <w:sz w:val="16"/>
          <w:szCs w:val="16"/>
        </w:rPr>
        <w:t>“COMUNIDADES INDÍGENAS. NOTIFICACIÓN DE ACTOS O RESOLUCIONES DE AUTORIDAD ELECTORAL POR PERIÓDICO OFICIAL, EL JUZGADOR DEBE PONDERAR LAS SITUACIONES PARTICULARES PARA TENERLA POR EFICAZMENTE REALIZADA”.</w:t>
      </w:r>
    </w:p>
  </w:footnote>
  <w:footnote w:id="18">
    <w:p w14:paraId="50E3942E" w14:textId="1D529D4C" w:rsidR="00313C6D" w:rsidRPr="00A62343" w:rsidRDefault="00313C6D" w:rsidP="006227F8">
      <w:pPr>
        <w:pStyle w:val="Textonotapie"/>
        <w:spacing w:after="0"/>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Jurisprudencia 3/2000, de rubro “</w:t>
      </w:r>
      <w:r w:rsidRPr="00A62343">
        <w:rPr>
          <w:rFonts w:ascii="Arial" w:hAnsi="Arial" w:cs="Arial"/>
          <w:b/>
          <w:bCs/>
          <w:i/>
          <w:iCs/>
          <w:sz w:val="16"/>
          <w:szCs w:val="16"/>
        </w:rPr>
        <w:t>AGRAVIOS. PARA TENERLOS POR DEBIDAMENTE CONFIGURADOS ES SUFICIE</w:t>
      </w:r>
      <w:r w:rsidR="00A2713E" w:rsidRPr="00A62343">
        <w:rPr>
          <w:rFonts w:ascii="Arial" w:hAnsi="Arial" w:cs="Arial"/>
          <w:b/>
          <w:bCs/>
          <w:i/>
          <w:iCs/>
          <w:sz w:val="16"/>
          <w:szCs w:val="16"/>
        </w:rPr>
        <w:t>N</w:t>
      </w:r>
      <w:r w:rsidRPr="00A62343">
        <w:rPr>
          <w:rFonts w:ascii="Arial" w:hAnsi="Arial" w:cs="Arial"/>
          <w:b/>
          <w:bCs/>
          <w:i/>
          <w:iCs/>
          <w:sz w:val="16"/>
          <w:szCs w:val="16"/>
        </w:rPr>
        <w:t>TE CON EXPRESAR LA CAUSA DE PEDIR”</w:t>
      </w:r>
      <w:r w:rsidRPr="00A62343">
        <w:rPr>
          <w:rFonts w:ascii="Arial" w:hAnsi="Arial" w:cs="Arial"/>
          <w:sz w:val="16"/>
          <w:szCs w:val="16"/>
        </w:rPr>
        <w:t xml:space="preserve"> Consultable en la Revista del Tribunal Electoral del Poder Judicial de la Federación, Suplemento 4, Año 2001, página 5.  Jurisprudencia 2/98, de rubro </w:t>
      </w:r>
      <w:r w:rsidRPr="00A62343">
        <w:rPr>
          <w:rFonts w:ascii="Arial" w:hAnsi="Arial" w:cs="Arial"/>
          <w:b/>
          <w:bCs/>
          <w:i/>
          <w:iCs/>
          <w:sz w:val="16"/>
          <w:szCs w:val="16"/>
        </w:rPr>
        <w:t>“AGRAVIOS. PUEDEN ENCONTRARSE EN CUALQUIER PARTE DEL ESCRITO INICIAL”</w:t>
      </w:r>
      <w:r w:rsidRPr="00A62343">
        <w:rPr>
          <w:rFonts w:ascii="Arial" w:hAnsi="Arial" w:cs="Arial"/>
          <w:sz w:val="16"/>
          <w:szCs w:val="16"/>
        </w:rPr>
        <w:t xml:space="preserve"> Consultable en la Revista del Tribunal Electoral del Poder Judicial de la Federación, Suplemento 2, Año 1998, páginas 11 y 12.</w:t>
      </w:r>
    </w:p>
  </w:footnote>
  <w:footnote w:id="19">
    <w:p w14:paraId="61104480" w14:textId="55893637" w:rsidR="00313C6D" w:rsidRPr="00A62343" w:rsidRDefault="00313C6D" w:rsidP="006227F8">
      <w:pPr>
        <w:pStyle w:val="Textonotapie"/>
        <w:spacing w:after="0"/>
        <w:jc w:val="both"/>
        <w:rPr>
          <w:rFonts w:ascii="Arial" w:hAnsi="Arial" w:cs="Arial"/>
          <w:b/>
          <w:bCs/>
          <w:i/>
          <w:iCs/>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Conforme al criterio sustentado por la </w:t>
      </w:r>
      <w:r w:rsidRPr="00A62343">
        <w:rPr>
          <w:rFonts w:ascii="Arial" w:hAnsi="Arial" w:cs="Arial"/>
          <w:smallCaps/>
          <w:sz w:val="16"/>
          <w:szCs w:val="16"/>
        </w:rPr>
        <w:t>Sala Superior</w:t>
      </w:r>
      <w:r w:rsidRPr="00A62343">
        <w:rPr>
          <w:rFonts w:ascii="Arial" w:hAnsi="Arial" w:cs="Arial"/>
          <w:sz w:val="16"/>
          <w:szCs w:val="16"/>
        </w:rPr>
        <w:t xml:space="preserve"> en la jurisprudencia 4/2000, de rubro: </w:t>
      </w:r>
      <w:r w:rsidRPr="00A62343">
        <w:rPr>
          <w:rFonts w:ascii="Arial" w:hAnsi="Arial" w:cs="Arial"/>
          <w:b/>
          <w:bCs/>
          <w:i/>
          <w:iCs/>
          <w:sz w:val="16"/>
          <w:szCs w:val="16"/>
        </w:rPr>
        <w:t>“AGRAVIOS, SU EXAMEN EN CONJUNTO O SEPARADO, NO CAUSA LESIÓN”.</w:t>
      </w:r>
    </w:p>
  </w:footnote>
  <w:footnote w:id="20">
    <w:p w14:paraId="184E0C64" w14:textId="70FC5A5A" w:rsidR="00A429D9" w:rsidRPr="00A62343" w:rsidRDefault="00A429D9" w:rsidP="00A429D9">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OIT, Comprender el Convenio sobre pueblos indígenas y tribales, 1989 (núm. 169). Manual para los mandantes tripartitos de la OIT, Ginebra, 2013, p. 20.</w:t>
      </w:r>
    </w:p>
  </w:footnote>
  <w:footnote w:id="21">
    <w:p w14:paraId="053E231C" w14:textId="77777777" w:rsidR="00A429D9" w:rsidRPr="00A62343" w:rsidRDefault="00A429D9" w:rsidP="00A429D9">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Informe 2011 de la Comisión de Expertos en Aplicación de Convenios y Recomendaciones, referencia: ILC/III/1ª, fecha de publicación: dieciséis de febrero de dos mil once.</w:t>
      </w:r>
    </w:p>
  </w:footnote>
  <w:footnote w:id="22">
    <w:p w14:paraId="3BD5A74A" w14:textId="77777777" w:rsidR="00A429D9" w:rsidRPr="00A62343" w:rsidRDefault="00A429D9" w:rsidP="00A429D9">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Artículo 19. Los Estados celebrarán consultas y cooperarán de buena fe con los pueblos indígenas interesados por medio de sus instituciones representativas antes de adoptar y aplicar medidas legislativas o administrativas que los afecten, a fin de obtener su consentimiento libre, previo e informado.</w:t>
      </w:r>
    </w:p>
  </w:footnote>
  <w:footnote w:id="23">
    <w:p w14:paraId="0E7F8B9E" w14:textId="77777777" w:rsidR="00A429D9" w:rsidRPr="00A62343" w:rsidRDefault="00A429D9" w:rsidP="00A429D9">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Informe del Relator Especial sobre la situación de los derechos humanos y las libertades fundamentales de los indígenas, James Anaya, Consejo de Derechos Humanos de la Organización de Naciones Unidas, A/HRC/12/34, emitido el 15 de julio de 2009.</w:t>
      </w:r>
    </w:p>
  </w:footnote>
  <w:footnote w:id="24">
    <w:p w14:paraId="4E1BD5AF" w14:textId="77777777" w:rsidR="00A429D9" w:rsidRPr="00A62343" w:rsidRDefault="00A429D9" w:rsidP="00A429D9">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Artículo XXIII. Participación de los pueblos indígenas y aportes de los sistemas legales y organizativos indígenas</w:t>
      </w:r>
    </w:p>
    <w:p w14:paraId="1CE177A3" w14:textId="77777777" w:rsidR="00A429D9" w:rsidRPr="00A62343" w:rsidRDefault="00A429D9" w:rsidP="00A429D9">
      <w:pPr>
        <w:pStyle w:val="Textonotapie"/>
        <w:jc w:val="both"/>
        <w:rPr>
          <w:rFonts w:ascii="Arial" w:hAnsi="Arial" w:cs="Arial"/>
          <w:sz w:val="16"/>
          <w:szCs w:val="16"/>
        </w:rPr>
      </w:pPr>
      <w:r w:rsidRPr="00A62343">
        <w:rPr>
          <w:rFonts w:ascii="Arial" w:hAnsi="Arial" w:cs="Arial"/>
          <w:sz w:val="16"/>
          <w:szCs w:val="16"/>
        </w:rPr>
        <w:t>1. Los pueblos indígenas tienen derecho a la participación plena y efectiva, por conducto de representantes elegidos por ellos de conformidad con sus propias instituciones, en la adopción de decisiones en las cuestionen que afecten sus derechos y que tengan relación con la elaboración y ejecución de leyes, políticas públicas, programas, planes y acciones relacionadas con los asuntos indígenas.</w:t>
      </w:r>
    </w:p>
    <w:p w14:paraId="10B7729F" w14:textId="77777777" w:rsidR="00A429D9" w:rsidRPr="00A62343" w:rsidRDefault="00A429D9" w:rsidP="00A429D9">
      <w:pPr>
        <w:pStyle w:val="Textonotapie"/>
        <w:jc w:val="both"/>
        <w:rPr>
          <w:rFonts w:ascii="Arial" w:hAnsi="Arial" w:cs="Arial"/>
          <w:sz w:val="16"/>
          <w:szCs w:val="16"/>
        </w:rPr>
      </w:pPr>
      <w:r w:rsidRPr="00A62343">
        <w:rPr>
          <w:rFonts w:ascii="Arial" w:hAnsi="Arial" w:cs="Arial"/>
          <w:sz w:val="16"/>
          <w:szCs w:val="16"/>
        </w:rPr>
        <w:t>2. Los Estados celebrarán consultas y cooperarán de buena fe con los pueblos indígenas interesados por medio de sus instituciones representativas antes de adoptar y aplicar medidas legislativas o administrativas que los afecten, a fin de obtener su consentimiento libre, previo e informado.</w:t>
      </w:r>
    </w:p>
  </w:footnote>
  <w:footnote w:id="25">
    <w:p w14:paraId="68B4FF66" w14:textId="77777777" w:rsidR="00A429D9" w:rsidRPr="00A62343" w:rsidRDefault="00A429D9" w:rsidP="00A429D9">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Caso Pueblos </w:t>
      </w:r>
      <w:proofErr w:type="spellStart"/>
      <w:r w:rsidRPr="00A62343">
        <w:rPr>
          <w:rFonts w:ascii="Arial" w:hAnsi="Arial" w:cs="Arial"/>
          <w:sz w:val="16"/>
          <w:szCs w:val="16"/>
        </w:rPr>
        <w:t>Kaliña</w:t>
      </w:r>
      <w:proofErr w:type="spellEnd"/>
      <w:r w:rsidRPr="00A62343">
        <w:rPr>
          <w:rFonts w:ascii="Arial" w:hAnsi="Arial" w:cs="Arial"/>
          <w:sz w:val="16"/>
          <w:szCs w:val="16"/>
        </w:rPr>
        <w:t xml:space="preserve"> y </w:t>
      </w:r>
      <w:proofErr w:type="spellStart"/>
      <w:r w:rsidRPr="00A62343">
        <w:rPr>
          <w:rFonts w:ascii="Arial" w:hAnsi="Arial" w:cs="Arial"/>
          <w:sz w:val="16"/>
          <w:szCs w:val="16"/>
        </w:rPr>
        <w:t>Lokono</w:t>
      </w:r>
      <w:proofErr w:type="spellEnd"/>
      <w:r w:rsidRPr="00A62343">
        <w:rPr>
          <w:rFonts w:ascii="Arial" w:hAnsi="Arial" w:cs="Arial"/>
          <w:sz w:val="16"/>
          <w:szCs w:val="16"/>
        </w:rPr>
        <w:t xml:space="preserve"> vs. Surinam, Fondo, Reparaciones y Costas. Sentencia de 25 de noviembre de 2015. Serie C No. 309, párr. 196 y 197.</w:t>
      </w:r>
    </w:p>
  </w:footnote>
  <w:footnote w:id="26">
    <w:p w14:paraId="02B6CA65" w14:textId="2821564A" w:rsidR="00A429D9" w:rsidRPr="00A62343" w:rsidRDefault="00A429D9" w:rsidP="00A429D9">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w:t>
      </w:r>
      <w:proofErr w:type="spellStart"/>
      <w:r w:rsidRPr="00A62343">
        <w:rPr>
          <w:rFonts w:ascii="Arial" w:hAnsi="Arial" w:cs="Arial"/>
          <w:sz w:val="16"/>
          <w:szCs w:val="16"/>
        </w:rPr>
        <w:t>Veánse</w:t>
      </w:r>
      <w:proofErr w:type="spellEnd"/>
      <w:r w:rsidRPr="00A62343">
        <w:rPr>
          <w:rFonts w:ascii="Arial" w:hAnsi="Arial" w:cs="Arial"/>
          <w:sz w:val="16"/>
          <w:szCs w:val="16"/>
        </w:rPr>
        <w:t xml:space="preserve"> las tesis aisladas XXVII/2016, de rubro: </w:t>
      </w:r>
      <w:r w:rsidR="00AA6C88" w:rsidRPr="00A62343">
        <w:rPr>
          <w:rFonts w:ascii="Arial" w:hAnsi="Arial" w:cs="Arial"/>
          <w:sz w:val="16"/>
          <w:szCs w:val="16"/>
        </w:rPr>
        <w:t>“</w:t>
      </w:r>
      <w:r w:rsidRPr="00A62343">
        <w:rPr>
          <w:rFonts w:ascii="Arial" w:hAnsi="Arial" w:cs="Arial"/>
          <w:b/>
          <w:bCs/>
          <w:i/>
          <w:iCs/>
          <w:sz w:val="16"/>
          <w:szCs w:val="16"/>
        </w:rPr>
        <w:t>PUEBLOS Y COMUNIDADES INDÍGENAS. EN SU DERECHO A SER CONSULTADOS, EL ESTÁNDAR DE IMPACTO SIGNIFICATIVO CONSTITUYE ELEMENTO ESENCIAL PARA QUE PROCEDA</w:t>
      </w:r>
      <w:r w:rsidRPr="00A62343">
        <w:rPr>
          <w:rFonts w:ascii="Arial" w:hAnsi="Arial" w:cs="Arial"/>
          <w:sz w:val="16"/>
          <w:szCs w:val="16"/>
        </w:rPr>
        <w:t>.</w:t>
      </w:r>
      <w:r w:rsidR="00AA6C88" w:rsidRPr="00A62343">
        <w:rPr>
          <w:rFonts w:ascii="Arial" w:hAnsi="Arial" w:cs="Arial"/>
          <w:sz w:val="16"/>
          <w:szCs w:val="16"/>
        </w:rPr>
        <w:t>”</w:t>
      </w:r>
      <w:r w:rsidRPr="00A62343">
        <w:rPr>
          <w:rFonts w:ascii="Arial" w:hAnsi="Arial" w:cs="Arial"/>
          <w:sz w:val="16"/>
          <w:szCs w:val="16"/>
        </w:rPr>
        <w:t xml:space="preserve"> Así como la tesis XXVIII/2016 de rubro: </w:t>
      </w:r>
      <w:r w:rsidR="00AA6C88" w:rsidRPr="00A62343">
        <w:rPr>
          <w:rFonts w:ascii="Arial" w:hAnsi="Arial" w:cs="Arial"/>
          <w:sz w:val="16"/>
          <w:szCs w:val="16"/>
        </w:rPr>
        <w:t>“</w:t>
      </w:r>
      <w:r w:rsidRPr="00A62343">
        <w:rPr>
          <w:rFonts w:ascii="Arial" w:hAnsi="Arial" w:cs="Arial"/>
          <w:b/>
          <w:bCs/>
          <w:i/>
          <w:iCs/>
          <w:sz w:val="16"/>
          <w:szCs w:val="16"/>
        </w:rPr>
        <w:t>PUEBLOS Y COMUNIDADES INDÍGENAS. DERECHO A SER CONSULTADOS. LA COMISIÓN NACIONAL PARA EL DESARROLLO DE LOS PUEBLOS INDÍGENAS ES LA AUTORIDAD COMPETENTE EN LA MATERIA</w:t>
      </w:r>
      <w:r w:rsidRPr="00A62343">
        <w:rPr>
          <w:rFonts w:ascii="Arial" w:hAnsi="Arial" w:cs="Arial"/>
          <w:sz w:val="16"/>
          <w:szCs w:val="16"/>
        </w:rPr>
        <w:t>.</w:t>
      </w:r>
      <w:r w:rsidR="00AA6C88" w:rsidRPr="00A62343">
        <w:rPr>
          <w:rFonts w:ascii="Arial" w:hAnsi="Arial" w:cs="Arial"/>
          <w:sz w:val="16"/>
          <w:szCs w:val="16"/>
        </w:rPr>
        <w:t>”</w:t>
      </w:r>
      <w:r w:rsidRPr="00A62343">
        <w:rPr>
          <w:rFonts w:ascii="Arial" w:hAnsi="Arial" w:cs="Arial"/>
          <w:sz w:val="16"/>
          <w:szCs w:val="16"/>
        </w:rPr>
        <w:t xml:space="preserve"> Publicadas en la Gaceta del Semanario Judicial de la Federación, Libro 31, junio de 2016, Tomo II. También, véase la tesis aislada 1a. CCXXXVI/2013 (10a.) de la Primera Sala de la Suprema Corte </w:t>
      </w:r>
      <w:r w:rsidR="00AA6C88" w:rsidRPr="00A62343">
        <w:rPr>
          <w:rFonts w:ascii="Arial" w:hAnsi="Arial" w:cs="Arial"/>
          <w:sz w:val="16"/>
          <w:szCs w:val="16"/>
        </w:rPr>
        <w:t>“</w:t>
      </w:r>
      <w:r w:rsidRPr="00A62343">
        <w:rPr>
          <w:rFonts w:ascii="Arial" w:hAnsi="Arial" w:cs="Arial"/>
          <w:b/>
          <w:bCs/>
          <w:i/>
          <w:iCs/>
          <w:sz w:val="16"/>
          <w:szCs w:val="16"/>
        </w:rPr>
        <w:t>COMUNIDADES Y PUEBLOS INDÍGENAS. TODAS LAS AUTORIDADES, EN EL ÁMBITO DE SUS ATRIBUCIONES, ESTÁN OBLIGADAS A CONSULTARLOS, ANTES DE ADOPTAR CUALQUIER ACCIÓN O MEDIDA SUSCEPTIBLE DE AFECTAR SUS DERECHOS E INTERESES</w:t>
      </w:r>
      <w:r w:rsidRPr="00A62343">
        <w:rPr>
          <w:rFonts w:ascii="Arial" w:hAnsi="Arial" w:cs="Arial"/>
          <w:sz w:val="16"/>
          <w:szCs w:val="16"/>
        </w:rPr>
        <w:t>.</w:t>
      </w:r>
      <w:r w:rsidR="00AA6C88" w:rsidRPr="00A62343">
        <w:rPr>
          <w:rFonts w:ascii="Arial" w:hAnsi="Arial" w:cs="Arial"/>
          <w:sz w:val="16"/>
          <w:szCs w:val="16"/>
        </w:rPr>
        <w:t>”</w:t>
      </w:r>
      <w:r w:rsidRPr="00A62343">
        <w:rPr>
          <w:rFonts w:ascii="Arial" w:hAnsi="Arial" w:cs="Arial"/>
          <w:sz w:val="16"/>
          <w:szCs w:val="16"/>
        </w:rPr>
        <w:t xml:space="preserve"> Publicada en el Semanario Judicial de la Federación y su Gaceta, Libro XXIII, agosto 2013, Tomo 1.</w:t>
      </w:r>
    </w:p>
  </w:footnote>
  <w:footnote w:id="27">
    <w:p w14:paraId="397F2C1B" w14:textId="25ECA7D8" w:rsidR="00A429D9" w:rsidRPr="00A62343" w:rsidRDefault="00A429D9" w:rsidP="00A429D9">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Véase la tesis XII/2013 de la Sala Superior, con el rubro: </w:t>
      </w:r>
      <w:r w:rsidR="0046528F" w:rsidRPr="00A62343">
        <w:rPr>
          <w:rFonts w:ascii="Arial" w:hAnsi="Arial" w:cs="Arial"/>
          <w:sz w:val="16"/>
          <w:szCs w:val="16"/>
        </w:rPr>
        <w:t>“</w:t>
      </w:r>
      <w:r w:rsidRPr="00A62343">
        <w:rPr>
          <w:rFonts w:ascii="Arial" w:hAnsi="Arial" w:cs="Arial"/>
          <w:b/>
          <w:bCs/>
          <w:i/>
          <w:iCs/>
          <w:sz w:val="16"/>
          <w:szCs w:val="16"/>
        </w:rPr>
        <w:t>USOS Y COSTUMBRES. REQUISITOS DE VALIDEZ DE LAS CONSULTAS EN COMUNIDADES Y PUEBLOS INDÍGENAS, PARA CELEBRAR ELECCIONES</w:t>
      </w:r>
      <w:r w:rsidR="0046528F" w:rsidRPr="00A62343">
        <w:rPr>
          <w:rFonts w:ascii="Arial" w:hAnsi="Arial" w:cs="Arial"/>
          <w:sz w:val="16"/>
          <w:szCs w:val="16"/>
        </w:rPr>
        <w:t>”</w:t>
      </w:r>
      <w:r w:rsidRPr="00A62343">
        <w:rPr>
          <w:rFonts w:ascii="Arial" w:hAnsi="Arial" w:cs="Arial"/>
          <w:sz w:val="16"/>
          <w:szCs w:val="16"/>
        </w:rPr>
        <w:t xml:space="preserve">; así como, la tesis de rubro La tesis aislada XXIX/2016 de rubro: </w:t>
      </w:r>
      <w:r w:rsidR="0046528F" w:rsidRPr="00A62343">
        <w:rPr>
          <w:rFonts w:ascii="Arial" w:hAnsi="Arial" w:cs="Arial"/>
          <w:sz w:val="16"/>
          <w:szCs w:val="16"/>
        </w:rPr>
        <w:t>“</w:t>
      </w:r>
      <w:r w:rsidRPr="00A62343">
        <w:rPr>
          <w:rFonts w:ascii="Arial" w:hAnsi="Arial" w:cs="Arial"/>
          <w:b/>
          <w:bCs/>
          <w:i/>
          <w:iCs/>
          <w:sz w:val="16"/>
          <w:szCs w:val="16"/>
        </w:rPr>
        <w:t>PUEBLOS Y COMUNIDADES INDÍGENAS. DERECHO A SER CONSULTADOS. REQUISITOS ESENCIALES PARA SU CUMPLIMIENTO</w:t>
      </w:r>
      <w:r w:rsidRPr="00A62343">
        <w:rPr>
          <w:rFonts w:ascii="Arial" w:hAnsi="Arial" w:cs="Arial"/>
          <w:sz w:val="16"/>
          <w:szCs w:val="16"/>
        </w:rPr>
        <w:t>.</w:t>
      </w:r>
      <w:r w:rsidR="0046528F" w:rsidRPr="00A62343">
        <w:rPr>
          <w:rFonts w:ascii="Arial" w:hAnsi="Arial" w:cs="Arial"/>
          <w:sz w:val="16"/>
          <w:szCs w:val="16"/>
        </w:rPr>
        <w:t>”</w:t>
      </w:r>
      <w:r w:rsidRPr="00A62343">
        <w:rPr>
          <w:rFonts w:ascii="Arial" w:hAnsi="Arial" w:cs="Arial"/>
          <w:sz w:val="16"/>
          <w:szCs w:val="16"/>
        </w:rPr>
        <w:t xml:space="preserve"> Publicada en la Gaceta del Semanario Judicial de la Federación, Libro 31, junio de 2016, Tomo II; así como la tesis LXXXVII/2015: </w:t>
      </w:r>
      <w:r w:rsidR="0046528F" w:rsidRPr="00A62343">
        <w:rPr>
          <w:rFonts w:ascii="Arial" w:hAnsi="Arial" w:cs="Arial"/>
          <w:sz w:val="16"/>
          <w:szCs w:val="16"/>
        </w:rPr>
        <w:t>“</w:t>
      </w:r>
      <w:r w:rsidRPr="00A62343">
        <w:rPr>
          <w:rFonts w:ascii="Arial" w:hAnsi="Arial" w:cs="Arial"/>
          <w:b/>
          <w:bCs/>
          <w:i/>
          <w:iCs/>
          <w:sz w:val="16"/>
          <w:szCs w:val="16"/>
        </w:rPr>
        <w:t>CONSULTA PREVIA A COMUNIDADES INDÍGENAS. REQUISITOS DE VALIDEZ DE LA REALIZADA POR AUTORIDAD ADMINISTRATIVA ELECTORAL, CUANDO EMITA ACTOS SUSCEPTIBLES DE AFECTAR SUS DERECHOS</w:t>
      </w:r>
      <w:r w:rsidRPr="00A62343">
        <w:rPr>
          <w:rFonts w:ascii="Arial" w:hAnsi="Arial" w:cs="Arial"/>
          <w:sz w:val="16"/>
          <w:szCs w:val="16"/>
        </w:rPr>
        <w:t>.</w:t>
      </w:r>
      <w:r w:rsidR="0046528F" w:rsidRPr="00A62343">
        <w:rPr>
          <w:rFonts w:ascii="Arial" w:hAnsi="Arial" w:cs="Arial"/>
          <w:sz w:val="16"/>
          <w:szCs w:val="16"/>
        </w:rPr>
        <w:t>”</w:t>
      </w:r>
      <w:r w:rsidRPr="00A62343">
        <w:rPr>
          <w:rFonts w:ascii="Arial" w:hAnsi="Arial" w:cs="Arial"/>
          <w:sz w:val="16"/>
          <w:szCs w:val="16"/>
        </w:rPr>
        <w:t xml:space="preserve"> Publicada en la Gaceta de Jurisprudencia y Tesis en materia electoral, Año 8, Número 17, 2015, páginas 72 y 73.</w:t>
      </w:r>
    </w:p>
  </w:footnote>
  <w:footnote w:id="28">
    <w:p w14:paraId="4A5B2F29" w14:textId="77777777" w:rsidR="00A2713E" w:rsidRPr="00A62343" w:rsidRDefault="00A2713E" w:rsidP="00A2713E">
      <w:pPr>
        <w:pStyle w:val="Textonotapie"/>
        <w:jc w:val="both"/>
        <w:rPr>
          <w:rFonts w:ascii="Arial" w:hAnsi="Arial" w:cs="Arial"/>
          <w:b/>
          <w:bCs/>
          <w:i/>
          <w:iCs/>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Es aplicable las jurisprudencias con números de registro digital 2011406 y 167961, sustentadas por la Suprema Corte de Justicia de la Nación, de idéntico rubro: “</w:t>
      </w:r>
      <w:r w:rsidRPr="00A62343">
        <w:rPr>
          <w:rFonts w:ascii="Arial" w:hAnsi="Arial" w:cs="Arial"/>
          <w:b/>
          <w:bCs/>
          <w:i/>
          <w:iCs/>
          <w:sz w:val="16"/>
          <w:szCs w:val="16"/>
        </w:rPr>
        <w:t>CONCEPTOS DE VIOLACIÓN O AGRAVIOS. PROCEDE SU ANÁLISIS DE MANERA INDIVIDUAL, CONJUNTA O POR GRUPOS Y EN EL ORDEN PROPUESTO O EN UNO DIVERSO”.</w:t>
      </w:r>
    </w:p>
    <w:p w14:paraId="272D0FDD" w14:textId="77777777" w:rsidR="00A2713E" w:rsidRPr="00A62343" w:rsidRDefault="00A2713E" w:rsidP="00A2713E">
      <w:pPr>
        <w:pStyle w:val="Textonotapie"/>
        <w:jc w:val="both"/>
        <w:rPr>
          <w:rFonts w:ascii="Arial" w:hAnsi="Arial" w:cs="Arial"/>
          <w:sz w:val="16"/>
          <w:szCs w:val="16"/>
          <w:lang w:val="es-MX"/>
        </w:rPr>
      </w:pPr>
    </w:p>
  </w:footnote>
  <w:footnote w:id="29">
    <w:p w14:paraId="2DE6E702" w14:textId="77777777" w:rsidR="000B7DE7" w:rsidRPr="00A62343" w:rsidRDefault="000B7DE7" w:rsidP="006227F8">
      <w:pPr>
        <w:pStyle w:val="Textonotapie"/>
        <w:spacing w:before="0"/>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Jurisprudencia de la Suprema Corte de Justicia de la Nación, con número de Registro digital: 176707, de la Novena Época, Materias Constitucional, del Semanario Judicial de la Federación y su Gaceta. Tomo XXII, </w:t>
      </w:r>
      <w:proofErr w:type="gramStart"/>
      <w:r w:rsidRPr="00A62343">
        <w:rPr>
          <w:rFonts w:ascii="Arial" w:hAnsi="Arial" w:cs="Arial"/>
          <w:sz w:val="16"/>
          <w:szCs w:val="16"/>
        </w:rPr>
        <w:t>Noviembre</w:t>
      </w:r>
      <w:proofErr w:type="gramEnd"/>
      <w:r w:rsidRPr="00A62343">
        <w:rPr>
          <w:rFonts w:ascii="Arial" w:hAnsi="Arial" w:cs="Arial"/>
          <w:sz w:val="16"/>
          <w:szCs w:val="16"/>
        </w:rPr>
        <w:t xml:space="preserve"> de 2005, página 111, de rubro: “</w:t>
      </w:r>
      <w:r w:rsidRPr="00A62343">
        <w:rPr>
          <w:rFonts w:ascii="Arial" w:hAnsi="Arial" w:cs="Arial"/>
          <w:b/>
          <w:bCs/>
          <w:i/>
          <w:iCs/>
          <w:sz w:val="16"/>
          <w:szCs w:val="16"/>
        </w:rPr>
        <w:t>FUNCIÓN ELECTORAL A CARGO DE LAS AUTORIDADES ELECTORALES. PRINCIPIOS RECTORES DE SU EJERCICIO”.</w:t>
      </w:r>
    </w:p>
  </w:footnote>
  <w:footnote w:id="30">
    <w:p w14:paraId="0E38F7F2" w14:textId="77777777" w:rsidR="000B7DE7" w:rsidRPr="00A62343" w:rsidRDefault="000B7DE7" w:rsidP="006227F8">
      <w:pPr>
        <w:pStyle w:val="Textonotapie"/>
        <w:spacing w:before="0"/>
        <w:jc w:val="both"/>
        <w:rPr>
          <w:rFonts w:ascii="Arial" w:hAnsi="Arial" w:cs="Arial"/>
          <w:b/>
          <w:bCs/>
          <w:i/>
          <w:iCs/>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Jurisprudencia 16/2010, de rubro: “</w:t>
      </w:r>
      <w:r w:rsidRPr="00A62343">
        <w:rPr>
          <w:rFonts w:ascii="Arial" w:hAnsi="Arial" w:cs="Arial"/>
          <w:b/>
          <w:bCs/>
          <w:i/>
          <w:iCs/>
          <w:sz w:val="16"/>
          <w:szCs w:val="16"/>
        </w:rPr>
        <w:t>FACULTADES EXPLÍCITAS E IMPLÍCITAS DEL CONSEJO GENERAL DEL INSTITUTO FEDERAL ELECTORAL. SU EJERCICIO DEBE SER CONGRUENTE CON SUS FINES”.</w:t>
      </w:r>
    </w:p>
  </w:footnote>
  <w:footnote w:id="31">
    <w:p w14:paraId="3A8CA594" w14:textId="77777777" w:rsidR="000B7DE7" w:rsidRPr="00A62343" w:rsidRDefault="000B7DE7" w:rsidP="006227F8">
      <w:pPr>
        <w:pStyle w:val="Textonotapie"/>
        <w:jc w:val="both"/>
        <w:rPr>
          <w:rFonts w:ascii="Arial" w:hAnsi="Arial" w:cs="Arial"/>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w:t>
      </w:r>
      <w:r w:rsidRPr="00A62343">
        <w:rPr>
          <w:rFonts w:ascii="Arial" w:hAnsi="Arial" w:cs="Arial"/>
          <w:sz w:val="16"/>
          <w:szCs w:val="16"/>
          <w:lang w:val="es-MX"/>
        </w:rPr>
        <w:t>Ver TEEA-JDC-151/2021 y Acumulados.</w:t>
      </w:r>
    </w:p>
  </w:footnote>
  <w:footnote w:id="32">
    <w:p w14:paraId="40B8EE1D" w14:textId="77777777" w:rsidR="000B7DE7" w:rsidRPr="00A62343" w:rsidRDefault="000B7DE7" w:rsidP="006227F8">
      <w:pPr>
        <w:pStyle w:val="Textonotapie"/>
        <w:jc w:val="both"/>
        <w:rPr>
          <w:rFonts w:ascii="Arial" w:hAnsi="Arial" w:cs="Arial"/>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w:t>
      </w:r>
      <w:r w:rsidRPr="00A62343">
        <w:rPr>
          <w:rFonts w:ascii="Arial" w:hAnsi="Arial" w:cs="Arial"/>
          <w:sz w:val="16"/>
          <w:szCs w:val="16"/>
          <w:lang w:val="es-MX"/>
        </w:rPr>
        <w:t>Ver SUP-JRC-244/2001</w:t>
      </w:r>
    </w:p>
  </w:footnote>
  <w:footnote w:id="33">
    <w:p w14:paraId="72CCBD61" w14:textId="0ED9D3AD" w:rsidR="008938B3" w:rsidRPr="00A62343" w:rsidRDefault="008938B3" w:rsidP="006227F8">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Ver SUP-RAP-121/2020</w:t>
      </w:r>
    </w:p>
  </w:footnote>
  <w:footnote w:id="34">
    <w:p w14:paraId="0D65919C" w14:textId="00CED335" w:rsidR="00006EC4" w:rsidRPr="00A62343" w:rsidRDefault="00006EC4" w:rsidP="006227F8">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Jurisprudencia </w:t>
      </w:r>
      <w:r w:rsidRPr="00A62343">
        <w:rPr>
          <w:rFonts w:ascii="Arial" w:hAnsi="Arial" w:cs="Arial"/>
          <w:color w:val="212529"/>
          <w:sz w:val="16"/>
          <w:szCs w:val="16"/>
          <w:shd w:val="clear" w:color="auto" w:fill="FFFFFF"/>
        </w:rPr>
        <w:t>P./J. 30/2007, registro digital</w:t>
      </w:r>
      <w:r w:rsidRPr="00A62343">
        <w:rPr>
          <w:rFonts w:ascii="Arial" w:hAnsi="Arial" w:cs="Arial"/>
          <w:b/>
          <w:bCs/>
          <w:color w:val="212529"/>
          <w:sz w:val="16"/>
          <w:szCs w:val="16"/>
          <w:shd w:val="clear" w:color="auto" w:fill="FFFFFF"/>
        </w:rPr>
        <w:t xml:space="preserve"> </w:t>
      </w:r>
      <w:r w:rsidRPr="00A62343">
        <w:rPr>
          <w:rFonts w:ascii="Arial" w:hAnsi="Arial" w:cs="Arial"/>
          <w:color w:val="212529"/>
          <w:sz w:val="16"/>
          <w:szCs w:val="16"/>
          <w:shd w:val="clear" w:color="auto" w:fill="FFFFFF"/>
        </w:rPr>
        <w:t>172521,</w:t>
      </w:r>
      <w:r w:rsidR="00117C52" w:rsidRPr="00A62343">
        <w:rPr>
          <w:rFonts w:ascii="Arial" w:hAnsi="Arial" w:cs="Arial"/>
          <w:color w:val="212529"/>
          <w:sz w:val="16"/>
          <w:szCs w:val="16"/>
          <w:shd w:val="clear" w:color="auto" w:fill="FFFFFF"/>
        </w:rPr>
        <w:t xml:space="preserve"> de la Novena Época, Materia Constitucional,</w:t>
      </w:r>
      <w:r w:rsidRPr="00A62343">
        <w:rPr>
          <w:rFonts w:ascii="Arial" w:hAnsi="Arial" w:cs="Arial"/>
          <w:color w:val="212529"/>
          <w:sz w:val="16"/>
          <w:szCs w:val="16"/>
          <w:shd w:val="clear" w:color="auto" w:fill="FFFFFF"/>
        </w:rPr>
        <w:t xml:space="preserve"> Semanario Judicial de la Federación y su Gaceta.</w:t>
      </w:r>
      <w:r w:rsidR="00117C52" w:rsidRPr="00A62343">
        <w:rPr>
          <w:rFonts w:ascii="Arial" w:hAnsi="Arial" w:cs="Arial"/>
          <w:color w:val="212529"/>
          <w:sz w:val="16"/>
          <w:szCs w:val="16"/>
        </w:rPr>
        <w:t xml:space="preserve"> </w:t>
      </w:r>
      <w:r w:rsidRPr="00A62343">
        <w:rPr>
          <w:rStyle w:val="ng-star-inserted"/>
          <w:rFonts w:ascii="Arial" w:hAnsi="Arial" w:cs="Arial"/>
          <w:color w:val="212529"/>
          <w:sz w:val="16"/>
          <w:szCs w:val="16"/>
          <w:shd w:val="clear" w:color="auto" w:fill="FFFFFF"/>
        </w:rPr>
        <w:t xml:space="preserve">Tomo XXV, </w:t>
      </w:r>
      <w:proofErr w:type="gramStart"/>
      <w:r w:rsidRPr="00A62343">
        <w:rPr>
          <w:rStyle w:val="ng-star-inserted"/>
          <w:rFonts w:ascii="Arial" w:hAnsi="Arial" w:cs="Arial"/>
          <w:color w:val="212529"/>
          <w:sz w:val="16"/>
          <w:szCs w:val="16"/>
          <w:shd w:val="clear" w:color="auto" w:fill="FFFFFF"/>
        </w:rPr>
        <w:t>Mayo</w:t>
      </w:r>
      <w:proofErr w:type="gramEnd"/>
      <w:r w:rsidRPr="00A62343">
        <w:rPr>
          <w:rStyle w:val="ng-star-inserted"/>
          <w:rFonts w:ascii="Arial" w:hAnsi="Arial" w:cs="Arial"/>
          <w:color w:val="212529"/>
          <w:sz w:val="16"/>
          <w:szCs w:val="16"/>
          <w:shd w:val="clear" w:color="auto" w:fill="FFFFFF"/>
        </w:rPr>
        <w:t xml:space="preserve"> de 2007, página 1515</w:t>
      </w:r>
      <w:r w:rsidR="00117C52" w:rsidRPr="00A62343">
        <w:rPr>
          <w:rStyle w:val="ng-star-inserted"/>
          <w:rFonts w:ascii="Arial" w:hAnsi="Arial" w:cs="Arial"/>
          <w:color w:val="212529"/>
          <w:sz w:val="16"/>
          <w:szCs w:val="16"/>
          <w:shd w:val="clear" w:color="auto" w:fill="FFFFFF"/>
        </w:rPr>
        <w:t>,</w:t>
      </w:r>
      <w:r w:rsidR="00117C52" w:rsidRPr="00A62343">
        <w:rPr>
          <w:rFonts w:ascii="Arial" w:hAnsi="Arial" w:cs="Arial"/>
          <w:color w:val="212529"/>
          <w:sz w:val="16"/>
          <w:szCs w:val="16"/>
          <w:shd w:val="clear" w:color="auto" w:fill="FFFFFF"/>
        </w:rPr>
        <w:t xml:space="preserve"> de rubro “</w:t>
      </w:r>
      <w:r w:rsidR="00117C52" w:rsidRPr="00A62343">
        <w:rPr>
          <w:rFonts w:ascii="Arial" w:hAnsi="Arial" w:cs="Arial"/>
          <w:b/>
          <w:bCs/>
          <w:i/>
          <w:iCs/>
          <w:color w:val="212529"/>
          <w:sz w:val="16"/>
          <w:szCs w:val="16"/>
          <w:shd w:val="clear" w:color="auto" w:fill="FFFFFF"/>
        </w:rPr>
        <w:t>FACULTAD REGLAMENTARIA. SUS LÍMITES</w:t>
      </w:r>
      <w:r w:rsidR="00117C52" w:rsidRPr="00A62343">
        <w:rPr>
          <w:rFonts w:ascii="Arial" w:hAnsi="Arial" w:cs="Arial"/>
          <w:color w:val="212529"/>
          <w:sz w:val="16"/>
          <w:szCs w:val="16"/>
          <w:shd w:val="clear" w:color="auto" w:fill="FFFFFF"/>
        </w:rPr>
        <w:t>”.</w:t>
      </w:r>
    </w:p>
  </w:footnote>
  <w:footnote w:id="35">
    <w:p w14:paraId="14D96FE0" w14:textId="7B11B6A4" w:rsidR="0017043E" w:rsidRPr="00A62343" w:rsidRDefault="0017043E" w:rsidP="006227F8">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SUP-RAP-121/2020 y acumulados</w:t>
      </w:r>
    </w:p>
  </w:footnote>
  <w:footnote w:id="36">
    <w:p w14:paraId="3DF1EE6A" w14:textId="1989539A" w:rsidR="00C605A4" w:rsidRPr="00A62343" w:rsidRDefault="00C605A4" w:rsidP="006227F8">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Tal como se estableció en el expediente TEEA-RAP-009/2023 Y ACUMULADOS del índice de este Tribunal Electoral</w:t>
      </w:r>
    </w:p>
  </w:footnote>
  <w:footnote w:id="37">
    <w:p w14:paraId="31EFDBC1" w14:textId="2326BFEA" w:rsidR="00277D0B" w:rsidRPr="00A62343" w:rsidRDefault="00277D0B" w:rsidP="006227F8">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SUP-RAP-121/2020 y acumulados</w:t>
      </w:r>
    </w:p>
  </w:footnote>
  <w:footnote w:id="38">
    <w:p w14:paraId="32434A63" w14:textId="77777777" w:rsidR="00117C52" w:rsidRPr="00A62343" w:rsidRDefault="00117C52" w:rsidP="00117C52">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Tesis Aislada de rubro “</w:t>
      </w:r>
      <w:r w:rsidRPr="00A62343">
        <w:rPr>
          <w:rFonts w:ascii="Arial" w:hAnsi="Arial" w:cs="Arial"/>
          <w:b/>
          <w:bCs/>
          <w:i/>
          <w:iCs/>
          <w:sz w:val="16"/>
          <w:szCs w:val="16"/>
        </w:rPr>
        <w:t>LEYES Y REGLAMENTOS, FUNDAMENTACION Y MOTIVACION DE</w:t>
      </w:r>
      <w:r w:rsidRPr="00A62343">
        <w:rPr>
          <w:rFonts w:ascii="Arial" w:hAnsi="Arial" w:cs="Arial"/>
          <w:sz w:val="16"/>
          <w:szCs w:val="16"/>
        </w:rPr>
        <w:t>”, con número de registro digital 237356, Semanario Judicial de la Federación. Volumen 187-192, Tercera Parte, página 89 y Tesis Aislada de rubro “</w:t>
      </w:r>
      <w:r w:rsidRPr="00A62343">
        <w:rPr>
          <w:rFonts w:ascii="Arial" w:hAnsi="Arial" w:cs="Arial"/>
          <w:b/>
          <w:bCs/>
          <w:i/>
          <w:iCs/>
          <w:sz w:val="16"/>
          <w:szCs w:val="16"/>
        </w:rPr>
        <w:t>REGLAMENTOS. SU FUNDAMENTACION Y MOTIVACION</w:t>
      </w:r>
      <w:r w:rsidRPr="00A62343">
        <w:rPr>
          <w:rFonts w:ascii="Arial" w:hAnsi="Arial" w:cs="Arial"/>
          <w:sz w:val="16"/>
          <w:szCs w:val="16"/>
        </w:rPr>
        <w:t>”, registro digital 206211, Semanario Judicial de la Federación. Tomo VI, Primera Parte, Julio-</w:t>
      </w:r>
      <w:proofErr w:type="gramStart"/>
      <w:r w:rsidRPr="00A62343">
        <w:rPr>
          <w:rFonts w:ascii="Arial" w:hAnsi="Arial" w:cs="Arial"/>
          <w:sz w:val="16"/>
          <w:szCs w:val="16"/>
        </w:rPr>
        <w:t>Diciembre</w:t>
      </w:r>
      <w:proofErr w:type="gramEnd"/>
      <w:r w:rsidRPr="00A62343">
        <w:rPr>
          <w:rFonts w:ascii="Arial" w:hAnsi="Arial" w:cs="Arial"/>
          <w:sz w:val="16"/>
          <w:szCs w:val="16"/>
        </w:rPr>
        <w:t xml:space="preserve"> de 1990, página 103</w:t>
      </w:r>
    </w:p>
  </w:footnote>
  <w:footnote w:id="39">
    <w:p w14:paraId="5A8992A1" w14:textId="77777777" w:rsidR="00117C52" w:rsidRPr="00A62343" w:rsidRDefault="00117C52" w:rsidP="00117C52">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Ver SUP-RAP-028/99.</w:t>
      </w:r>
    </w:p>
  </w:footnote>
  <w:footnote w:id="40">
    <w:p w14:paraId="6ACB0796" w14:textId="77777777" w:rsidR="00117C52" w:rsidRPr="00A62343" w:rsidRDefault="00117C52" w:rsidP="00117C52">
      <w:pPr>
        <w:pStyle w:val="Textonotapie"/>
        <w:jc w:val="both"/>
        <w:rPr>
          <w:rFonts w:ascii="Arial" w:hAnsi="Arial" w:cs="Arial"/>
          <w:b/>
          <w:bCs/>
          <w:i/>
          <w:iCs/>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Es aplicable la Tesis Aislada, con número de Registro digital: 221693, de rubro: </w:t>
      </w:r>
      <w:r w:rsidRPr="00A62343">
        <w:rPr>
          <w:rFonts w:ascii="Arial" w:hAnsi="Arial" w:cs="Arial"/>
          <w:b/>
          <w:bCs/>
          <w:i/>
          <w:iCs/>
          <w:sz w:val="16"/>
          <w:szCs w:val="16"/>
        </w:rPr>
        <w:t>“FUNDAMENTACION Y MOTIVACION DE RESOLUCIONES ADMINISTRATIVAS”.</w:t>
      </w:r>
    </w:p>
    <w:p w14:paraId="09EEE69A" w14:textId="77777777" w:rsidR="00117C52" w:rsidRPr="00A62343" w:rsidRDefault="00117C52" w:rsidP="00117C52">
      <w:pPr>
        <w:pStyle w:val="Textonotapie"/>
        <w:jc w:val="both"/>
        <w:rPr>
          <w:rFonts w:ascii="Arial" w:hAnsi="Arial" w:cs="Arial"/>
          <w:sz w:val="16"/>
          <w:szCs w:val="16"/>
        </w:rPr>
      </w:pPr>
      <w:r w:rsidRPr="00A62343">
        <w:rPr>
          <w:rFonts w:ascii="Arial" w:hAnsi="Arial" w:cs="Arial"/>
          <w:sz w:val="16"/>
          <w:szCs w:val="16"/>
        </w:rPr>
        <w:t>Es aplicable la Jurisprudencia 5/2002, de rubro: “</w:t>
      </w:r>
      <w:r w:rsidRPr="00A62343">
        <w:rPr>
          <w:rFonts w:ascii="Arial" w:hAnsi="Arial" w:cs="Arial"/>
          <w:b/>
          <w:bCs/>
          <w:i/>
          <w:iCs/>
          <w:sz w:val="16"/>
          <w:szCs w:val="16"/>
        </w:rPr>
        <w:t>FUNDAMENTACIÓN Y MOTIVACIÓN. SE CUMPLE SI EN CUALQUIER PARTE DE LA RESOLUCIÓN SE EXPRESAN LAS RAZONES Y FUNDAMENTOS QUE LA SUSTENTAN (LEGISLACIÓN DEL ESTADO DE AGUASCALIENTES Y SIMILARES)”.</w:t>
      </w:r>
    </w:p>
    <w:p w14:paraId="2D116502" w14:textId="77777777" w:rsidR="00117C52" w:rsidRPr="00A62343" w:rsidRDefault="00117C52" w:rsidP="00117C52">
      <w:pPr>
        <w:pStyle w:val="Textonotapie"/>
        <w:jc w:val="both"/>
        <w:rPr>
          <w:rFonts w:ascii="Arial" w:hAnsi="Arial" w:cs="Arial"/>
          <w:sz w:val="16"/>
          <w:szCs w:val="16"/>
          <w:lang w:val="es-MX"/>
        </w:rPr>
      </w:pPr>
      <w:r w:rsidRPr="00A62343">
        <w:rPr>
          <w:rFonts w:ascii="Arial" w:hAnsi="Arial" w:cs="Arial"/>
          <w:sz w:val="16"/>
          <w:szCs w:val="16"/>
        </w:rPr>
        <w:t xml:space="preserve">Es aplicable la Jurisprudencia 28/2009, de rubro: </w:t>
      </w:r>
      <w:r w:rsidRPr="00A62343">
        <w:rPr>
          <w:rFonts w:ascii="Arial" w:hAnsi="Arial" w:cs="Arial"/>
          <w:b/>
          <w:bCs/>
          <w:i/>
          <w:iCs/>
          <w:sz w:val="16"/>
          <w:szCs w:val="16"/>
        </w:rPr>
        <w:t>“CONGRUENCIA EXTERNA E INTERNA. SE DEBE CUMPLIR EN TODA SENTENCIA”.</w:t>
      </w:r>
    </w:p>
  </w:footnote>
  <w:footnote w:id="41">
    <w:p w14:paraId="4785E096" w14:textId="53E5AA64" w:rsidR="00797807" w:rsidRPr="00A62343" w:rsidRDefault="00797807" w:rsidP="006227F8">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w:t>
      </w:r>
      <w:r w:rsidRPr="00A62343">
        <w:rPr>
          <w:rFonts w:ascii="Arial" w:hAnsi="Arial" w:cs="Arial"/>
          <w:bCs/>
          <w:sz w:val="16"/>
          <w:szCs w:val="16"/>
        </w:rPr>
        <w:t>Artículo 41°, fracción I, primer párrafo de la Constitución Federal</w:t>
      </w:r>
    </w:p>
  </w:footnote>
  <w:footnote w:id="42">
    <w:p w14:paraId="7316764B" w14:textId="77777777" w:rsidR="00705BF7" w:rsidRPr="00A62343" w:rsidRDefault="00705BF7" w:rsidP="006227F8">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Ver TEEA-RAP-009/2023 Y ACUMULADOS</w:t>
      </w:r>
    </w:p>
  </w:footnote>
  <w:footnote w:id="43">
    <w:p w14:paraId="76674D03" w14:textId="77777777" w:rsidR="00705BF7" w:rsidRPr="00A62343" w:rsidRDefault="00705BF7" w:rsidP="006227F8">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Ver TEEA-RAP-009/2023 Y ACUMULADOS</w:t>
      </w:r>
    </w:p>
    <w:p w14:paraId="4260ED4E" w14:textId="7402513D" w:rsidR="00705BF7" w:rsidRPr="00A62343" w:rsidRDefault="00705BF7" w:rsidP="006227F8">
      <w:pPr>
        <w:pStyle w:val="Textonotapie"/>
        <w:jc w:val="both"/>
        <w:rPr>
          <w:rFonts w:ascii="Arial" w:hAnsi="Arial" w:cs="Arial"/>
          <w:sz w:val="16"/>
          <w:szCs w:val="16"/>
        </w:rPr>
      </w:pPr>
    </w:p>
  </w:footnote>
  <w:footnote w:id="44">
    <w:p w14:paraId="5623687A" w14:textId="030438F8" w:rsidR="00F93333" w:rsidRPr="00A62343" w:rsidRDefault="00F93333" w:rsidP="006227F8">
      <w:pPr>
        <w:pStyle w:val="NormalWeb"/>
        <w:shd w:val="clear" w:color="auto" w:fill="FFFFFF"/>
        <w:jc w:val="both"/>
        <w:rPr>
          <w:rFonts w:ascii="Arial" w:hAnsi="Arial" w:cs="Arial"/>
          <w:b/>
          <w:bCs/>
          <w:color w:val="212529"/>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w:t>
      </w:r>
      <w:proofErr w:type="spellStart"/>
      <w:r w:rsidRPr="00A62343">
        <w:rPr>
          <w:rFonts w:ascii="Arial" w:hAnsi="Arial" w:cs="Arial"/>
          <w:sz w:val="16"/>
          <w:szCs w:val="16"/>
          <w:lang w:val="es-MX"/>
        </w:rPr>
        <w:t>Jurispridencia</w:t>
      </w:r>
      <w:proofErr w:type="spellEnd"/>
      <w:r w:rsidRPr="00A62343">
        <w:rPr>
          <w:rFonts w:ascii="Arial" w:hAnsi="Arial" w:cs="Arial"/>
          <w:sz w:val="16"/>
          <w:szCs w:val="16"/>
          <w:lang w:val="es-MX"/>
        </w:rPr>
        <w:t xml:space="preserve"> </w:t>
      </w:r>
      <w:r w:rsidRPr="00A62343">
        <w:rPr>
          <w:rFonts w:ascii="Arial" w:hAnsi="Arial" w:cs="Arial"/>
          <w:color w:val="212529"/>
          <w:sz w:val="16"/>
          <w:szCs w:val="16"/>
          <w:shd w:val="clear" w:color="auto" w:fill="FFFFFF"/>
        </w:rPr>
        <w:t xml:space="preserve">P./J. 87/2007, de rubro </w:t>
      </w:r>
      <w:r w:rsidR="006B230D" w:rsidRPr="00A62343">
        <w:rPr>
          <w:rFonts w:ascii="Arial" w:hAnsi="Arial" w:cs="Arial"/>
          <w:color w:val="212529"/>
          <w:sz w:val="16"/>
          <w:szCs w:val="16"/>
          <w:shd w:val="clear" w:color="auto" w:fill="FFFFFF"/>
        </w:rPr>
        <w:t>“</w:t>
      </w:r>
      <w:r w:rsidRPr="00A62343">
        <w:rPr>
          <w:rFonts w:ascii="Arial" w:hAnsi="Arial" w:cs="Arial"/>
          <w:b/>
          <w:bCs/>
          <w:i/>
          <w:iCs/>
          <w:color w:val="212529"/>
          <w:sz w:val="16"/>
          <w:szCs w:val="16"/>
          <w:lang w:val="es-MX"/>
        </w:rPr>
        <w:t>ACCIÓN DE INCONSTITUCIONALIDAD. ALCANCE DE LA EXPRESIÓN "MODIFICACIONES LEGALES FUNDAMENTALES", CONTENIDA EN LA FRACCIÓN II, PENÚLTIMO PÁRRAFO, DEL ARTÍCULO 105 DE LA CONSTITUCIÓN POLÍTICA DE LOS ESTADOS UNIDOS MEXICANOS</w:t>
      </w:r>
      <w:r w:rsidRPr="00A62343">
        <w:rPr>
          <w:rFonts w:ascii="Arial" w:hAnsi="Arial" w:cs="Arial"/>
          <w:b/>
          <w:bCs/>
          <w:color w:val="212529"/>
          <w:sz w:val="16"/>
          <w:szCs w:val="16"/>
          <w:lang w:val="es-MX"/>
        </w:rPr>
        <w:t>.</w:t>
      </w:r>
      <w:r w:rsidR="006B230D" w:rsidRPr="00A62343">
        <w:rPr>
          <w:rFonts w:ascii="Arial" w:hAnsi="Arial" w:cs="Arial"/>
          <w:b/>
          <w:bCs/>
          <w:color w:val="212529"/>
          <w:sz w:val="16"/>
          <w:szCs w:val="16"/>
          <w:lang w:val="es-MX"/>
        </w:rPr>
        <w:t>”</w:t>
      </w:r>
      <w:r w:rsidRPr="00A62343">
        <w:rPr>
          <w:rFonts w:ascii="Arial" w:hAnsi="Arial" w:cs="Arial"/>
          <w:b/>
          <w:bCs/>
          <w:color w:val="212529"/>
          <w:sz w:val="16"/>
          <w:szCs w:val="16"/>
          <w:lang w:val="es-MX"/>
        </w:rPr>
        <w:t xml:space="preserve"> </w:t>
      </w:r>
      <w:r w:rsidRPr="00A62343">
        <w:rPr>
          <w:rFonts w:ascii="Arial" w:hAnsi="Arial" w:cs="Arial"/>
          <w:color w:val="212529"/>
          <w:sz w:val="16"/>
          <w:szCs w:val="16"/>
          <w:shd w:val="clear" w:color="auto" w:fill="FFFFFF"/>
        </w:rPr>
        <w:t>Semanario Judicial de la Federación y su Gaceta.</w:t>
      </w:r>
      <w:r w:rsidRPr="00A62343">
        <w:rPr>
          <w:rFonts w:ascii="Arial" w:hAnsi="Arial" w:cs="Arial"/>
          <w:color w:val="212529"/>
          <w:sz w:val="16"/>
          <w:szCs w:val="16"/>
        </w:rPr>
        <w:br/>
      </w:r>
      <w:r w:rsidRPr="00A62343">
        <w:rPr>
          <w:rStyle w:val="ng-star-inserted"/>
          <w:rFonts w:ascii="Arial" w:hAnsi="Arial" w:cs="Arial"/>
          <w:color w:val="212529"/>
          <w:sz w:val="16"/>
          <w:szCs w:val="16"/>
          <w:shd w:val="clear" w:color="auto" w:fill="FFFFFF"/>
        </w:rPr>
        <w:t xml:space="preserve">Tomo XXVI, </w:t>
      </w:r>
      <w:proofErr w:type="gramStart"/>
      <w:r w:rsidRPr="00A62343">
        <w:rPr>
          <w:rStyle w:val="ng-star-inserted"/>
          <w:rFonts w:ascii="Arial" w:hAnsi="Arial" w:cs="Arial"/>
          <w:color w:val="212529"/>
          <w:sz w:val="16"/>
          <w:szCs w:val="16"/>
          <w:shd w:val="clear" w:color="auto" w:fill="FFFFFF"/>
        </w:rPr>
        <w:t>Diciembre</w:t>
      </w:r>
      <w:proofErr w:type="gramEnd"/>
      <w:r w:rsidRPr="00A62343">
        <w:rPr>
          <w:rStyle w:val="ng-star-inserted"/>
          <w:rFonts w:ascii="Arial" w:hAnsi="Arial" w:cs="Arial"/>
          <w:color w:val="212529"/>
          <w:sz w:val="16"/>
          <w:szCs w:val="16"/>
          <w:shd w:val="clear" w:color="auto" w:fill="FFFFFF"/>
        </w:rPr>
        <w:t xml:space="preserve"> de 2007, página 563</w:t>
      </w:r>
    </w:p>
  </w:footnote>
  <w:footnote w:id="45">
    <w:p w14:paraId="105A3CBB" w14:textId="77777777" w:rsidR="00AF020D" w:rsidRPr="00A62343" w:rsidRDefault="00AF020D" w:rsidP="00AF020D">
      <w:pPr>
        <w:jc w:val="both"/>
        <w:rPr>
          <w:rFonts w:ascii="Arial" w:eastAsia="Arial" w:hAnsi="Arial" w:cs="Arial"/>
          <w:sz w:val="16"/>
          <w:szCs w:val="16"/>
        </w:rPr>
      </w:pPr>
      <w:r w:rsidRPr="00A62343">
        <w:rPr>
          <w:rFonts w:ascii="Arial" w:hAnsi="Arial" w:cs="Arial"/>
          <w:sz w:val="16"/>
          <w:szCs w:val="16"/>
          <w:vertAlign w:val="superscript"/>
        </w:rPr>
        <w:footnoteRef/>
      </w:r>
      <w:r w:rsidRPr="00A62343">
        <w:rPr>
          <w:rFonts w:ascii="Arial" w:eastAsia="Arial" w:hAnsi="Arial" w:cs="Arial"/>
          <w:sz w:val="16"/>
          <w:szCs w:val="16"/>
        </w:rPr>
        <w:t xml:space="preserve">Jurisprudencia 11/2015, de rubro: </w:t>
      </w:r>
      <w:r w:rsidRPr="00A62343">
        <w:rPr>
          <w:rFonts w:ascii="Arial" w:eastAsia="Arial" w:hAnsi="Arial" w:cs="Arial"/>
          <w:i/>
          <w:sz w:val="16"/>
          <w:szCs w:val="16"/>
        </w:rPr>
        <w:t>“</w:t>
      </w:r>
      <w:r w:rsidRPr="00A62343">
        <w:rPr>
          <w:rFonts w:ascii="Arial" w:eastAsia="Arial" w:hAnsi="Arial" w:cs="Arial"/>
          <w:b/>
          <w:bCs/>
          <w:i/>
          <w:sz w:val="16"/>
          <w:szCs w:val="16"/>
        </w:rPr>
        <w:t>ACCIONES AFIRMATIVAS. ELEMENTOS FUNDAMENTALES</w:t>
      </w:r>
      <w:r w:rsidRPr="00A62343">
        <w:rPr>
          <w:rFonts w:ascii="Arial" w:eastAsia="Arial" w:hAnsi="Arial" w:cs="Arial"/>
          <w:i/>
          <w:sz w:val="16"/>
          <w:szCs w:val="16"/>
        </w:rPr>
        <w:t>”</w:t>
      </w:r>
      <w:r w:rsidRPr="00A62343">
        <w:rPr>
          <w:rFonts w:ascii="Arial" w:eastAsia="Arial" w:hAnsi="Arial" w:cs="Arial"/>
          <w:sz w:val="16"/>
          <w:szCs w:val="16"/>
        </w:rPr>
        <w:t>, disponible para su consulta en Gaceta de Jurisprudencia y Tesis en materia electoral, Tribunal Electoral del Poder Judicial de la Federación, año 8, número 16, 2015, páginas 13, 14 y 15.</w:t>
      </w:r>
    </w:p>
  </w:footnote>
  <w:footnote w:id="46">
    <w:p w14:paraId="74FFB266" w14:textId="77777777" w:rsidR="002B21D4" w:rsidRPr="00A62343" w:rsidRDefault="002B21D4" w:rsidP="002B21D4">
      <w:pPr>
        <w:pStyle w:val="Textonotapie"/>
        <w:jc w:val="both"/>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w:t>
      </w:r>
      <w:r w:rsidRPr="00A62343">
        <w:rPr>
          <w:rFonts w:ascii="Arial" w:hAnsi="Arial" w:cs="Arial"/>
          <w:i/>
          <w:iCs/>
          <w:sz w:val="16"/>
          <w:szCs w:val="16"/>
        </w:rPr>
        <w:t>Acción de inconstitucionalidad 212/2020</w:t>
      </w:r>
      <w:r w:rsidRPr="00A62343">
        <w:rPr>
          <w:rFonts w:ascii="Arial" w:hAnsi="Arial" w:cs="Arial"/>
          <w:sz w:val="16"/>
          <w:szCs w:val="16"/>
        </w:rPr>
        <w:t>, fallada por el Pleno de la SCJN en sesión celebrada el uno de marzo de 2021.</w:t>
      </w:r>
      <w:r w:rsidRPr="00A62343">
        <w:rPr>
          <w:rFonts w:ascii="Arial" w:hAnsi="Arial" w:cs="Arial"/>
          <w:i/>
          <w:iCs/>
          <w:sz w:val="16"/>
          <w:szCs w:val="16"/>
        </w:rPr>
        <w:t xml:space="preserve"> Acción de inconstitucionalidad 193/2020</w:t>
      </w:r>
      <w:r w:rsidRPr="00A62343">
        <w:rPr>
          <w:rFonts w:ascii="Arial" w:hAnsi="Arial" w:cs="Arial"/>
          <w:sz w:val="16"/>
          <w:szCs w:val="16"/>
        </w:rPr>
        <w:t xml:space="preserve">, resuelta por el Pleno de la SCJN en sesión de 17 de mayo de 2021. </w:t>
      </w:r>
      <w:r w:rsidRPr="00A62343">
        <w:rPr>
          <w:rFonts w:ascii="Arial" w:hAnsi="Arial" w:cs="Arial"/>
          <w:i/>
          <w:iCs/>
          <w:sz w:val="16"/>
          <w:szCs w:val="16"/>
        </w:rPr>
        <w:t>Acción de inconstitucionalidad 179/2020</w:t>
      </w:r>
      <w:r w:rsidRPr="00A62343">
        <w:rPr>
          <w:rFonts w:ascii="Arial" w:hAnsi="Arial" w:cs="Arial"/>
          <w:sz w:val="16"/>
          <w:szCs w:val="16"/>
        </w:rPr>
        <w:t xml:space="preserve">, fallada por el Pleno de la SCJN en sesión de 24 de mayo de 2021. </w:t>
      </w:r>
      <w:r w:rsidRPr="00A62343">
        <w:rPr>
          <w:rFonts w:ascii="Arial" w:hAnsi="Arial" w:cs="Arial"/>
          <w:i/>
          <w:iCs/>
          <w:sz w:val="16"/>
          <w:szCs w:val="16"/>
        </w:rPr>
        <w:t>Acción de inconstitucionalidad 214/2020</w:t>
      </w:r>
      <w:r w:rsidRPr="00A62343">
        <w:rPr>
          <w:rFonts w:ascii="Arial" w:hAnsi="Arial" w:cs="Arial"/>
          <w:sz w:val="16"/>
          <w:szCs w:val="16"/>
        </w:rPr>
        <w:t xml:space="preserve">, fallada por el Pleno de la SCJN en sesión de 24 de mayo de 2021. </w:t>
      </w:r>
      <w:r w:rsidRPr="00A62343">
        <w:rPr>
          <w:rFonts w:ascii="Arial" w:hAnsi="Arial" w:cs="Arial"/>
          <w:i/>
          <w:iCs/>
          <w:sz w:val="16"/>
          <w:szCs w:val="16"/>
        </w:rPr>
        <w:t>Acciones de inconstitucionalidad 131/2020 y su acumulada 186/2020</w:t>
      </w:r>
      <w:r w:rsidRPr="00A62343">
        <w:rPr>
          <w:rFonts w:ascii="Arial" w:hAnsi="Arial" w:cs="Arial"/>
          <w:sz w:val="16"/>
          <w:szCs w:val="16"/>
        </w:rPr>
        <w:t>, resueltas por el Pleno de la SCJN en sesión de 25 de mayo de 2021.</w:t>
      </w:r>
    </w:p>
  </w:footnote>
  <w:footnote w:id="47">
    <w:p w14:paraId="106BF702" w14:textId="3BD1BA7C" w:rsidR="002B21D4" w:rsidRPr="00A62343" w:rsidRDefault="002B21D4" w:rsidP="002B21D4">
      <w:pPr>
        <w:pStyle w:val="Textonotapie"/>
        <w:jc w:val="both"/>
        <w:rPr>
          <w:rFonts w:ascii="Arial" w:hAnsi="Arial" w:cs="Arial"/>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Jurisprudencia 37/2015, de rubro: </w:t>
      </w:r>
      <w:r w:rsidR="006B230D" w:rsidRPr="00A62343">
        <w:rPr>
          <w:rFonts w:ascii="Arial" w:hAnsi="Arial" w:cs="Arial"/>
          <w:sz w:val="16"/>
          <w:szCs w:val="16"/>
        </w:rPr>
        <w:t>“</w:t>
      </w:r>
      <w:r w:rsidRPr="00A62343">
        <w:rPr>
          <w:rFonts w:ascii="Arial" w:hAnsi="Arial" w:cs="Arial"/>
          <w:b/>
          <w:bCs/>
          <w:i/>
          <w:iCs/>
          <w:sz w:val="16"/>
          <w:szCs w:val="16"/>
        </w:rPr>
        <w:t>CONSULTA PREVIA A COMUNIDADES INDÍGENAS. DEBE REALIZARSE POR AUTORIDADES ADMINISTRATIVAS ELECTORALES DE CUALQUIER ORDEN DE GOBIERNO, CUANDO EMITAN ACTOS SUSCEPTIBLES DE AFECTAR SUS DERECHOS</w:t>
      </w:r>
      <w:r w:rsidRPr="00A62343">
        <w:rPr>
          <w:rFonts w:ascii="Arial" w:hAnsi="Arial" w:cs="Arial"/>
          <w:sz w:val="16"/>
          <w:szCs w:val="16"/>
        </w:rPr>
        <w:t>.</w:t>
      </w:r>
      <w:r w:rsidR="006B230D" w:rsidRPr="00A62343">
        <w:rPr>
          <w:rFonts w:ascii="Arial" w:hAnsi="Arial" w:cs="Arial"/>
          <w:sz w:val="16"/>
          <w:szCs w:val="16"/>
        </w:rPr>
        <w:t>”</w:t>
      </w:r>
    </w:p>
  </w:footnote>
  <w:footnote w:id="48">
    <w:p w14:paraId="18EFB642" w14:textId="77777777" w:rsidR="002B21D4" w:rsidRPr="00A62343" w:rsidRDefault="002B21D4" w:rsidP="002B21D4">
      <w:pPr>
        <w:pStyle w:val="Textonotapie"/>
        <w:jc w:val="both"/>
        <w:rPr>
          <w:rFonts w:ascii="Arial" w:hAnsi="Arial" w:cs="Arial"/>
          <w:i/>
          <w:iCs/>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w:t>
      </w:r>
      <w:r w:rsidRPr="00A62343">
        <w:rPr>
          <w:rFonts w:ascii="Arial" w:hAnsi="Arial" w:cs="Arial"/>
          <w:i/>
          <w:iCs/>
          <w:sz w:val="16"/>
          <w:szCs w:val="16"/>
        </w:rPr>
        <w:t>Acción de inconstitucionalidad 151/2017</w:t>
      </w:r>
      <w:r w:rsidRPr="00A62343">
        <w:rPr>
          <w:rFonts w:ascii="Arial" w:hAnsi="Arial" w:cs="Arial"/>
          <w:sz w:val="16"/>
          <w:szCs w:val="16"/>
        </w:rPr>
        <w:t>, fallada por el Pleno de la SCJN en sesión celebrada el 28 de junio de 2018.</w:t>
      </w:r>
      <w:r w:rsidRPr="00A62343">
        <w:rPr>
          <w:rFonts w:ascii="Arial" w:hAnsi="Arial" w:cs="Arial"/>
          <w:i/>
          <w:iCs/>
          <w:sz w:val="16"/>
          <w:szCs w:val="16"/>
        </w:rPr>
        <w:t xml:space="preserve"> </w:t>
      </w:r>
    </w:p>
  </w:footnote>
  <w:footnote w:id="49">
    <w:p w14:paraId="3F2FD419" w14:textId="77777777" w:rsidR="002B21D4" w:rsidRPr="00A62343" w:rsidRDefault="002B21D4" w:rsidP="002B21D4">
      <w:pPr>
        <w:pStyle w:val="Textonotapie"/>
        <w:jc w:val="both"/>
        <w:rPr>
          <w:rFonts w:ascii="Arial" w:hAnsi="Arial" w:cs="Arial"/>
          <w:i/>
          <w:iCs/>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w:t>
      </w:r>
      <w:r w:rsidRPr="00A62343">
        <w:rPr>
          <w:rFonts w:ascii="Arial" w:hAnsi="Arial" w:cs="Arial"/>
          <w:i/>
          <w:iCs/>
          <w:sz w:val="16"/>
          <w:szCs w:val="16"/>
        </w:rPr>
        <w:t>Acción de inconstitucionalidad 201/2020</w:t>
      </w:r>
      <w:r w:rsidRPr="00A62343">
        <w:rPr>
          <w:rFonts w:ascii="Arial" w:hAnsi="Arial" w:cs="Arial"/>
          <w:sz w:val="16"/>
          <w:szCs w:val="16"/>
        </w:rPr>
        <w:t>, fallada por el Pleno de la SCJN en sesión celebrada el 10 de noviembre de 2020.</w:t>
      </w:r>
      <w:r w:rsidRPr="00A62343">
        <w:rPr>
          <w:rFonts w:ascii="Arial" w:hAnsi="Arial" w:cs="Arial"/>
          <w:i/>
          <w:iCs/>
          <w:sz w:val="16"/>
          <w:szCs w:val="16"/>
        </w:rPr>
        <w:t xml:space="preserve"> </w:t>
      </w:r>
    </w:p>
  </w:footnote>
  <w:footnote w:id="50">
    <w:p w14:paraId="28E89FEB" w14:textId="77777777" w:rsidR="002B21D4" w:rsidRPr="00A62343" w:rsidRDefault="002B21D4" w:rsidP="002B21D4">
      <w:pPr>
        <w:jc w:val="both"/>
        <w:rPr>
          <w:rFonts w:ascii="Arial" w:hAnsi="Arial" w:cs="Arial"/>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Jurisprudencia con Registro digital: 2026054, Undécima Época Materias(s): Constitucional, Administrativa, del Semanario Judicial de la Federación, de rubro: </w:t>
      </w:r>
      <w:r w:rsidRPr="00A62343">
        <w:rPr>
          <w:rFonts w:ascii="Arial" w:hAnsi="Arial" w:cs="Arial"/>
          <w:b/>
          <w:bCs/>
          <w:i/>
          <w:iCs/>
          <w:sz w:val="16"/>
          <w:szCs w:val="16"/>
        </w:rPr>
        <w:t>“DERECHO A LA CONSULTA PREVIA. EL DEBER DE LLEVARLA A CABO SE ACTUALIZA ANTE LA MERA POSIBILIDAD DE QUE LA DECISIÓN ESTATAL AFECTE O INCIDA DE MANERA DIRECTA O DIFERENCIADA A LOS PUEBLOS Y COMUNIDADES INDÍGENAS, SIN QUE RESULTE EXIGIBLE LA ACREDITACIÓN DEL DAÑO Y SU IMPACTO SIGNIFICATIVO”.</w:t>
      </w:r>
    </w:p>
  </w:footnote>
  <w:footnote w:id="51">
    <w:p w14:paraId="7F4BD63B" w14:textId="77777777" w:rsidR="002B21D4" w:rsidRPr="00A62343" w:rsidRDefault="002B21D4" w:rsidP="002B21D4">
      <w:pPr>
        <w:pStyle w:val="Textonotapie"/>
        <w:jc w:val="both"/>
        <w:rPr>
          <w:rFonts w:ascii="Arial" w:hAnsi="Arial" w:cs="Arial"/>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Tesis con Registro digital: 2011956, Instancia: Segunda Sala, Décima Época, Materias(s): Constitucional, de la Gaceta del Semanario Judicial de la Federación. Libro 31, </w:t>
      </w:r>
      <w:proofErr w:type="gramStart"/>
      <w:r w:rsidRPr="00A62343">
        <w:rPr>
          <w:rFonts w:ascii="Arial" w:hAnsi="Arial" w:cs="Arial"/>
          <w:sz w:val="16"/>
          <w:szCs w:val="16"/>
        </w:rPr>
        <w:t>Junio</w:t>
      </w:r>
      <w:proofErr w:type="gramEnd"/>
      <w:r w:rsidRPr="00A62343">
        <w:rPr>
          <w:rFonts w:ascii="Arial" w:hAnsi="Arial" w:cs="Arial"/>
          <w:sz w:val="16"/>
          <w:szCs w:val="16"/>
        </w:rPr>
        <w:t xml:space="preserve"> de 2016, Tomo II, página 1212, de rubro: “</w:t>
      </w:r>
      <w:r w:rsidRPr="00A62343">
        <w:rPr>
          <w:rFonts w:ascii="Arial" w:hAnsi="Arial" w:cs="Arial"/>
          <w:b/>
          <w:bCs/>
          <w:i/>
          <w:iCs/>
          <w:sz w:val="16"/>
          <w:szCs w:val="16"/>
        </w:rPr>
        <w:t>PUEBLOS Y COMUNIDADES INDÍGENAS. DERECHO A SER CONSULTADOS. REQUISITOS ESENCIALES PARA SU CUMPLIMIENTO</w:t>
      </w:r>
      <w:r w:rsidRPr="00A62343">
        <w:rPr>
          <w:rFonts w:ascii="Arial" w:hAnsi="Arial" w:cs="Arial"/>
          <w:sz w:val="16"/>
          <w:szCs w:val="16"/>
        </w:rPr>
        <w:t>”.</w:t>
      </w:r>
    </w:p>
  </w:footnote>
  <w:footnote w:id="52">
    <w:p w14:paraId="1B6689CD" w14:textId="77777777" w:rsidR="002B21D4" w:rsidRPr="00A62343" w:rsidRDefault="002B21D4" w:rsidP="002B21D4">
      <w:pPr>
        <w:pStyle w:val="Textonotapie"/>
        <w:jc w:val="both"/>
        <w:rPr>
          <w:rFonts w:ascii="Arial" w:hAnsi="Arial" w:cs="Arial"/>
          <w:sz w:val="16"/>
          <w:szCs w:val="16"/>
          <w:lang w:val="es-ES_tradnl"/>
        </w:rPr>
      </w:pPr>
      <w:r w:rsidRPr="00A62343">
        <w:rPr>
          <w:rStyle w:val="Refdenotaalpie"/>
          <w:rFonts w:ascii="Arial" w:hAnsi="Arial" w:cs="Arial"/>
          <w:sz w:val="16"/>
          <w:szCs w:val="16"/>
        </w:rPr>
        <w:footnoteRef/>
      </w:r>
      <w:r w:rsidRPr="00A62343">
        <w:rPr>
          <w:rFonts w:ascii="Arial" w:hAnsi="Arial" w:cs="Arial"/>
          <w:sz w:val="16"/>
          <w:szCs w:val="16"/>
        </w:rPr>
        <w:t xml:space="preserve"> Informe del Relator Especial sobre la situación de los derechos humanos y las libertades fundamentales de los indígenas A/HRC/12/34 del 15 de julio de 2009, página 16, párrafo 43.</w:t>
      </w:r>
    </w:p>
  </w:footnote>
  <w:footnote w:id="53">
    <w:p w14:paraId="47C13465" w14:textId="77777777" w:rsidR="002B21D4" w:rsidRPr="00A62343" w:rsidRDefault="002B21D4" w:rsidP="002B21D4">
      <w:pPr>
        <w:pStyle w:val="Textonotapie"/>
        <w:jc w:val="both"/>
        <w:rPr>
          <w:rFonts w:ascii="Arial" w:hAnsi="Arial" w:cs="Arial"/>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w:t>
      </w:r>
      <w:hyperlink r:id="rId4" w:history="1">
        <w:r w:rsidRPr="00A62343">
          <w:rPr>
            <w:rStyle w:val="Hipervnculo"/>
            <w:sz w:val="16"/>
            <w:szCs w:val="16"/>
          </w:rPr>
          <w:t>https://www.ieeags.mx/media/carousel/dialogos%20informe%20dialogos/Informe_-_Dialogos_por_una_Democracia_Inclusiva.pdf</w:t>
        </w:r>
      </w:hyperlink>
      <w:r w:rsidRPr="00A62343">
        <w:rPr>
          <w:rFonts w:ascii="Arial" w:hAnsi="Arial" w:cs="Arial"/>
          <w:sz w:val="16"/>
          <w:szCs w:val="16"/>
        </w:rPr>
        <w:t xml:space="preserve"> </w:t>
      </w:r>
    </w:p>
  </w:footnote>
  <w:footnote w:id="54">
    <w:p w14:paraId="5A03E600" w14:textId="77777777" w:rsidR="002B21D4" w:rsidRPr="00A62343" w:rsidRDefault="002B21D4" w:rsidP="002B21D4">
      <w:pPr>
        <w:pStyle w:val="Textonotapie"/>
        <w:jc w:val="both"/>
        <w:rPr>
          <w:rFonts w:ascii="Arial" w:hAnsi="Arial" w:cs="Arial"/>
          <w:i/>
          <w:iCs/>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Artículos 18 y 19 de la Declaración de las Naciones Unidas sobre los Derechos de los Pueblos Indígenas, que disponen: “</w:t>
      </w:r>
      <w:r w:rsidRPr="00A62343">
        <w:rPr>
          <w:rFonts w:ascii="Arial" w:hAnsi="Arial" w:cs="Arial"/>
          <w:b/>
          <w:bCs/>
          <w:i/>
          <w:iCs/>
          <w:sz w:val="16"/>
          <w:szCs w:val="16"/>
        </w:rPr>
        <w:t>Artículo 18.</w:t>
      </w:r>
      <w:r w:rsidRPr="00A62343">
        <w:rPr>
          <w:rFonts w:ascii="Arial" w:hAnsi="Arial" w:cs="Arial"/>
          <w:i/>
          <w:iCs/>
          <w:sz w:val="16"/>
          <w:szCs w:val="16"/>
        </w:rPr>
        <w:t xml:space="preserve"> Los pueblos indígenas tienen derecho a participar en la adopción de decisiones en las cuestiones que afecten a sus derechos, por conducto de representantes elegidos por ellos de conformidad con sus propios procedimientos, así como a mantener y desarrollar sus propias instituciones de adopción de </w:t>
      </w:r>
      <w:proofErr w:type="gramStart"/>
      <w:r w:rsidRPr="00A62343">
        <w:rPr>
          <w:rFonts w:ascii="Arial" w:hAnsi="Arial" w:cs="Arial"/>
          <w:i/>
          <w:iCs/>
          <w:sz w:val="16"/>
          <w:szCs w:val="16"/>
        </w:rPr>
        <w:t>decisiones.-</w:t>
      </w:r>
      <w:proofErr w:type="gramEnd"/>
      <w:r w:rsidRPr="00A62343">
        <w:rPr>
          <w:rFonts w:ascii="Arial" w:hAnsi="Arial" w:cs="Arial"/>
          <w:i/>
          <w:iCs/>
          <w:sz w:val="16"/>
          <w:szCs w:val="16"/>
        </w:rPr>
        <w:t xml:space="preserve"> </w:t>
      </w:r>
      <w:r w:rsidRPr="00A62343">
        <w:rPr>
          <w:rFonts w:ascii="Arial" w:hAnsi="Arial" w:cs="Arial"/>
          <w:b/>
          <w:bCs/>
          <w:i/>
          <w:iCs/>
          <w:sz w:val="16"/>
          <w:szCs w:val="16"/>
        </w:rPr>
        <w:t>Artículo 19.</w:t>
      </w:r>
      <w:r w:rsidRPr="00A62343">
        <w:rPr>
          <w:rFonts w:ascii="Arial" w:hAnsi="Arial" w:cs="Arial"/>
          <w:i/>
          <w:iCs/>
          <w:sz w:val="16"/>
          <w:szCs w:val="16"/>
        </w:rPr>
        <w:t xml:space="preserve"> Los Estados celebrarán consultas y cooperarán de buena fe con los pueblos indígenas interesados por medio de sus instituciones representativas antes de adoptar y aplicar medidas legislativas o administrativas que los afecten, a fin de obtener su consentimiento libre, previo e informado”.</w:t>
      </w:r>
    </w:p>
  </w:footnote>
  <w:footnote w:id="55">
    <w:p w14:paraId="629B69A3" w14:textId="77777777" w:rsidR="002B21D4" w:rsidRPr="00A62343" w:rsidRDefault="002B21D4" w:rsidP="002B21D4">
      <w:pPr>
        <w:pStyle w:val="Textonotapie"/>
        <w:jc w:val="both"/>
        <w:rPr>
          <w:rFonts w:ascii="Arial" w:hAnsi="Arial" w:cs="Arial"/>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w:t>
      </w:r>
      <w:r w:rsidRPr="00A62343">
        <w:rPr>
          <w:rFonts w:ascii="Arial" w:hAnsi="Arial" w:cs="Arial"/>
          <w:sz w:val="16"/>
          <w:szCs w:val="16"/>
          <w:lang w:val="es-MX"/>
        </w:rPr>
        <w:t xml:space="preserve">Ver sentencia </w:t>
      </w:r>
      <w:r w:rsidRPr="00A62343">
        <w:rPr>
          <w:rFonts w:ascii="Arial" w:hAnsi="Arial" w:cs="Arial"/>
          <w:sz w:val="16"/>
          <w:szCs w:val="16"/>
        </w:rPr>
        <w:t xml:space="preserve">SUP-JDC-338/2023 Y ACUMULADOS, párrafos 119 y 146. </w:t>
      </w:r>
    </w:p>
  </w:footnote>
  <w:footnote w:id="56">
    <w:p w14:paraId="7F3071AC" w14:textId="77777777" w:rsidR="002B21D4" w:rsidRPr="00A62343" w:rsidRDefault="002B21D4" w:rsidP="002B21D4">
      <w:pPr>
        <w:pStyle w:val="Textonotapie"/>
        <w:jc w:val="both"/>
        <w:rPr>
          <w:rFonts w:ascii="Arial" w:hAnsi="Arial" w:cs="Arial"/>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Jurisprudencia 13/2008, de rubro: “</w:t>
      </w:r>
      <w:r w:rsidRPr="00A62343">
        <w:rPr>
          <w:rFonts w:ascii="Arial" w:hAnsi="Arial" w:cs="Arial"/>
          <w:b/>
          <w:bCs/>
          <w:i/>
          <w:iCs/>
          <w:sz w:val="16"/>
          <w:szCs w:val="16"/>
        </w:rPr>
        <w:t>COMUNIDADES INDÍGENAS. SUPLENCIA DE LA QUEJA EN LOS JUICIOS ELECTORALES PROMOVIDOS POR SUS INTEGRANTES</w:t>
      </w:r>
      <w:r w:rsidRPr="00A62343">
        <w:rPr>
          <w:rFonts w:ascii="Arial" w:hAnsi="Arial" w:cs="Arial"/>
          <w:sz w:val="16"/>
          <w:szCs w:val="16"/>
        </w:rPr>
        <w:t>”.</w:t>
      </w:r>
    </w:p>
  </w:footnote>
  <w:footnote w:id="57">
    <w:p w14:paraId="0085BD10" w14:textId="77777777" w:rsidR="002B21D4" w:rsidRPr="00A62343" w:rsidRDefault="002B21D4" w:rsidP="002B21D4">
      <w:pPr>
        <w:pStyle w:val="Textonotapie"/>
        <w:jc w:val="both"/>
        <w:rPr>
          <w:rFonts w:ascii="Arial" w:hAnsi="Arial" w:cs="Arial"/>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w:t>
      </w:r>
      <w:r w:rsidRPr="00A62343">
        <w:rPr>
          <w:rFonts w:ascii="Arial" w:hAnsi="Arial" w:cs="Arial"/>
          <w:sz w:val="16"/>
          <w:szCs w:val="16"/>
          <w:lang w:val="es-MX"/>
        </w:rPr>
        <w:t xml:space="preserve">Ver sentencia </w:t>
      </w:r>
      <w:r w:rsidRPr="00A62343">
        <w:rPr>
          <w:rFonts w:ascii="Arial" w:hAnsi="Arial" w:cs="Arial"/>
          <w:sz w:val="16"/>
          <w:szCs w:val="16"/>
        </w:rPr>
        <w:t>SUP-JDC-338/2023 Y ACUMULADOS, considerando XI, numeral 11.3, conclusiones.</w:t>
      </w:r>
    </w:p>
  </w:footnote>
  <w:footnote w:id="58">
    <w:p w14:paraId="25B2BFBE" w14:textId="57E3688A" w:rsidR="002B21D4" w:rsidRPr="00A62343" w:rsidRDefault="002B21D4" w:rsidP="002B21D4">
      <w:pPr>
        <w:pStyle w:val="Textonotapie"/>
        <w:jc w:val="both"/>
        <w:rPr>
          <w:rFonts w:ascii="Arial" w:hAnsi="Arial" w:cs="Arial"/>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w:t>
      </w:r>
      <w:r w:rsidR="0068539E" w:rsidRPr="00A62343">
        <w:rPr>
          <w:rFonts w:ascii="Arial" w:hAnsi="Arial" w:cs="Arial"/>
          <w:sz w:val="16"/>
          <w:szCs w:val="16"/>
        </w:rPr>
        <w:t xml:space="preserve">Consultable en </w:t>
      </w:r>
      <w:hyperlink r:id="rId5" w:history="1">
        <w:r w:rsidR="0068539E" w:rsidRPr="00A62343">
          <w:rPr>
            <w:rStyle w:val="Hipervnculo"/>
            <w:sz w:val="16"/>
            <w:szCs w:val="16"/>
          </w:rPr>
          <w:t>https://www.ieeags.mx/media/carousel/dialogos%20informe%20dialogos/Informe_-_Dialogos_por_una_Democracia_Inclusiva.pdf</w:t>
        </w:r>
      </w:hyperlink>
      <w:r w:rsidRPr="00A62343">
        <w:rPr>
          <w:rFonts w:ascii="Arial" w:hAnsi="Arial" w:cs="Arial"/>
          <w:sz w:val="16"/>
          <w:szCs w:val="16"/>
        </w:rPr>
        <w:t xml:space="preserve"> </w:t>
      </w:r>
      <w:proofErr w:type="spellStart"/>
      <w:r w:rsidRPr="00A62343">
        <w:rPr>
          <w:rFonts w:ascii="Arial" w:hAnsi="Arial" w:cs="Arial"/>
          <w:sz w:val="16"/>
          <w:szCs w:val="16"/>
        </w:rPr>
        <w:t>pag.</w:t>
      </w:r>
      <w:proofErr w:type="spellEnd"/>
      <w:r w:rsidRPr="00A62343">
        <w:rPr>
          <w:rFonts w:ascii="Arial" w:hAnsi="Arial" w:cs="Arial"/>
          <w:sz w:val="16"/>
          <w:szCs w:val="16"/>
        </w:rPr>
        <w:t xml:space="preserve"> 43.</w:t>
      </w:r>
    </w:p>
  </w:footnote>
  <w:footnote w:id="59">
    <w:p w14:paraId="2E78901B" w14:textId="44BEBFA9" w:rsidR="0068539E" w:rsidRPr="00A62343" w:rsidRDefault="0068539E">
      <w:pPr>
        <w:pStyle w:val="Textonotapie"/>
        <w:rPr>
          <w:rFonts w:ascii="Arial" w:hAnsi="Arial" w:cs="Arial"/>
          <w:sz w:val="16"/>
          <w:szCs w:val="16"/>
        </w:rPr>
      </w:pPr>
      <w:r w:rsidRPr="00A62343">
        <w:rPr>
          <w:rStyle w:val="Refdenotaalpie"/>
          <w:rFonts w:ascii="Arial" w:hAnsi="Arial" w:cs="Arial"/>
          <w:sz w:val="16"/>
          <w:szCs w:val="16"/>
        </w:rPr>
        <w:footnoteRef/>
      </w:r>
      <w:r w:rsidRPr="00A62343">
        <w:rPr>
          <w:rFonts w:ascii="Arial" w:hAnsi="Arial" w:cs="Arial"/>
          <w:sz w:val="16"/>
          <w:szCs w:val="16"/>
        </w:rPr>
        <w:t xml:space="preserve"> Disponible para su consulta en https://www.dof.gob.mx/nota_detalle.php?codigo=5703853&amp;fecha=04/10/2023#gsc.tab=0</w:t>
      </w:r>
    </w:p>
  </w:footnote>
  <w:footnote w:id="60">
    <w:p w14:paraId="5572A6F4" w14:textId="77777777" w:rsidR="002B21D4" w:rsidRPr="00A62343" w:rsidRDefault="002B21D4" w:rsidP="002B21D4">
      <w:pPr>
        <w:pStyle w:val="Textonotapie"/>
        <w:jc w:val="both"/>
        <w:rPr>
          <w:rFonts w:ascii="Arial" w:hAnsi="Arial" w:cs="Arial"/>
          <w:sz w:val="16"/>
          <w:szCs w:val="16"/>
          <w:lang w:val="es-MX"/>
        </w:rPr>
      </w:pPr>
      <w:r w:rsidRPr="00A62343">
        <w:rPr>
          <w:rStyle w:val="Refdenotaalpie"/>
          <w:rFonts w:ascii="Arial" w:hAnsi="Arial" w:cs="Arial"/>
          <w:sz w:val="16"/>
          <w:szCs w:val="16"/>
        </w:rPr>
        <w:footnoteRef/>
      </w:r>
      <w:r w:rsidRPr="00A62343">
        <w:rPr>
          <w:rFonts w:ascii="Arial" w:hAnsi="Arial" w:cs="Arial"/>
          <w:sz w:val="16"/>
          <w:szCs w:val="16"/>
        </w:rPr>
        <w:t xml:space="preserve"> </w:t>
      </w:r>
      <w:r w:rsidRPr="00A62343">
        <w:rPr>
          <w:rFonts w:ascii="Arial" w:hAnsi="Arial" w:cs="Arial"/>
          <w:sz w:val="16"/>
          <w:szCs w:val="16"/>
          <w:lang w:val="es-MX"/>
        </w:rPr>
        <w:t>Fracción IV, de los Resultandos, del Acto Impugnado, par. 5, pág. 2.</w:t>
      </w:r>
    </w:p>
  </w:footnote>
  <w:footnote w:id="61">
    <w:p w14:paraId="0292A33B" w14:textId="345B1C80" w:rsidR="0040288B" w:rsidRPr="00FF1CAC" w:rsidRDefault="0040288B" w:rsidP="00634979">
      <w:pPr>
        <w:pStyle w:val="Textonotapie"/>
        <w:rPr>
          <w:rFonts w:ascii="Arial" w:hAnsi="Arial" w:cs="Arial"/>
          <w:sz w:val="16"/>
          <w:szCs w:val="16"/>
        </w:rPr>
      </w:pPr>
      <w:r w:rsidRPr="00FF1CAC">
        <w:rPr>
          <w:rStyle w:val="Refdenotaalpie"/>
          <w:rFonts w:ascii="Arial" w:hAnsi="Arial" w:cs="Arial"/>
          <w:sz w:val="16"/>
          <w:szCs w:val="16"/>
        </w:rPr>
        <w:footnoteRef/>
      </w:r>
      <w:r w:rsidRPr="00FF1CAC">
        <w:rPr>
          <w:rFonts w:ascii="Arial" w:hAnsi="Arial" w:cs="Arial"/>
          <w:sz w:val="16"/>
          <w:szCs w:val="16"/>
        </w:rPr>
        <w:t xml:space="preserve"> </w:t>
      </w:r>
      <w:r w:rsidR="00634979" w:rsidRPr="00FF1CAC">
        <w:rPr>
          <w:rFonts w:ascii="Arial" w:hAnsi="Arial" w:cs="Arial"/>
          <w:sz w:val="16"/>
          <w:szCs w:val="16"/>
        </w:rPr>
        <w:t>Cfr. Caso de la Masacre de Mapiripán Vs. Colombia, supra nota 14, párr. 179, y Caso de las Masacres de Ituango Vs. Colombia</w:t>
      </w:r>
      <w:r w:rsidR="00FA7E9E" w:rsidRPr="00FF1CAC">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70E0" w14:textId="4F2639F9" w:rsidR="00313C6D" w:rsidRDefault="00155B45" w:rsidP="0064145F">
    <w:pPr>
      <w:pStyle w:val="Encabezado"/>
      <w:tabs>
        <w:tab w:val="clear" w:pos="4252"/>
        <w:tab w:val="left" w:pos="5954"/>
      </w:tabs>
      <w:ind w:right="-6"/>
      <w:jc w:val="right"/>
      <w:rPr>
        <w:rFonts w:ascii="Univers" w:hAnsi="Univers" w:cs="Courier New"/>
        <w:b/>
        <w:sz w:val="28"/>
        <w:szCs w:val="28"/>
      </w:rPr>
    </w:pPr>
    <w:r>
      <w:rPr>
        <w:noProof/>
      </w:rPr>
      <w:pict w14:anchorId="6542C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926626" o:spid="_x0000_s1026" type="#_x0000_t136" style="position:absolute;left:0;text-align:left;margin-left:0;margin-top:0;width:487.95pt;height:75.05pt;rotation:315;z-index:-251648000;mso-position-horizontal:center;mso-position-horizontal-relative:margin;mso-position-vertical:center;mso-position-vertical-relative:margin" o:allowincell="f" fillcolor="silver" stroked="f">
          <v:fill opacity=".5"/>
          <v:textpath style="font-family:&quot;Times New Roman&quot;;font-size:1pt" string="Para consulta"/>
        </v:shape>
      </w:pict>
    </w:r>
  </w:p>
  <w:p w14:paraId="0E5D25EF" w14:textId="77777777" w:rsidR="00313C6D" w:rsidRDefault="00155B45" w:rsidP="0064145F">
    <w:pPr>
      <w:pStyle w:val="Encabezado"/>
      <w:tabs>
        <w:tab w:val="clear" w:pos="4252"/>
        <w:tab w:val="left" w:pos="5954"/>
      </w:tabs>
      <w:ind w:right="-6"/>
      <w:jc w:val="right"/>
      <w:rPr>
        <w:rFonts w:ascii="Univers" w:hAnsi="Univers" w:cs="Courier New"/>
        <w:b/>
        <w:sz w:val="28"/>
        <w:szCs w:val="28"/>
      </w:rPr>
    </w:pPr>
    <w:sdt>
      <w:sdtPr>
        <w:rPr>
          <w:rFonts w:ascii="Univers" w:hAnsi="Univers" w:cs="Courier New"/>
          <w:b/>
          <w:sz w:val="28"/>
          <w:szCs w:val="28"/>
        </w:rPr>
        <w:id w:val="137628480"/>
        <w:docPartObj>
          <w:docPartGallery w:val="Page Numbers (Margins)"/>
          <w:docPartUnique/>
        </w:docPartObj>
      </w:sdtPr>
      <w:sdtEndPr/>
      <w:sdtContent>
        <w:r w:rsidR="00313C6D" w:rsidRPr="00E419F1">
          <w:rPr>
            <w:rFonts w:ascii="Univers" w:hAnsi="Univers" w:cs="Courier New"/>
            <w:b/>
            <w:noProof/>
            <w:sz w:val="28"/>
            <w:szCs w:val="28"/>
            <w:lang w:val="es-MX" w:eastAsia="es-MX"/>
          </w:rPr>
          <mc:AlternateContent>
            <mc:Choice Requires="wps">
              <w:drawing>
                <wp:anchor distT="0" distB="0" distL="114300" distR="114300" simplePos="0" relativeHeight="251659264" behindDoc="0" locked="0" layoutInCell="0" allowOverlap="1" wp14:anchorId="3DDFB36E" wp14:editId="49F35E39">
                  <wp:simplePos x="0" y="0"/>
                  <wp:positionH relativeFrom="leftMargin">
                    <wp:align>center</wp:align>
                  </wp:positionH>
                  <wp:positionV relativeFrom="page">
                    <wp:align>center</wp:align>
                  </wp:positionV>
                  <wp:extent cx="762000" cy="8953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42DE7A0" w14:textId="77777777" w:rsidR="00313C6D" w:rsidRDefault="00313C6D">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B36E" id="Rectángulo 4"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08p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CPTTyk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42DE7A0" w14:textId="77777777" w:rsidR="00313C6D" w:rsidRDefault="00313C6D">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p>
  <w:p w14:paraId="2684EC29" w14:textId="77777777" w:rsidR="00313C6D" w:rsidRPr="00E119AE" w:rsidRDefault="00313C6D" w:rsidP="0064145F">
    <w:pPr>
      <w:pStyle w:val="Encabezado"/>
      <w:tabs>
        <w:tab w:val="clear" w:pos="4252"/>
        <w:tab w:val="left" w:pos="5954"/>
      </w:tabs>
      <w:ind w:right="-6"/>
      <w:jc w:val="right"/>
      <w:rPr>
        <w:rFonts w:ascii="Verdana" w:hAnsi="Verdana" w:cs="Arial"/>
        <w:b/>
        <w:sz w:val="22"/>
        <w:szCs w:val="22"/>
        <w:lang w:val="es-MX"/>
      </w:rPr>
    </w:pPr>
    <w:r w:rsidRPr="00E119AE">
      <w:rPr>
        <w:rFonts w:ascii="Verdana" w:hAnsi="Verdana" w:cs="Courier New"/>
        <w:b/>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88AC" w14:textId="05237AA7" w:rsidR="00313C6D" w:rsidRDefault="00155B45" w:rsidP="0064145F">
    <w:pPr>
      <w:pStyle w:val="Encabezado"/>
      <w:tabs>
        <w:tab w:val="clear" w:pos="4252"/>
        <w:tab w:val="left" w:pos="2655"/>
        <w:tab w:val="left" w:pos="5954"/>
      </w:tabs>
      <w:ind w:right="-6"/>
      <w:rPr>
        <w:rFonts w:ascii="Univers" w:hAnsi="Univers" w:cs="Arial"/>
        <w:b/>
        <w:sz w:val="28"/>
        <w:szCs w:val="28"/>
        <w:lang w:val="es-MX"/>
      </w:rPr>
    </w:pPr>
    <w:r>
      <w:rPr>
        <w:noProof/>
      </w:rPr>
      <w:pict w14:anchorId="2AA48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926627" o:spid="_x0000_s1027" type="#_x0000_t136" style="position:absolute;margin-left:0;margin-top:0;width:487.95pt;height:75.05pt;rotation:315;z-index:-251645952;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313C6D">
      <w:rPr>
        <w:noProof/>
        <w:lang w:val="es-MX" w:eastAsia="es-MX"/>
      </w:rPr>
      <w:drawing>
        <wp:anchor distT="0" distB="0" distL="0" distR="0" simplePos="0" relativeHeight="251664384" behindDoc="0" locked="0" layoutInCell="1" allowOverlap="1" wp14:anchorId="7195D2A7" wp14:editId="3A105449">
          <wp:simplePos x="0" y="0"/>
          <wp:positionH relativeFrom="margin">
            <wp:posOffset>284785</wp:posOffset>
          </wp:positionH>
          <wp:positionV relativeFrom="topMargin">
            <wp:posOffset>433045</wp:posOffset>
          </wp:positionV>
          <wp:extent cx="1176907" cy="1402079"/>
          <wp:effectExtent l="0" t="0" r="4445" b="8255"/>
          <wp:wrapNone/>
          <wp:docPr id="205415824" name="Imagen 20541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6907" cy="1402079"/>
                  </a:xfrm>
                  <a:prstGeom prst="rect">
                    <a:avLst/>
                  </a:prstGeom>
                </pic:spPr>
              </pic:pic>
            </a:graphicData>
          </a:graphic>
        </wp:anchor>
      </w:drawing>
    </w:r>
    <w:r w:rsidR="00313C6D">
      <w:rPr>
        <w:rFonts w:ascii="Univers" w:hAnsi="Univers" w:cs="Arial"/>
        <w:b/>
        <w:sz w:val="28"/>
        <w:szCs w:val="28"/>
        <w:lang w:val="es-MX"/>
      </w:rPr>
      <w:tab/>
    </w:r>
    <w:r w:rsidR="00313C6D">
      <w:rPr>
        <w:rFonts w:ascii="Univers" w:hAnsi="Univers" w:cs="Arial"/>
        <w:b/>
        <w:sz w:val="28"/>
        <w:szCs w:val="28"/>
        <w:lang w:val="es-MX"/>
      </w:rPr>
      <w:tab/>
    </w:r>
  </w:p>
  <w:p w14:paraId="2E82F55E" w14:textId="58749EEE" w:rsidR="00313C6D" w:rsidRDefault="00155B45" w:rsidP="0064145F">
    <w:pPr>
      <w:pStyle w:val="Encabezado"/>
      <w:tabs>
        <w:tab w:val="clear" w:pos="4252"/>
        <w:tab w:val="left" w:pos="5954"/>
      </w:tabs>
      <w:ind w:right="-6"/>
      <w:jc w:val="right"/>
      <w:rPr>
        <w:rFonts w:ascii="Univers" w:hAnsi="Univers" w:cs="Arial"/>
        <w:b/>
        <w:sz w:val="28"/>
        <w:szCs w:val="28"/>
        <w:lang w:val="es-MX"/>
      </w:rPr>
    </w:pPr>
    <w:sdt>
      <w:sdtPr>
        <w:rPr>
          <w:rFonts w:ascii="Univers" w:hAnsi="Univers" w:cs="Arial"/>
          <w:b/>
          <w:sz w:val="28"/>
          <w:szCs w:val="28"/>
          <w:lang w:val="es-MX"/>
        </w:rPr>
        <w:id w:val="-290443122"/>
        <w:docPartObj>
          <w:docPartGallery w:val="Page Numbers (Margins)"/>
          <w:docPartUnique/>
        </w:docPartObj>
      </w:sdtPr>
      <w:sdtEndPr/>
      <w:sdtContent>
        <w:r w:rsidR="00313C6D" w:rsidRPr="00E419F1">
          <w:rPr>
            <w:rFonts w:ascii="Univers" w:hAnsi="Univers" w:cs="Arial"/>
            <w:b/>
            <w:noProof/>
            <w:sz w:val="28"/>
            <w:szCs w:val="28"/>
            <w:lang w:val="es-MX" w:eastAsia="es-MX"/>
          </w:rPr>
          <mc:AlternateContent>
            <mc:Choice Requires="wps">
              <w:drawing>
                <wp:anchor distT="0" distB="0" distL="114300" distR="114300" simplePos="0" relativeHeight="251660288" behindDoc="0" locked="0" layoutInCell="0" allowOverlap="1" wp14:anchorId="400F2775" wp14:editId="20698926">
                  <wp:simplePos x="0" y="0"/>
                  <wp:positionH relativeFrom="righ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47F6FA2" w14:textId="77777777" w:rsidR="00313C6D" w:rsidRDefault="00313C6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A0A0A" w:rsidRPr="005A0A0A">
                                    <w:rPr>
                                      <w:rFonts w:asciiTheme="majorHAnsi" w:eastAsiaTheme="majorEastAsia" w:hAnsiTheme="majorHAnsi" w:cstheme="majorBidi"/>
                                      <w:noProof/>
                                      <w:sz w:val="48"/>
                                      <w:szCs w:val="48"/>
                                    </w:rPr>
                                    <w:t>9</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2775" id="Rectángulo 5" o:sp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hgOvxgoCAADuAwAADgAA&#10;AAAAAAAAAAAAAAAuAgAAZHJzL2Uyb0RvYy54bWxQSwECLQAUAAYACAAAACEAbNUf09kAAAAFAQAA&#10;DwAAAAAAAAAAAAAAAABkBAAAZHJzL2Rvd25yZXYueG1sUEsFBgAAAAAEAAQA8wAAAGoFAAAAAA==&#10;" o:allowincell="f" stroked="f">
                  <v:textbo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47F6FA2" w14:textId="77777777" w:rsidR="00313C6D" w:rsidRDefault="00313C6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A0A0A" w:rsidRPr="005A0A0A">
                              <w:rPr>
                                <w:rFonts w:asciiTheme="majorHAnsi" w:eastAsiaTheme="majorEastAsia" w:hAnsiTheme="majorHAnsi" w:cstheme="majorBidi"/>
                                <w:noProof/>
                                <w:sz w:val="48"/>
                                <w:szCs w:val="48"/>
                              </w:rPr>
                              <w:t>9</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710BEA8A" w14:textId="245E0355" w:rsidR="00313C6D" w:rsidRDefault="00313C6D" w:rsidP="0064145F">
    <w:pPr>
      <w:pStyle w:val="Encabezado"/>
      <w:tabs>
        <w:tab w:val="clear" w:pos="4252"/>
        <w:tab w:val="left" w:pos="5954"/>
      </w:tabs>
      <w:ind w:right="-6"/>
      <w:jc w:val="right"/>
      <w:rPr>
        <w:rFonts w:ascii="Verdana" w:hAnsi="Verdana" w:cs="Courier New"/>
        <w:b/>
        <w:sz w:val="22"/>
        <w:szCs w:val="22"/>
      </w:rPr>
    </w:pPr>
    <w:r w:rsidRPr="003571CD">
      <w:rPr>
        <w:rFonts w:ascii="Verdana" w:hAnsi="Verdana" w:cs="Courier New"/>
        <w:b/>
        <w:sz w:val="22"/>
        <w:szCs w:val="22"/>
      </w:rPr>
      <w:t>TEEA-</w:t>
    </w:r>
    <w:r>
      <w:rPr>
        <w:rFonts w:ascii="Verdana" w:hAnsi="Verdana" w:cs="Courier New"/>
        <w:b/>
        <w:sz w:val="22"/>
        <w:szCs w:val="22"/>
      </w:rPr>
      <w:t>RAP</w:t>
    </w:r>
    <w:r w:rsidRPr="003571CD">
      <w:rPr>
        <w:rFonts w:ascii="Verdana" w:hAnsi="Verdana" w:cs="Courier New"/>
        <w:b/>
        <w:sz w:val="22"/>
        <w:szCs w:val="22"/>
      </w:rPr>
      <w:t>-0</w:t>
    </w:r>
    <w:r w:rsidR="00757332">
      <w:rPr>
        <w:rFonts w:ascii="Verdana" w:hAnsi="Verdana" w:cs="Courier New"/>
        <w:b/>
        <w:sz w:val="22"/>
        <w:szCs w:val="22"/>
      </w:rPr>
      <w:t>12</w:t>
    </w:r>
    <w:r w:rsidRPr="003571CD">
      <w:rPr>
        <w:rFonts w:ascii="Verdana" w:hAnsi="Verdana" w:cs="Courier New"/>
        <w:b/>
        <w:sz w:val="22"/>
        <w:szCs w:val="22"/>
      </w:rPr>
      <w:t>/2023</w:t>
    </w:r>
    <w:r w:rsidR="00D011D9">
      <w:rPr>
        <w:rFonts w:ascii="Verdana" w:hAnsi="Verdana" w:cs="Courier New"/>
        <w:b/>
        <w:sz w:val="22"/>
        <w:szCs w:val="22"/>
      </w:rPr>
      <w:t xml:space="preserve"> Y ACUMULADOS</w:t>
    </w:r>
  </w:p>
  <w:p w14:paraId="7131B6B4" w14:textId="77777777" w:rsidR="00313C6D" w:rsidRDefault="00313C6D" w:rsidP="0064145F">
    <w:pPr>
      <w:pStyle w:val="Encabezado"/>
      <w:tabs>
        <w:tab w:val="clear" w:pos="4252"/>
        <w:tab w:val="left" w:pos="5954"/>
      </w:tabs>
      <w:ind w:right="-6"/>
      <w:jc w:val="right"/>
      <w:rPr>
        <w:rFonts w:ascii="Verdana" w:hAnsi="Verdana" w:cs="Courier New"/>
        <w:b/>
        <w:sz w:val="22"/>
        <w:szCs w:val="22"/>
      </w:rPr>
    </w:pPr>
  </w:p>
  <w:p w14:paraId="1B3AF9ED" w14:textId="77777777" w:rsidR="00313C6D" w:rsidRPr="00BE3C4D" w:rsidRDefault="00313C6D" w:rsidP="0064145F">
    <w:pPr>
      <w:pStyle w:val="Encabezado"/>
      <w:tabs>
        <w:tab w:val="clear" w:pos="4252"/>
        <w:tab w:val="left" w:pos="5954"/>
      </w:tabs>
      <w:ind w:right="-6"/>
      <w:jc w:val="right"/>
      <w:rPr>
        <w:rFonts w:ascii="Verdana" w:hAnsi="Verdan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477B" w14:textId="4D1117A6" w:rsidR="00313C6D" w:rsidRDefault="00155B45" w:rsidP="009557D8">
    <w:pPr>
      <w:pStyle w:val="Encabezado"/>
      <w:ind w:left="-567"/>
      <w:jc w:val="center"/>
      <w:rPr>
        <w:rFonts w:ascii="Verdana" w:hAnsi="Verdana"/>
        <w:b/>
        <w:lang w:val="es-MX"/>
      </w:rPr>
    </w:pPr>
    <w:r>
      <w:rPr>
        <w:noProof/>
      </w:rPr>
      <w:pict w14:anchorId="0C810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926625" o:spid="_x0000_s1025" type="#_x0000_t136" style="position:absolute;left:0;text-align:left;margin-left:0;margin-top:0;width:487.95pt;height:75.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313C6D">
      <w:rPr>
        <w:noProof/>
        <w:lang w:val="es-MX" w:eastAsia="es-MX"/>
      </w:rPr>
      <w:drawing>
        <wp:anchor distT="0" distB="0" distL="0" distR="0" simplePos="0" relativeHeight="251662336" behindDoc="0" locked="0" layoutInCell="1" allowOverlap="1" wp14:anchorId="60C9F7A9" wp14:editId="68DEECD8">
          <wp:simplePos x="0" y="0"/>
          <wp:positionH relativeFrom="margin">
            <wp:posOffset>-958291</wp:posOffset>
          </wp:positionH>
          <wp:positionV relativeFrom="topMargin">
            <wp:posOffset>398374</wp:posOffset>
          </wp:positionV>
          <wp:extent cx="1176907" cy="1402079"/>
          <wp:effectExtent l="0" t="0" r="4445" b="8255"/>
          <wp:wrapNone/>
          <wp:docPr id="1667093921" name="Imagen 166709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6907" cy="14020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F0EA6"/>
    <w:multiLevelType w:val="hybridMultilevel"/>
    <w:tmpl w:val="8E94432C"/>
    <w:lvl w:ilvl="0" w:tplc="FFFFFFFF">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415B5E"/>
    <w:multiLevelType w:val="hybridMultilevel"/>
    <w:tmpl w:val="6ED8F406"/>
    <w:lvl w:ilvl="0" w:tplc="116EE87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071EDD"/>
    <w:multiLevelType w:val="hybridMultilevel"/>
    <w:tmpl w:val="24867A24"/>
    <w:lvl w:ilvl="0" w:tplc="47D083FE">
      <w:start w:val="1"/>
      <w:numFmt w:val="lowerLetter"/>
      <w:lvlText w:val="%1)"/>
      <w:lvlJc w:val="left"/>
      <w:pPr>
        <w:ind w:left="720" w:hanging="360"/>
      </w:pPr>
      <w:rPr>
        <w:rFonts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EA84A01"/>
    <w:multiLevelType w:val="hybridMultilevel"/>
    <w:tmpl w:val="16A64F46"/>
    <w:lvl w:ilvl="0" w:tplc="78106BEE">
      <w:start w:val="1"/>
      <w:numFmt w:val="upp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89749C"/>
    <w:multiLevelType w:val="hybridMultilevel"/>
    <w:tmpl w:val="8E94432C"/>
    <w:lvl w:ilvl="0" w:tplc="70865322">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7724710">
    <w:abstractNumId w:val="2"/>
  </w:num>
  <w:num w:numId="2" w16cid:durableId="800391709">
    <w:abstractNumId w:val="3"/>
  </w:num>
  <w:num w:numId="3" w16cid:durableId="1261110904">
    <w:abstractNumId w:val="4"/>
  </w:num>
  <w:num w:numId="4" w16cid:durableId="820467522">
    <w:abstractNumId w:val="1"/>
  </w:num>
  <w:num w:numId="5" w16cid:durableId="660801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068"/>
    <w:rsid w:val="00000D96"/>
    <w:rsid w:val="00003894"/>
    <w:rsid w:val="00003C55"/>
    <w:rsid w:val="00005547"/>
    <w:rsid w:val="00006005"/>
    <w:rsid w:val="00006EC4"/>
    <w:rsid w:val="00011A49"/>
    <w:rsid w:val="00011F66"/>
    <w:rsid w:val="00013472"/>
    <w:rsid w:val="00015995"/>
    <w:rsid w:val="00015B05"/>
    <w:rsid w:val="00015E74"/>
    <w:rsid w:val="00015FD0"/>
    <w:rsid w:val="00020D21"/>
    <w:rsid w:val="000227E3"/>
    <w:rsid w:val="000242A1"/>
    <w:rsid w:val="00031607"/>
    <w:rsid w:val="00032449"/>
    <w:rsid w:val="000336A4"/>
    <w:rsid w:val="00035C89"/>
    <w:rsid w:val="0003604E"/>
    <w:rsid w:val="000366EC"/>
    <w:rsid w:val="00036942"/>
    <w:rsid w:val="00043604"/>
    <w:rsid w:val="00045716"/>
    <w:rsid w:val="00046988"/>
    <w:rsid w:val="000546C4"/>
    <w:rsid w:val="00055904"/>
    <w:rsid w:val="000568F9"/>
    <w:rsid w:val="00056E6D"/>
    <w:rsid w:val="000611EB"/>
    <w:rsid w:val="000627BE"/>
    <w:rsid w:val="0006353D"/>
    <w:rsid w:val="0006633E"/>
    <w:rsid w:val="000677BE"/>
    <w:rsid w:val="00071931"/>
    <w:rsid w:val="00071B03"/>
    <w:rsid w:val="00075A1E"/>
    <w:rsid w:val="00075E00"/>
    <w:rsid w:val="00081028"/>
    <w:rsid w:val="000826D3"/>
    <w:rsid w:val="00085649"/>
    <w:rsid w:val="00085C72"/>
    <w:rsid w:val="00086D27"/>
    <w:rsid w:val="000900D4"/>
    <w:rsid w:val="00092091"/>
    <w:rsid w:val="000938AB"/>
    <w:rsid w:val="000964AC"/>
    <w:rsid w:val="000964C6"/>
    <w:rsid w:val="000A293C"/>
    <w:rsid w:val="000A2B2D"/>
    <w:rsid w:val="000A39EB"/>
    <w:rsid w:val="000A4136"/>
    <w:rsid w:val="000A6968"/>
    <w:rsid w:val="000A6B5E"/>
    <w:rsid w:val="000A6CAF"/>
    <w:rsid w:val="000B076C"/>
    <w:rsid w:val="000B18BC"/>
    <w:rsid w:val="000B1967"/>
    <w:rsid w:val="000B430E"/>
    <w:rsid w:val="000B49C2"/>
    <w:rsid w:val="000B797E"/>
    <w:rsid w:val="000B7DE7"/>
    <w:rsid w:val="000C0D62"/>
    <w:rsid w:val="000C2DF8"/>
    <w:rsid w:val="000C3259"/>
    <w:rsid w:val="000C3B99"/>
    <w:rsid w:val="000C3D87"/>
    <w:rsid w:val="000C541F"/>
    <w:rsid w:val="000C7D3A"/>
    <w:rsid w:val="000D0971"/>
    <w:rsid w:val="000D11C8"/>
    <w:rsid w:val="000D1B22"/>
    <w:rsid w:val="000D3257"/>
    <w:rsid w:val="000D330F"/>
    <w:rsid w:val="000D4097"/>
    <w:rsid w:val="000D46BD"/>
    <w:rsid w:val="000D7093"/>
    <w:rsid w:val="000D79E8"/>
    <w:rsid w:val="000E37AF"/>
    <w:rsid w:val="000E4112"/>
    <w:rsid w:val="000E5291"/>
    <w:rsid w:val="000E5727"/>
    <w:rsid w:val="000E6483"/>
    <w:rsid w:val="000E751E"/>
    <w:rsid w:val="000F1DD7"/>
    <w:rsid w:val="000F2689"/>
    <w:rsid w:val="000F3AE5"/>
    <w:rsid w:val="000F4239"/>
    <w:rsid w:val="000F4545"/>
    <w:rsid w:val="000F6C3A"/>
    <w:rsid w:val="00102156"/>
    <w:rsid w:val="00103A09"/>
    <w:rsid w:val="001047AC"/>
    <w:rsid w:val="00104932"/>
    <w:rsid w:val="00107949"/>
    <w:rsid w:val="00107D77"/>
    <w:rsid w:val="00110204"/>
    <w:rsid w:val="0011083E"/>
    <w:rsid w:val="0011214F"/>
    <w:rsid w:val="0011338F"/>
    <w:rsid w:val="001141D5"/>
    <w:rsid w:val="0011429F"/>
    <w:rsid w:val="001143B8"/>
    <w:rsid w:val="00116B9E"/>
    <w:rsid w:val="0011708B"/>
    <w:rsid w:val="00117C52"/>
    <w:rsid w:val="001209E7"/>
    <w:rsid w:val="00120BFD"/>
    <w:rsid w:val="00121E34"/>
    <w:rsid w:val="001225DE"/>
    <w:rsid w:val="001242BE"/>
    <w:rsid w:val="001277F3"/>
    <w:rsid w:val="00127BCF"/>
    <w:rsid w:val="00131C1C"/>
    <w:rsid w:val="00135749"/>
    <w:rsid w:val="0013622B"/>
    <w:rsid w:val="00141059"/>
    <w:rsid w:val="00141B83"/>
    <w:rsid w:val="00142047"/>
    <w:rsid w:val="00144E97"/>
    <w:rsid w:val="00147DDA"/>
    <w:rsid w:val="00151554"/>
    <w:rsid w:val="001534B3"/>
    <w:rsid w:val="0015368F"/>
    <w:rsid w:val="001547B1"/>
    <w:rsid w:val="001548A0"/>
    <w:rsid w:val="00155B45"/>
    <w:rsid w:val="00163FE8"/>
    <w:rsid w:val="00164882"/>
    <w:rsid w:val="00164E57"/>
    <w:rsid w:val="00166F93"/>
    <w:rsid w:val="0017043E"/>
    <w:rsid w:val="00170D4C"/>
    <w:rsid w:val="00172464"/>
    <w:rsid w:val="00175757"/>
    <w:rsid w:val="00176970"/>
    <w:rsid w:val="00176BC9"/>
    <w:rsid w:val="00181A44"/>
    <w:rsid w:val="00185933"/>
    <w:rsid w:val="001875D5"/>
    <w:rsid w:val="001904E6"/>
    <w:rsid w:val="00193BAD"/>
    <w:rsid w:val="00194A40"/>
    <w:rsid w:val="00197402"/>
    <w:rsid w:val="00197816"/>
    <w:rsid w:val="001A27FB"/>
    <w:rsid w:val="001A5E82"/>
    <w:rsid w:val="001A6F60"/>
    <w:rsid w:val="001A7B2F"/>
    <w:rsid w:val="001B019E"/>
    <w:rsid w:val="001C11F1"/>
    <w:rsid w:val="001C3734"/>
    <w:rsid w:val="001C3DAF"/>
    <w:rsid w:val="001C47C5"/>
    <w:rsid w:val="001C537B"/>
    <w:rsid w:val="001C5D00"/>
    <w:rsid w:val="001C6AFE"/>
    <w:rsid w:val="001D4A0E"/>
    <w:rsid w:val="001D51AB"/>
    <w:rsid w:val="001D5777"/>
    <w:rsid w:val="001D754C"/>
    <w:rsid w:val="001E5A8A"/>
    <w:rsid w:val="001E5A95"/>
    <w:rsid w:val="001E6D05"/>
    <w:rsid w:val="001F05E2"/>
    <w:rsid w:val="001F10EB"/>
    <w:rsid w:val="001F25C7"/>
    <w:rsid w:val="001F2714"/>
    <w:rsid w:val="001F5168"/>
    <w:rsid w:val="001F54E1"/>
    <w:rsid w:val="001F6C97"/>
    <w:rsid w:val="001F6D94"/>
    <w:rsid w:val="002000BF"/>
    <w:rsid w:val="00202A6D"/>
    <w:rsid w:val="00203371"/>
    <w:rsid w:val="0020400C"/>
    <w:rsid w:val="002061FE"/>
    <w:rsid w:val="00210F61"/>
    <w:rsid w:val="002123E5"/>
    <w:rsid w:val="00213185"/>
    <w:rsid w:val="00213337"/>
    <w:rsid w:val="002162E2"/>
    <w:rsid w:val="0021664B"/>
    <w:rsid w:val="00222126"/>
    <w:rsid w:val="00223AD8"/>
    <w:rsid w:val="002263DC"/>
    <w:rsid w:val="00227EA9"/>
    <w:rsid w:val="00230B34"/>
    <w:rsid w:val="00232861"/>
    <w:rsid w:val="0023330C"/>
    <w:rsid w:val="002343B6"/>
    <w:rsid w:val="002358CB"/>
    <w:rsid w:val="00236162"/>
    <w:rsid w:val="0023707D"/>
    <w:rsid w:val="00241D83"/>
    <w:rsid w:val="002423A2"/>
    <w:rsid w:val="00243F48"/>
    <w:rsid w:val="0024548D"/>
    <w:rsid w:val="00245909"/>
    <w:rsid w:val="00250259"/>
    <w:rsid w:val="00254821"/>
    <w:rsid w:val="00255936"/>
    <w:rsid w:val="002560C7"/>
    <w:rsid w:val="0026033F"/>
    <w:rsid w:val="00260ED8"/>
    <w:rsid w:val="00262831"/>
    <w:rsid w:val="002631F8"/>
    <w:rsid w:val="00263295"/>
    <w:rsid w:val="00263682"/>
    <w:rsid w:val="00265EBC"/>
    <w:rsid w:val="002672C8"/>
    <w:rsid w:val="002705D5"/>
    <w:rsid w:val="00271018"/>
    <w:rsid w:val="00272C49"/>
    <w:rsid w:val="002752A4"/>
    <w:rsid w:val="00275AA3"/>
    <w:rsid w:val="002774C5"/>
    <w:rsid w:val="00277D0B"/>
    <w:rsid w:val="0028381F"/>
    <w:rsid w:val="00283EA5"/>
    <w:rsid w:val="002845F6"/>
    <w:rsid w:val="00284CEE"/>
    <w:rsid w:val="002853B0"/>
    <w:rsid w:val="00287076"/>
    <w:rsid w:val="00287D88"/>
    <w:rsid w:val="0029010B"/>
    <w:rsid w:val="00290774"/>
    <w:rsid w:val="00292CEC"/>
    <w:rsid w:val="002936A0"/>
    <w:rsid w:val="002952EE"/>
    <w:rsid w:val="002A32E5"/>
    <w:rsid w:val="002A3FF7"/>
    <w:rsid w:val="002A4EEF"/>
    <w:rsid w:val="002A6BF2"/>
    <w:rsid w:val="002A6C2E"/>
    <w:rsid w:val="002B21D4"/>
    <w:rsid w:val="002B4D89"/>
    <w:rsid w:val="002B5267"/>
    <w:rsid w:val="002B5BE3"/>
    <w:rsid w:val="002B6593"/>
    <w:rsid w:val="002B7091"/>
    <w:rsid w:val="002B7539"/>
    <w:rsid w:val="002C1CFE"/>
    <w:rsid w:val="002C424B"/>
    <w:rsid w:val="002C45A3"/>
    <w:rsid w:val="002C47A3"/>
    <w:rsid w:val="002C55C6"/>
    <w:rsid w:val="002C60BA"/>
    <w:rsid w:val="002C68B6"/>
    <w:rsid w:val="002D053E"/>
    <w:rsid w:val="002D1A0C"/>
    <w:rsid w:val="002D2280"/>
    <w:rsid w:val="002D3F73"/>
    <w:rsid w:val="002D44A7"/>
    <w:rsid w:val="002D4D1E"/>
    <w:rsid w:val="002D7C08"/>
    <w:rsid w:val="002E27D3"/>
    <w:rsid w:val="002E744B"/>
    <w:rsid w:val="002F03DC"/>
    <w:rsid w:val="002F0FE0"/>
    <w:rsid w:val="002F1D46"/>
    <w:rsid w:val="002F1EC7"/>
    <w:rsid w:val="002F31F0"/>
    <w:rsid w:val="002F3F29"/>
    <w:rsid w:val="002F6225"/>
    <w:rsid w:val="002F68AD"/>
    <w:rsid w:val="002F78DE"/>
    <w:rsid w:val="003002F5"/>
    <w:rsid w:val="0030069B"/>
    <w:rsid w:val="00300D47"/>
    <w:rsid w:val="00302DD2"/>
    <w:rsid w:val="003035FD"/>
    <w:rsid w:val="00303A8B"/>
    <w:rsid w:val="00304763"/>
    <w:rsid w:val="00304FB5"/>
    <w:rsid w:val="00306A9D"/>
    <w:rsid w:val="00310657"/>
    <w:rsid w:val="003120AA"/>
    <w:rsid w:val="00313C6D"/>
    <w:rsid w:val="003163F2"/>
    <w:rsid w:val="003178D9"/>
    <w:rsid w:val="00321BFB"/>
    <w:rsid w:val="00324DFB"/>
    <w:rsid w:val="00324F8B"/>
    <w:rsid w:val="00325725"/>
    <w:rsid w:val="00325D9B"/>
    <w:rsid w:val="003300A9"/>
    <w:rsid w:val="00332B4B"/>
    <w:rsid w:val="00332FDD"/>
    <w:rsid w:val="00333D16"/>
    <w:rsid w:val="00333F28"/>
    <w:rsid w:val="003357E7"/>
    <w:rsid w:val="00335B5B"/>
    <w:rsid w:val="003361F2"/>
    <w:rsid w:val="0033733E"/>
    <w:rsid w:val="0033794D"/>
    <w:rsid w:val="00337B4F"/>
    <w:rsid w:val="00337B6B"/>
    <w:rsid w:val="00337EBB"/>
    <w:rsid w:val="00340835"/>
    <w:rsid w:val="00343B51"/>
    <w:rsid w:val="00343D74"/>
    <w:rsid w:val="00345A58"/>
    <w:rsid w:val="00346BCE"/>
    <w:rsid w:val="00347435"/>
    <w:rsid w:val="00350074"/>
    <w:rsid w:val="003519D3"/>
    <w:rsid w:val="00352128"/>
    <w:rsid w:val="00352DBF"/>
    <w:rsid w:val="00353663"/>
    <w:rsid w:val="00354229"/>
    <w:rsid w:val="00355CE7"/>
    <w:rsid w:val="00360DA5"/>
    <w:rsid w:val="003614B2"/>
    <w:rsid w:val="0036177D"/>
    <w:rsid w:val="00361A1A"/>
    <w:rsid w:val="00362715"/>
    <w:rsid w:val="003671E8"/>
    <w:rsid w:val="0037035A"/>
    <w:rsid w:val="003707A4"/>
    <w:rsid w:val="00371A9C"/>
    <w:rsid w:val="00371FE1"/>
    <w:rsid w:val="00373BFA"/>
    <w:rsid w:val="00374B3D"/>
    <w:rsid w:val="00374FD2"/>
    <w:rsid w:val="003815A5"/>
    <w:rsid w:val="00383231"/>
    <w:rsid w:val="00383758"/>
    <w:rsid w:val="00383AAD"/>
    <w:rsid w:val="00383C9B"/>
    <w:rsid w:val="00383E29"/>
    <w:rsid w:val="00384341"/>
    <w:rsid w:val="00384549"/>
    <w:rsid w:val="003856CB"/>
    <w:rsid w:val="00385D75"/>
    <w:rsid w:val="00387C89"/>
    <w:rsid w:val="003908F8"/>
    <w:rsid w:val="003916CA"/>
    <w:rsid w:val="003930F2"/>
    <w:rsid w:val="00393E85"/>
    <w:rsid w:val="00394C0D"/>
    <w:rsid w:val="00395E3F"/>
    <w:rsid w:val="00396C82"/>
    <w:rsid w:val="0039737C"/>
    <w:rsid w:val="003A0FD2"/>
    <w:rsid w:val="003A5CB4"/>
    <w:rsid w:val="003A7BD5"/>
    <w:rsid w:val="003A7CEF"/>
    <w:rsid w:val="003B068E"/>
    <w:rsid w:val="003B1E95"/>
    <w:rsid w:val="003B2638"/>
    <w:rsid w:val="003B2C92"/>
    <w:rsid w:val="003B3627"/>
    <w:rsid w:val="003B6094"/>
    <w:rsid w:val="003B6276"/>
    <w:rsid w:val="003B6F92"/>
    <w:rsid w:val="003C0CB3"/>
    <w:rsid w:val="003C2A07"/>
    <w:rsid w:val="003C54CE"/>
    <w:rsid w:val="003D0BC5"/>
    <w:rsid w:val="003D15E1"/>
    <w:rsid w:val="003D19FA"/>
    <w:rsid w:val="003D285E"/>
    <w:rsid w:val="003D334F"/>
    <w:rsid w:val="003E16EF"/>
    <w:rsid w:val="003E4CA3"/>
    <w:rsid w:val="003E6767"/>
    <w:rsid w:val="003E6A7C"/>
    <w:rsid w:val="003F0108"/>
    <w:rsid w:val="003F0E70"/>
    <w:rsid w:val="003F20B5"/>
    <w:rsid w:val="003F2825"/>
    <w:rsid w:val="003F3E99"/>
    <w:rsid w:val="00400370"/>
    <w:rsid w:val="0040134A"/>
    <w:rsid w:val="00401B09"/>
    <w:rsid w:val="004023CD"/>
    <w:rsid w:val="0040288B"/>
    <w:rsid w:val="00402D54"/>
    <w:rsid w:val="00406152"/>
    <w:rsid w:val="004061EE"/>
    <w:rsid w:val="00407B36"/>
    <w:rsid w:val="00410157"/>
    <w:rsid w:val="00410996"/>
    <w:rsid w:val="004144B0"/>
    <w:rsid w:val="004164A3"/>
    <w:rsid w:val="00417C1D"/>
    <w:rsid w:val="0042234F"/>
    <w:rsid w:val="0042380F"/>
    <w:rsid w:val="00424D92"/>
    <w:rsid w:val="00424EA7"/>
    <w:rsid w:val="00426D04"/>
    <w:rsid w:val="00431D1F"/>
    <w:rsid w:val="00432934"/>
    <w:rsid w:val="00432A0C"/>
    <w:rsid w:val="00433BFF"/>
    <w:rsid w:val="00436A4B"/>
    <w:rsid w:val="00436EAF"/>
    <w:rsid w:val="004379E2"/>
    <w:rsid w:val="00441FEB"/>
    <w:rsid w:val="00446AC7"/>
    <w:rsid w:val="004475AC"/>
    <w:rsid w:val="00447928"/>
    <w:rsid w:val="0045018B"/>
    <w:rsid w:val="00454CC0"/>
    <w:rsid w:val="00455BFF"/>
    <w:rsid w:val="004563CA"/>
    <w:rsid w:val="00461B35"/>
    <w:rsid w:val="00462202"/>
    <w:rsid w:val="00462325"/>
    <w:rsid w:val="00464C53"/>
    <w:rsid w:val="0046528F"/>
    <w:rsid w:val="00466D88"/>
    <w:rsid w:val="0046709F"/>
    <w:rsid w:val="004705D9"/>
    <w:rsid w:val="00471463"/>
    <w:rsid w:val="00471BBF"/>
    <w:rsid w:val="00472F02"/>
    <w:rsid w:val="00474354"/>
    <w:rsid w:val="00474F58"/>
    <w:rsid w:val="00475B05"/>
    <w:rsid w:val="0047690A"/>
    <w:rsid w:val="004843E5"/>
    <w:rsid w:val="004868B5"/>
    <w:rsid w:val="00486E91"/>
    <w:rsid w:val="00487440"/>
    <w:rsid w:val="00490623"/>
    <w:rsid w:val="00493A22"/>
    <w:rsid w:val="00496005"/>
    <w:rsid w:val="00496898"/>
    <w:rsid w:val="00496D4F"/>
    <w:rsid w:val="004A0C31"/>
    <w:rsid w:val="004A2C57"/>
    <w:rsid w:val="004A32BA"/>
    <w:rsid w:val="004A371B"/>
    <w:rsid w:val="004A52A1"/>
    <w:rsid w:val="004A5B2E"/>
    <w:rsid w:val="004A6F7D"/>
    <w:rsid w:val="004B2D1A"/>
    <w:rsid w:val="004B2F8F"/>
    <w:rsid w:val="004B3C19"/>
    <w:rsid w:val="004B3C79"/>
    <w:rsid w:val="004B3CDD"/>
    <w:rsid w:val="004B7137"/>
    <w:rsid w:val="004B7DD3"/>
    <w:rsid w:val="004B7EDE"/>
    <w:rsid w:val="004C0633"/>
    <w:rsid w:val="004C1446"/>
    <w:rsid w:val="004C2C52"/>
    <w:rsid w:val="004C5427"/>
    <w:rsid w:val="004C560F"/>
    <w:rsid w:val="004D102D"/>
    <w:rsid w:val="004D173B"/>
    <w:rsid w:val="004D3AE8"/>
    <w:rsid w:val="004D4151"/>
    <w:rsid w:val="004D6959"/>
    <w:rsid w:val="004E224F"/>
    <w:rsid w:val="004E4DF2"/>
    <w:rsid w:val="004E7AF6"/>
    <w:rsid w:val="004F0BAB"/>
    <w:rsid w:val="004F1FBB"/>
    <w:rsid w:val="004F23E4"/>
    <w:rsid w:val="004F25CF"/>
    <w:rsid w:val="004F3068"/>
    <w:rsid w:val="004F44E4"/>
    <w:rsid w:val="004F5040"/>
    <w:rsid w:val="004F56E8"/>
    <w:rsid w:val="00502596"/>
    <w:rsid w:val="00505D84"/>
    <w:rsid w:val="00505FE9"/>
    <w:rsid w:val="0050693E"/>
    <w:rsid w:val="0050707D"/>
    <w:rsid w:val="00511A3B"/>
    <w:rsid w:val="00512037"/>
    <w:rsid w:val="005128F0"/>
    <w:rsid w:val="005207A6"/>
    <w:rsid w:val="00521254"/>
    <w:rsid w:val="0052390B"/>
    <w:rsid w:val="005240C2"/>
    <w:rsid w:val="00525075"/>
    <w:rsid w:val="005251AD"/>
    <w:rsid w:val="00525799"/>
    <w:rsid w:val="00526E9E"/>
    <w:rsid w:val="00526ECD"/>
    <w:rsid w:val="00527373"/>
    <w:rsid w:val="005277A5"/>
    <w:rsid w:val="0053116D"/>
    <w:rsid w:val="0053317F"/>
    <w:rsid w:val="00537180"/>
    <w:rsid w:val="0053776D"/>
    <w:rsid w:val="00540C22"/>
    <w:rsid w:val="0054252A"/>
    <w:rsid w:val="00543356"/>
    <w:rsid w:val="00543696"/>
    <w:rsid w:val="0054648A"/>
    <w:rsid w:val="00551F96"/>
    <w:rsid w:val="00553BD8"/>
    <w:rsid w:val="00553DA1"/>
    <w:rsid w:val="0055460C"/>
    <w:rsid w:val="00555254"/>
    <w:rsid w:val="00555C82"/>
    <w:rsid w:val="005563C5"/>
    <w:rsid w:val="00557FFB"/>
    <w:rsid w:val="00560770"/>
    <w:rsid w:val="00560C59"/>
    <w:rsid w:val="005612E3"/>
    <w:rsid w:val="005635D0"/>
    <w:rsid w:val="00563E9E"/>
    <w:rsid w:val="0057011C"/>
    <w:rsid w:val="00572058"/>
    <w:rsid w:val="0057205A"/>
    <w:rsid w:val="005721B6"/>
    <w:rsid w:val="00574CBA"/>
    <w:rsid w:val="00581AB0"/>
    <w:rsid w:val="00581EED"/>
    <w:rsid w:val="005837F0"/>
    <w:rsid w:val="005845B9"/>
    <w:rsid w:val="00586B50"/>
    <w:rsid w:val="00590850"/>
    <w:rsid w:val="00594A1F"/>
    <w:rsid w:val="005A0A0A"/>
    <w:rsid w:val="005A1A99"/>
    <w:rsid w:val="005A268C"/>
    <w:rsid w:val="005A32B1"/>
    <w:rsid w:val="005B3081"/>
    <w:rsid w:val="005B3402"/>
    <w:rsid w:val="005B3C76"/>
    <w:rsid w:val="005B429F"/>
    <w:rsid w:val="005B53F9"/>
    <w:rsid w:val="005B59D9"/>
    <w:rsid w:val="005B671A"/>
    <w:rsid w:val="005B7E3A"/>
    <w:rsid w:val="005C1EBE"/>
    <w:rsid w:val="005C3734"/>
    <w:rsid w:val="005C4A59"/>
    <w:rsid w:val="005C5CED"/>
    <w:rsid w:val="005C6D29"/>
    <w:rsid w:val="005D0F20"/>
    <w:rsid w:val="005D14AE"/>
    <w:rsid w:val="005D1C3A"/>
    <w:rsid w:val="005D3119"/>
    <w:rsid w:val="005D4101"/>
    <w:rsid w:val="005D48D0"/>
    <w:rsid w:val="005D5784"/>
    <w:rsid w:val="005D5D89"/>
    <w:rsid w:val="005D797B"/>
    <w:rsid w:val="005E1C94"/>
    <w:rsid w:val="005E2E71"/>
    <w:rsid w:val="005E319C"/>
    <w:rsid w:val="005E4BB6"/>
    <w:rsid w:val="005F0E9E"/>
    <w:rsid w:val="005F190D"/>
    <w:rsid w:val="005F27A8"/>
    <w:rsid w:val="005F3A42"/>
    <w:rsid w:val="005F765B"/>
    <w:rsid w:val="005F7964"/>
    <w:rsid w:val="005F7BA8"/>
    <w:rsid w:val="005F7F64"/>
    <w:rsid w:val="00601C96"/>
    <w:rsid w:val="006044D8"/>
    <w:rsid w:val="00604509"/>
    <w:rsid w:val="006060DC"/>
    <w:rsid w:val="00606A4A"/>
    <w:rsid w:val="006071D4"/>
    <w:rsid w:val="00610771"/>
    <w:rsid w:val="006126AE"/>
    <w:rsid w:val="00612C91"/>
    <w:rsid w:val="006227F8"/>
    <w:rsid w:val="00622F6C"/>
    <w:rsid w:val="00626829"/>
    <w:rsid w:val="00632355"/>
    <w:rsid w:val="00633938"/>
    <w:rsid w:val="00634979"/>
    <w:rsid w:val="006372B9"/>
    <w:rsid w:val="006412A4"/>
    <w:rsid w:val="0064145F"/>
    <w:rsid w:val="006415D4"/>
    <w:rsid w:val="006418DB"/>
    <w:rsid w:val="006426DF"/>
    <w:rsid w:val="0064433F"/>
    <w:rsid w:val="006453D2"/>
    <w:rsid w:val="0065231A"/>
    <w:rsid w:val="0065244F"/>
    <w:rsid w:val="006524EC"/>
    <w:rsid w:val="0065359E"/>
    <w:rsid w:val="00654269"/>
    <w:rsid w:val="006562EB"/>
    <w:rsid w:val="00660C60"/>
    <w:rsid w:val="00660CCD"/>
    <w:rsid w:val="00661078"/>
    <w:rsid w:val="006621E9"/>
    <w:rsid w:val="00666C2F"/>
    <w:rsid w:val="00670696"/>
    <w:rsid w:val="0067085C"/>
    <w:rsid w:val="00674EBD"/>
    <w:rsid w:val="00680742"/>
    <w:rsid w:val="006828B2"/>
    <w:rsid w:val="006845CF"/>
    <w:rsid w:val="0068539E"/>
    <w:rsid w:val="00685620"/>
    <w:rsid w:val="00686549"/>
    <w:rsid w:val="006905F3"/>
    <w:rsid w:val="00691D63"/>
    <w:rsid w:val="00693E63"/>
    <w:rsid w:val="00696DB5"/>
    <w:rsid w:val="00697291"/>
    <w:rsid w:val="006A3BBB"/>
    <w:rsid w:val="006A4C83"/>
    <w:rsid w:val="006A522E"/>
    <w:rsid w:val="006A5456"/>
    <w:rsid w:val="006A5996"/>
    <w:rsid w:val="006B1A6F"/>
    <w:rsid w:val="006B230D"/>
    <w:rsid w:val="006B2A8D"/>
    <w:rsid w:val="006B61C7"/>
    <w:rsid w:val="006B64D2"/>
    <w:rsid w:val="006C10C0"/>
    <w:rsid w:val="006C1443"/>
    <w:rsid w:val="006C255B"/>
    <w:rsid w:val="006C41F9"/>
    <w:rsid w:val="006C44D3"/>
    <w:rsid w:val="006C5A6C"/>
    <w:rsid w:val="006C7CF5"/>
    <w:rsid w:val="006D0434"/>
    <w:rsid w:val="006D0F34"/>
    <w:rsid w:val="006D1080"/>
    <w:rsid w:val="006D2BF0"/>
    <w:rsid w:val="006D30D3"/>
    <w:rsid w:val="006D35E8"/>
    <w:rsid w:val="006D3DD7"/>
    <w:rsid w:val="006D56FB"/>
    <w:rsid w:val="006E03AA"/>
    <w:rsid w:val="006E158C"/>
    <w:rsid w:val="006E2452"/>
    <w:rsid w:val="006E29FA"/>
    <w:rsid w:val="006E3B86"/>
    <w:rsid w:val="006E3B8E"/>
    <w:rsid w:val="006E45D7"/>
    <w:rsid w:val="006E4C71"/>
    <w:rsid w:val="006E6067"/>
    <w:rsid w:val="006E7290"/>
    <w:rsid w:val="006F1F43"/>
    <w:rsid w:val="006F2576"/>
    <w:rsid w:val="006F39D8"/>
    <w:rsid w:val="006F46BF"/>
    <w:rsid w:val="006F46FA"/>
    <w:rsid w:val="006F486F"/>
    <w:rsid w:val="006F4C37"/>
    <w:rsid w:val="006F50B8"/>
    <w:rsid w:val="006F5602"/>
    <w:rsid w:val="006F70F2"/>
    <w:rsid w:val="007001FE"/>
    <w:rsid w:val="00700AC9"/>
    <w:rsid w:val="00701199"/>
    <w:rsid w:val="00705BF7"/>
    <w:rsid w:val="00706346"/>
    <w:rsid w:val="007100E9"/>
    <w:rsid w:val="00712930"/>
    <w:rsid w:val="00713B69"/>
    <w:rsid w:val="007143E4"/>
    <w:rsid w:val="0071458C"/>
    <w:rsid w:val="007169EF"/>
    <w:rsid w:val="007224D7"/>
    <w:rsid w:val="00723424"/>
    <w:rsid w:val="00723ED0"/>
    <w:rsid w:val="00725870"/>
    <w:rsid w:val="00725CA7"/>
    <w:rsid w:val="00725F88"/>
    <w:rsid w:val="0072657E"/>
    <w:rsid w:val="007272F0"/>
    <w:rsid w:val="00727B4E"/>
    <w:rsid w:val="0073009F"/>
    <w:rsid w:val="0073126F"/>
    <w:rsid w:val="00732765"/>
    <w:rsid w:val="00733BDA"/>
    <w:rsid w:val="007372F8"/>
    <w:rsid w:val="0073732B"/>
    <w:rsid w:val="007376C5"/>
    <w:rsid w:val="00741D2C"/>
    <w:rsid w:val="0074443D"/>
    <w:rsid w:val="0074500D"/>
    <w:rsid w:val="007450F9"/>
    <w:rsid w:val="00745C2A"/>
    <w:rsid w:val="007466BA"/>
    <w:rsid w:val="0074695D"/>
    <w:rsid w:val="00747998"/>
    <w:rsid w:val="00751434"/>
    <w:rsid w:val="007524E8"/>
    <w:rsid w:val="007534A0"/>
    <w:rsid w:val="00757332"/>
    <w:rsid w:val="00760A2D"/>
    <w:rsid w:val="00760FDF"/>
    <w:rsid w:val="007624A3"/>
    <w:rsid w:val="00762D3E"/>
    <w:rsid w:val="00763891"/>
    <w:rsid w:val="007643D9"/>
    <w:rsid w:val="00765472"/>
    <w:rsid w:val="00765B65"/>
    <w:rsid w:val="0076629F"/>
    <w:rsid w:val="00766A55"/>
    <w:rsid w:val="00767902"/>
    <w:rsid w:val="00770C0A"/>
    <w:rsid w:val="00770F9C"/>
    <w:rsid w:val="00772668"/>
    <w:rsid w:val="007775FC"/>
    <w:rsid w:val="00780344"/>
    <w:rsid w:val="00780CEB"/>
    <w:rsid w:val="007814F0"/>
    <w:rsid w:val="00782D2E"/>
    <w:rsid w:val="00784223"/>
    <w:rsid w:val="00787D45"/>
    <w:rsid w:val="00790C1E"/>
    <w:rsid w:val="007917E9"/>
    <w:rsid w:val="007920A4"/>
    <w:rsid w:val="00792685"/>
    <w:rsid w:val="007935CD"/>
    <w:rsid w:val="00794270"/>
    <w:rsid w:val="00794AD8"/>
    <w:rsid w:val="00795C16"/>
    <w:rsid w:val="00796296"/>
    <w:rsid w:val="007962F7"/>
    <w:rsid w:val="00796621"/>
    <w:rsid w:val="00797180"/>
    <w:rsid w:val="00797807"/>
    <w:rsid w:val="00797BD4"/>
    <w:rsid w:val="007A1BF9"/>
    <w:rsid w:val="007A1C83"/>
    <w:rsid w:val="007A3563"/>
    <w:rsid w:val="007A4C42"/>
    <w:rsid w:val="007A684A"/>
    <w:rsid w:val="007A7365"/>
    <w:rsid w:val="007B3103"/>
    <w:rsid w:val="007B4FD6"/>
    <w:rsid w:val="007B609C"/>
    <w:rsid w:val="007C2F3A"/>
    <w:rsid w:val="007C3997"/>
    <w:rsid w:val="007C4737"/>
    <w:rsid w:val="007C6995"/>
    <w:rsid w:val="007C6CED"/>
    <w:rsid w:val="007D33D8"/>
    <w:rsid w:val="007D52E4"/>
    <w:rsid w:val="007D60DF"/>
    <w:rsid w:val="007D6AFF"/>
    <w:rsid w:val="007D7B7D"/>
    <w:rsid w:val="007E1CDE"/>
    <w:rsid w:val="007E293F"/>
    <w:rsid w:val="007E3128"/>
    <w:rsid w:val="007E4245"/>
    <w:rsid w:val="007F32A6"/>
    <w:rsid w:val="007F3CFE"/>
    <w:rsid w:val="007F4E46"/>
    <w:rsid w:val="007F6B21"/>
    <w:rsid w:val="007F7E14"/>
    <w:rsid w:val="0080016B"/>
    <w:rsid w:val="00801ADA"/>
    <w:rsid w:val="00801EA9"/>
    <w:rsid w:val="00804425"/>
    <w:rsid w:val="008116BF"/>
    <w:rsid w:val="00813596"/>
    <w:rsid w:val="0081473F"/>
    <w:rsid w:val="00816392"/>
    <w:rsid w:val="00820E33"/>
    <w:rsid w:val="0082106E"/>
    <w:rsid w:val="00822319"/>
    <w:rsid w:val="00823940"/>
    <w:rsid w:val="00823AC4"/>
    <w:rsid w:val="0082510C"/>
    <w:rsid w:val="008266A0"/>
    <w:rsid w:val="008268DB"/>
    <w:rsid w:val="0082798F"/>
    <w:rsid w:val="00831181"/>
    <w:rsid w:val="00831804"/>
    <w:rsid w:val="00832BA7"/>
    <w:rsid w:val="008341A8"/>
    <w:rsid w:val="00834AA7"/>
    <w:rsid w:val="00834C0B"/>
    <w:rsid w:val="00834D92"/>
    <w:rsid w:val="008352B6"/>
    <w:rsid w:val="00837458"/>
    <w:rsid w:val="00837E46"/>
    <w:rsid w:val="0084199B"/>
    <w:rsid w:val="00841DF4"/>
    <w:rsid w:val="008442BC"/>
    <w:rsid w:val="0085342D"/>
    <w:rsid w:val="008548CD"/>
    <w:rsid w:val="008555B3"/>
    <w:rsid w:val="008558EA"/>
    <w:rsid w:val="0086134A"/>
    <w:rsid w:val="0086186C"/>
    <w:rsid w:val="00865526"/>
    <w:rsid w:val="00865C80"/>
    <w:rsid w:val="00866F96"/>
    <w:rsid w:val="00870A1F"/>
    <w:rsid w:val="008721B9"/>
    <w:rsid w:val="008724F3"/>
    <w:rsid w:val="00874215"/>
    <w:rsid w:val="008759E1"/>
    <w:rsid w:val="00876ACB"/>
    <w:rsid w:val="0087796C"/>
    <w:rsid w:val="008800B9"/>
    <w:rsid w:val="00880E99"/>
    <w:rsid w:val="00882AB4"/>
    <w:rsid w:val="008850C7"/>
    <w:rsid w:val="0088616E"/>
    <w:rsid w:val="0088796D"/>
    <w:rsid w:val="00887D03"/>
    <w:rsid w:val="00887E59"/>
    <w:rsid w:val="008900EE"/>
    <w:rsid w:val="008911B9"/>
    <w:rsid w:val="00891766"/>
    <w:rsid w:val="008935EB"/>
    <w:rsid w:val="008938B3"/>
    <w:rsid w:val="00894184"/>
    <w:rsid w:val="0089489D"/>
    <w:rsid w:val="0089579E"/>
    <w:rsid w:val="008969FE"/>
    <w:rsid w:val="00897702"/>
    <w:rsid w:val="008A22CF"/>
    <w:rsid w:val="008A3655"/>
    <w:rsid w:val="008A4AC3"/>
    <w:rsid w:val="008A5350"/>
    <w:rsid w:val="008A6F61"/>
    <w:rsid w:val="008B139C"/>
    <w:rsid w:val="008B3243"/>
    <w:rsid w:val="008B6E8C"/>
    <w:rsid w:val="008B7DF4"/>
    <w:rsid w:val="008C0D91"/>
    <w:rsid w:val="008C11A4"/>
    <w:rsid w:val="008C1B8C"/>
    <w:rsid w:val="008D380E"/>
    <w:rsid w:val="008D5DF1"/>
    <w:rsid w:val="008D61FF"/>
    <w:rsid w:val="008D690F"/>
    <w:rsid w:val="008D742C"/>
    <w:rsid w:val="008E0408"/>
    <w:rsid w:val="008E1A64"/>
    <w:rsid w:val="008E31FA"/>
    <w:rsid w:val="008E57C5"/>
    <w:rsid w:val="008E6EA3"/>
    <w:rsid w:val="008E76B9"/>
    <w:rsid w:val="008F478B"/>
    <w:rsid w:val="008F4BB9"/>
    <w:rsid w:val="008F4FA7"/>
    <w:rsid w:val="008F63D5"/>
    <w:rsid w:val="008F679B"/>
    <w:rsid w:val="008F7548"/>
    <w:rsid w:val="009016C8"/>
    <w:rsid w:val="00901FD3"/>
    <w:rsid w:val="00903CD1"/>
    <w:rsid w:val="00903E0F"/>
    <w:rsid w:val="00903F1A"/>
    <w:rsid w:val="009054BE"/>
    <w:rsid w:val="00906C1B"/>
    <w:rsid w:val="009076F6"/>
    <w:rsid w:val="0091523C"/>
    <w:rsid w:val="00915B80"/>
    <w:rsid w:val="009174F3"/>
    <w:rsid w:val="00920A04"/>
    <w:rsid w:val="00923918"/>
    <w:rsid w:val="0092523A"/>
    <w:rsid w:val="00926FF5"/>
    <w:rsid w:val="00927426"/>
    <w:rsid w:val="00930428"/>
    <w:rsid w:val="009311B4"/>
    <w:rsid w:val="00931D72"/>
    <w:rsid w:val="00937153"/>
    <w:rsid w:val="0093787E"/>
    <w:rsid w:val="009401D9"/>
    <w:rsid w:val="00942676"/>
    <w:rsid w:val="00945A01"/>
    <w:rsid w:val="009466A1"/>
    <w:rsid w:val="0094713C"/>
    <w:rsid w:val="00947424"/>
    <w:rsid w:val="009543DB"/>
    <w:rsid w:val="0095509D"/>
    <w:rsid w:val="009557D8"/>
    <w:rsid w:val="00955832"/>
    <w:rsid w:val="00955E3B"/>
    <w:rsid w:val="009570B2"/>
    <w:rsid w:val="00960F7F"/>
    <w:rsid w:val="00961493"/>
    <w:rsid w:val="00962AC7"/>
    <w:rsid w:val="00962F10"/>
    <w:rsid w:val="00965E18"/>
    <w:rsid w:val="00966ACB"/>
    <w:rsid w:val="00971EC9"/>
    <w:rsid w:val="0097431C"/>
    <w:rsid w:val="0097435C"/>
    <w:rsid w:val="00974BC6"/>
    <w:rsid w:val="0097752B"/>
    <w:rsid w:val="00977D75"/>
    <w:rsid w:val="009811A7"/>
    <w:rsid w:val="00983806"/>
    <w:rsid w:val="00984164"/>
    <w:rsid w:val="00984911"/>
    <w:rsid w:val="00984A2D"/>
    <w:rsid w:val="009869E8"/>
    <w:rsid w:val="00986A83"/>
    <w:rsid w:val="009922E8"/>
    <w:rsid w:val="00992FBD"/>
    <w:rsid w:val="0099314D"/>
    <w:rsid w:val="00993287"/>
    <w:rsid w:val="00996384"/>
    <w:rsid w:val="0099661F"/>
    <w:rsid w:val="00996DC1"/>
    <w:rsid w:val="009A209D"/>
    <w:rsid w:val="009A38D3"/>
    <w:rsid w:val="009A3902"/>
    <w:rsid w:val="009A3C81"/>
    <w:rsid w:val="009A48DD"/>
    <w:rsid w:val="009A48FE"/>
    <w:rsid w:val="009A4AFF"/>
    <w:rsid w:val="009B2EC1"/>
    <w:rsid w:val="009B355D"/>
    <w:rsid w:val="009B468A"/>
    <w:rsid w:val="009B4E75"/>
    <w:rsid w:val="009B797E"/>
    <w:rsid w:val="009B79A3"/>
    <w:rsid w:val="009C103A"/>
    <w:rsid w:val="009C1068"/>
    <w:rsid w:val="009C26C5"/>
    <w:rsid w:val="009C48FC"/>
    <w:rsid w:val="009C60FE"/>
    <w:rsid w:val="009D5FC7"/>
    <w:rsid w:val="009D6C25"/>
    <w:rsid w:val="009D7D83"/>
    <w:rsid w:val="009E1E95"/>
    <w:rsid w:val="009E3727"/>
    <w:rsid w:val="009E4BCE"/>
    <w:rsid w:val="009E536C"/>
    <w:rsid w:val="009E6DD5"/>
    <w:rsid w:val="009E7327"/>
    <w:rsid w:val="009E7842"/>
    <w:rsid w:val="009F0A39"/>
    <w:rsid w:val="009F18E3"/>
    <w:rsid w:val="009F19BC"/>
    <w:rsid w:val="009F23D9"/>
    <w:rsid w:val="009F400A"/>
    <w:rsid w:val="009F4CF3"/>
    <w:rsid w:val="00A000EB"/>
    <w:rsid w:val="00A02444"/>
    <w:rsid w:val="00A0484B"/>
    <w:rsid w:val="00A04E93"/>
    <w:rsid w:val="00A06F33"/>
    <w:rsid w:val="00A07A96"/>
    <w:rsid w:val="00A07AB4"/>
    <w:rsid w:val="00A101E7"/>
    <w:rsid w:val="00A10A8E"/>
    <w:rsid w:val="00A10E1E"/>
    <w:rsid w:val="00A1178C"/>
    <w:rsid w:val="00A13706"/>
    <w:rsid w:val="00A15D8C"/>
    <w:rsid w:val="00A231A9"/>
    <w:rsid w:val="00A231B6"/>
    <w:rsid w:val="00A23B24"/>
    <w:rsid w:val="00A26D1C"/>
    <w:rsid w:val="00A2713E"/>
    <w:rsid w:val="00A30A0D"/>
    <w:rsid w:val="00A318E0"/>
    <w:rsid w:val="00A33A6C"/>
    <w:rsid w:val="00A33D98"/>
    <w:rsid w:val="00A41725"/>
    <w:rsid w:val="00A4267B"/>
    <w:rsid w:val="00A429D9"/>
    <w:rsid w:val="00A44CA2"/>
    <w:rsid w:val="00A44E38"/>
    <w:rsid w:val="00A450C8"/>
    <w:rsid w:val="00A46018"/>
    <w:rsid w:val="00A5037F"/>
    <w:rsid w:val="00A50B3F"/>
    <w:rsid w:val="00A50F97"/>
    <w:rsid w:val="00A51166"/>
    <w:rsid w:val="00A53C9C"/>
    <w:rsid w:val="00A53DF4"/>
    <w:rsid w:val="00A5606E"/>
    <w:rsid w:val="00A56893"/>
    <w:rsid w:val="00A5721B"/>
    <w:rsid w:val="00A605E3"/>
    <w:rsid w:val="00A60D01"/>
    <w:rsid w:val="00A62095"/>
    <w:rsid w:val="00A62343"/>
    <w:rsid w:val="00A625BB"/>
    <w:rsid w:val="00A63EA5"/>
    <w:rsid w:val="00A64D83"/>
    <w:rsid w:val="00A64E3E"/>
    <w:rsid w:val="00A64EAB"/>
    <w:rsid w:val="00A66DC0"/>
    <w:rsid w:val="00A70496"/>
    <w:rsid w:val="00A70B18"/>
    <w:rsid w:val="00A7106C"/>
    <w:rsid w:val="00A754FB"/>
    <w:rsid w:val="00A7691D"/>
    <w:rsid w:val="00A8122B"/>
    <w:rsid w:val="00A8602F"/>
    <w:rsid w:val="00A917A7"/>
    <w:rsid w:val="00A918A2"/>
    <w:rsid w:val="00A964D7"/>
    <w:rsid w:val="00AA1347"/>
    <w:rsid w:val="00AA225B"/>
    <w:rsid w:val="00AA3000"/>
    <w:rsid w:val="00AA3BE7"/>
    <w:rsid w:val="00AA4C0A"/>
    <w:rsid w:val="00AA6C88"/>
    <w:rsid w:val="00AA74E1"/>
    <w:rsid w:val="00AB1256"/>
    <w:rsid w:val="00AB2153"/>
    <w:rsid w:val="00AB276B"/>
    <w:rsid w:val="00AB3522"/>
    <w:rsid w:val="00AB4292"/>
    <w:rsid w:val="00AB5457"/>
    <w:rsid w:val="00AB5D56"/>
    <w:rsid w:val="00AB686A"/>
    <w:rsid w:val="00AB6EE2"/>
    <w:rsid w:val="00AB77AA"/>
    <w:rsid w:val="00AB7D08"/>
    <w:rsid w:val="00AC30F2"/>
    <w:rsid w:val="00AC3298"/>
    <w:rsid w:val="00AC749C"/>
    <w:rsid w:val="00AD0A99"/>
    <w:rsid w:val="00AD2EE0"/>
    <w:rsid w:val="00AD4BA4"/>
    <w:rsid w:val="00AD79D4"/>
    <w:rsid w:val="00AD7D8F"/>
    <w:rsid w:val="00AE14C0"/>
    <w:rsid w:val="00AE1C85"/>
    <w:rsid w:val="00AE1CA6"/>
    <w:rsid w:val="00AE242C"/>
    <w:rsid w:val="00AE2655"/>
    <w:rsid w:val="00AE3341"/>
    <w:rsid w:val="00AE4B98"/>
    <w:rsid w:val="00AE5BFE"/>
    <w:rsid w:val="00AE6E0D"/>
    <w:rsid w:val="00AF020D"/>
    <w:rsid w:val="00AF1098"/>
    <w:rsid w:val="00AF2130"/>
    <w:rsid w:val="00AF2A2B"/>
    <w:rsid w:val="00AF5A65"/>
    <w:rsid w:val="00AF6FD1"/>
    <w:rsid w:val="00B00997"/>
    <w:rsid w:val="00B0196A"/>
    <w:rsid w:val="00B0282E"/>
    <w:rsid w:val="00B02C37"/>
    <w:rsid w:val="00B064E5"/>
    <w:rsid w:val="00B07803"/>
    <w:rsid w:val="00B07FCC"/>
    <w:rsid w:val="00B11444"/>
    <w:rsid w:val="00B11BA6"/>
    <w:rsid w:val="00B120D8"/>
    <w:rsid w:val="00B131E8"/>
    <w:rsid w:val="00B16DFB"/>
    <w:rsid w:val="00B20F04"/>
    <w:rsid w:val="00B219C0"/>
    <w:rsid w:val="00B23742"/>
    <w:rsid w:val="00B23C21"/>
    <w:rsid w:val="00B23CFE"/>
    <w:rsid w:val="00B243A7"/>
    <w:rsid w:val="00B314AA"/>
    <w:rsid w:val="00B31B13"/>
    <w:rsid w:val="00B341AC"/>
    <w:rsid w:val="00B36B08"/>
    <w:rsid w:val="00B42C06"/>
    <w:rsid w:val="00B42CF7"/>
    <w:rsid w:val="00B45501"/>
    <w:rsid w:val="00B4560B"/>
    <w:rsid w:val="00B47947"/>
    <w:rsid w:val="00B53B74"/>
    <w:rsid w:val="00B55AB3"/>
    <w:rsid w:val="00B560E7"/>
    <w:rsid w:val="00B56F47"/>
    <w:rsid w:val="00B61B08"/>
    <w:rsid w:val="00B62D0F"/>
    <w:rsid w:val="00B66462"/>
    <w:rsid w:val="00B66D9D"/>
    <w:rsid w:val="00B66DCC"/>
    <w:rsid w:val="00B675BC"/>
    <w:rsid w:val="00B67731"/>
    <w:rsid w:val="00B707D4"/>
    <w:rsid w:val="00B72263"/>
    <w:rsid w:val="00B72F4D"/>
    <w:rsid w:val="00B73032"/>
    <w:rsid w:val="00B73C00"/>
    <w:rsid w:val="00B77298"/>
    <w:rsid w:val="00B776F4"/>
    <w:rsid w:val="00B8370C"/>
    <w:rsid w:val="00B84AB9"/>
    <w:rsid w:val="00B84CC8"/>
    <w:rsid w:val="00B864BD"/>
    <w:rsid w:val="00B86A97"/>
    <w:rsid w:val="00B86BC8"/>
    <w:rsid w:val="00B93A04"/>
    <w:rsid w:val="00B947C0"/>
    <w:rsid w:val="00B966C1"/>
    <w:rsid w:val="00B968BB"/>
    <w:rsid w:val="00BA0F30"/>
    <w:rsid w:val="00BA315A"/>
    <w:rsid w:val="00BA3684"/>
    <w:rsid w:val="00BA3B96"/>
    <w:rsid w:val="00BA63AD"/>
    <w:rsid w:val="00BA71B5"/>
    <w:rsid w:val="00BB0FF5"/>
    <w:rsid w:val="00BB5034"/>
    <w:rsid w:val="00BB5581"/>
    <w:rsid w:val="00BB592C"/>
    <w:rsid w:val="00BB69EA"/>
    <w:rsid w:val="00BB7AD9"/>
    <w:rsid w:val="00BC0BA4"/>
    <w:rsid w:val="00BC0F45"/>
    <w:rsid w:val="00BC3869"/>
    <w:rsid w:val="00BC4A32"/>
    <w:rsid w:val="00BD20B9"/>
    <w:rsid w:val="00BD3E33"/>
    <w:rsid w:val="00BD4B60"/>
    <w:rsid w:val="00BD5073"/>
    <w:rsid w:val="00BD511C"/>
    <w:rsid w:val="00BD7990"/>
    <w:rsid w:val="00BD7BDF"/>
    <w:rsid w:val="00BE1541"/>
    <w:rsid w:val="00BE19AA"/>
    <w:rsid w:val="00BE2770"/>
    <w:rsid w:val="00BE3B3F"/>
    <w:rsid w:val="00BE5AC3"/>
    <w:rsid w:val="00BE7417"/>
    <w:rsid w:val="00BE766C"/>
    <w:rsid w:val="00BF1793"/>
    <w:rsid w:val="00BF2F5F"/>
    <w:rsid w:val="00BF37B9"/>
    <w:rsid w:val="00BF5217"/>
    <w:rsid w:val="00BF59C5"/>
    <w:rsid w:val="00BF7D71"/>
    <w:rsid w:val="00C013DB"/>
    <w:rsid w:val="00C01E27"/>
    <w:rsid w:val="00C0309E"/>
    <w:rsid w:val="00C04669"/>
    <w:rsid w:val="00C05823"/>
    <w:rsid w:val="00C11038"/>
    <w:rsid w:val="00C152D9"/>
    <w:rsid w:val="00C16CDA"/>
    <w:rsid w:val="00C1709B"/>
    <w:rsid w:val="00C20D58"/>
    <w:rsid w:val="00C2132A"/>
    <w:rsid w:val="00C23366"/>
    <w:rsid w:val="00C258A9"/>
    <w:rsid w:val="00C25E94"/>
    <w:rsid w:val="00C260EB"/>
    <w:rsid w:val="00C269B4"/>
    <w:rsid w:val="00C30FC1"/>
    <w:rsid w:val="00C31154"/>
    <w:rsid w:val="00C31182"/>
    <w:rsid w:val="00C316FD"/>
    <w:rsid w:val="00C318C2"/>
    <w:rsid w:val="00C32895"/>
    <w:rsid w:val="00C32EFD"/>
    <w:rsid w:val="00C3502A"/>
    <w:rsid w:val="00C36BCD"/>
    <w:rsid w:val="00C37581"/>
    <w:rsid w:val="00C37BC0"/>
    <w:rsid w:val="00C37BD2"/>
    <w:rsid w:val="00C40E15"/>
    <w:rsid w:val="00C4444B"/>
    <w:rsid w:val="00C5022D"/>
    <w:rsid w:val="00C517D3"/>
    <w:rsid w:val="00C51D75"/>
    <w:rsid w:val="00C55D14"/>
    <w:rsid w:val="00C571B2"/>
    <w:rsid w:val="00C605A4"/>
    <w:rsid w:val="00C64B64"/>
    <w:rsid w:val="00C65492"/>
    <w:rsid w:val="00C708E9"/>
    <w:rsid w:val="00C7247F"/>
    <w:rsid w:val="00C754FC"/>
    <w:rsid w:val="00C760CB"/>
    <w:rsid w:val="00C766CB"/>
    <w:rsid w:val="00C77BA4"/>
    <w:rsid w:val="00C801F1"/>
    <w:rsid w:val="00C830D1"/>
    <w:rsid w:val="00C86BFE"/>
    <w:rsid w:val="00C86C11"/>
    <w:rsid w:val="00C9083E"/>
    <w:rsid w:val="00C91BA4"/>
    <w:rsid w:val="00C92331"/>
    <w:rsid w:val="00C92DC1"/>
    <w:rsid w:val="00C93234"/>
    <w:rsid w:val="00C937D2"/>
    <w:rsid w:val="00C942B6"/>
    <w:rsid w:val="00C948F3"/>
    <w:rsid w:val="00C961BC"/>
    <w:rsid w:val="00C97A59"/>
    <w:rsid w:val="00C97B6D"/>
    <w:rsid w:val="00CA067F"/>
    <w:rsid w:val="00CA302F"/>
    <w:rsid w:val="00CA54D4"/>
    <w:rsid w:val="00CA682A"/>
    <w:rsid w:val="00CA74F2"/>
    <w:rsid w:val="00CA7C07"/>
    <w:rsid w:val="00CA7D0C"/>
    <w:rsid w:val="00CB0785"/>
    <w:rsid w:val="00CB101A"/>
    <w:rsid w:val="00CB3C2C"/>
    <w:rsid w:val="00CB4E54"/>
    <w:rsid w:val="00CB50CC"/>
    <w:rsid w:val="00CB5A44"/>
    <w:rsid w:val="00CB76CF"/>
    <w:rsid w:val="00CC206D"/>
    <w:rsid w:val="00CC2571"/>
    <w:rsid w:val="00CC3336"/>
    <w:rsid w:val="00CC547C"/>
    <w:rsid w:val="00CD1205"/>
    <w:rsid w:val="00CD3DF4"/>
    <w:rsid w:val="00CD61DD"/>
    <w:rsid w:val="00CE09E5"/>
    <w:rsid w:val="00CE0A1D"/>
    <w:rsid w:val="00CE28E0"/>
    <w:rsid w:val="00CE4CF1"/>
    <w:rsid w:val="00CE728B"/>
    <w:rsid w:val="00CF0F4C"/>
    <w:rsid w:val="00CF1CBD"/>
    <w:rsid w:val="00CF2201"/>
    <w:rsid w:val="00CF3A60"/>
    <w:rsid w:val="00CF6BA2"/>
    <w:rsid w:val="00D00475"/>
    <w:rsid w:val="00D005F9"/>
    <w:rsid w:val="00D011D9"/>
    <w:rsid w:val="00D012D4"/>
    <w:rsid w:val="00D02FD2"/>
    <w:rsid w:val="00D0378C"/>
    <w:rsid w:val="00D054E6"/>
    <w:rsid w:val="00D1050D"/>
    <w:rsid w:val="00D12BBF"/>
    <w:rsid w:val="00D1400C"/>
    <w:rsid w:val="00D14E1D"/>
    <w:rsid w:val="00D14F9F"/>
    <w:rsid w:val="00D15003"/>
    <w:rsid w:val="00D150F7"/>
    <w:rsid w:val="00D2033B"/>
    <w:rsid w:val="00D215B1"/>
    <w:rsid w:val="00D225AF"/>
    <w:rsid w:val="00D225EA"/>
    <w:rsid w:val="00D252A9"/>
    <w:rsid w:val="00D25411"/>
    <w:rsid w:val="00D25C42"/>
    <w:rsid w:val="00D26C1D"/>
    <w:rsid w:val="00D26CD2"/>
    <w:rsid w:val="00D27A29"/>
    <w:rsid w:val="00D27FB3"/>
    <w:rsid w:val="00D30013"/>
    <w:rsid w:val="00D3383A"/>
    <w:rsid w:val="00D342F5"/>
    <w:rsid w:val="00D37352"/>
    <w:rsid w:val="00D376E5"/>
    <w:rsid w:val="00D3794D"/>
    <w:rsid w:val="00D41D26"/>
    <w:rsid w:val="00D42224"/>
    <w:rsid w:val="00D45362"/>
    <w:rsid w:val="00D466D9"/>
    <w:rsid w:val="00D4718C"/>
    <w:rsid w:val="00D47C42"/>
    <w:rsid w:val="00D5029F"/>
    <w:rsid w:val="00D503F8"/>
    <w:rsid w:val="00D541B4"/>
    <w:rsid w:val="00D543BF"/>
    <w:rsid w:val="00D557E3"/>
    <w:rsid w:val="00D55AAC"/>
    <w:rsid w:val="00D55CEC"/>
    <w:rsid w:val="00D56815"/>
    <w:rsid w:val="00D6030A"/>
    <w:rsid w:val="00D6056B"/>
    <w:rsid w:val="00D61555"/>
    <w:rsid w:val="00D623BB"/>
    <w:rsid w:val="00D6356D"/>
    <w:rsid w:val="00D6464A"/>
    <w:rsid w:val="00D65B52"/>
    <w:rsid w:val="00D65F39"/>
    <w:rsid w:val="00D677E9"/>
    <w:rsid w:val="00D67C5F"/>
    <w:rsid w:val="00D67FFD"/>
    <w:rsid w:val="00D72C26"/>
    <w:rsid w:val="00D74BAB"/>
    <w:rsid w:val="00D77D67"/>
    <w:rsid w:val="00D80967"/>
    <w:rsid w:val="00D80AD4"/>
    <w:rsid w:val="00D82AC8"/>
    <w:rsid w:val="00D85667"/>
    <w:rsid w:val="00D900D4"/>
    <w:rsid w:val="00D909E3"/>
    <w:rsid w:val="00D91F17"/>
    <w:rsid w:val="00D941D8"/>
    <w:rsid w:val="00D94AD5"/>
    <w:rsid w:val="00D950C0"/>
    <w:rsid w:val="00D96090"/>
    <w:rsid w:val="00D96BD8"/>
    <w:rsid w:val="00DA2E4D"/>
    <w:rsid w:val="00DA46F9"/>
    <w:rsid w:val="00DA6E69"/>
    <w:rsid w:val="00DB0094"/>
    <w:rsid w:val="00DB2584"/>
    <w:rsid w:val="00DB335A"/>
    <w:rsid w:val="00DB4C84"/>
    <w:rsid w:val="00DB5B1E"/>
    <w:rsid w:val="00DB5EFB"/>
    <w:rsid w:val="00DC07E5"/>
    <w:rsid w:val="00DC0C38"/>
    <w:rsid w:val="00DC13BB"/>
    <w:rsid w:val="00DC2531"/>
    <w:rsid w:val="00DC578A"/>
    <w:rsid w:val="00DC5B1C"/>
    <w:rsid w:val="00DC6A3D"/>
    <w:rsid w:val="00DD1D2B"/>
    <w:rsid w:val="00DD239A"/>
    <w:rsid w:val="00DD23F2"/>
    <w:rsid w:val="00DD501A"/>
    <w:rsid w:val="00DD63D5"/>
    <w:rsid w:val="00DE2B94"/>
    <w:rsid w:val="00DE2ED2"/>
    <w:rsid w:val="00DE3205"/>
    <w:rsid w:val="00DE3DEF"/>
    <w:rsid w:val="00DE4A9C"/>
    <w:rsid w:val="00DE6BA5"/>
    <w:rsid w:val="00DE7CA5"/>
    <w:rsid w:val="00DF23BB"/>
    <w:rsid w:val="00DF2CE7"/>
    <w:rsid w:val="00DF3447"/>
    <w:rsid w:val="00DF3C26"/>
    <w:rsid w:val="00DF5C83"/>
    <w:rsid w:val="00DF6CDE"/>
    <w:rsid w:val="00DF7BD6"/>
    <w:rsid w:val="00E04FB5"/>
    <w:rsid w:val="00E057D5"/>
    <w:rsid w:val="00E05863"/>
    <w:rsid w:val="00E05994"/>
    <w:rsid w:val="00E05BBC"/>
    <w:rsid w:val="00E06117"/>
    <w:rsid w:val="00E06779"/>
    <w:rsid w:val="00E0679E"/>
    <w:rsid w:val="00E10D91"/>
    <w:rsid w:val="00E1399B"/>
    <w:rsid w:val="00E15399"/>
    <w:rsid w:val="00E155E9"/>
    <w:rsid w:val="00E21375"/>
    <w:rsid w:val="00E21FC3"/>
    <w:rsid w:val="00E22144"/>
    <w:rsid w:val="00E23F4C"/>
    <w:rsid w:val="00E25AC3"/>
    <w:rsid w:val="00E25D11"/>
    <w:rsid w:val="00E26D4D"/>
    <w:rsid w:val="00E305AC"/>
    <w:rsid w:val="00E31A69"/>
    <w:rsid w:val="00E3285B"/>
    <w:rsid w:val="00E33ACF"/>
    <w:rsid w:val="00E34CE2"/>
    <w:rsid w:val="00E3794E"/>
    <w:rsid w:val="00E4130E"/>
    <w:rsid w:val="00E41852"/>
    <w:rsid w:val="00E4255E"/>
    <w:rsid w:val="00E43E9F"/>
    <w:rsid w:val="00E44C6D"/>
    <w:rsid w:val="00E45428"/>
    <w:rsid w:val="00E47615"/>
    <w:rsid w:val="00E47A57"/>
    <w:rsid w:val="00E47D78"/>
    <w:rsid w:val="00E50785"/>
    <w:rsid w:val="00E534EB"/>
    <w:rsid w:val="00E62196"/>
    <w:rsid w:val="00E636C0"/>
    <w:rsid w:val="00E65C0E"/>
    <w:rsid w:val="00E66C50"/>
    <w:rsid w:val="00E6795F"/>
    <w:rsid w:val="00E71962"/>
    <w:rsid w:val="00E71CE0"/>
    <w:rsid w:val="00E72CB0"/>
    <w:rsid w:val="00E74A58"/>
    <w:rsid w:val="00E74B9F"/>
    <w:rsid w:val="00E75A7D"/>
    <w:rsid w:val="00E85DF4"/>
    <w:rsid w:val="00E866BC"/>
    <w:rsid w:val="00E8719B"/>
    <w:rsid w:val="00E91992"/>
    <w:rsid w:val="00E94F0F"/>
    <w:rsid w:val="00E95E18"/>
    <w:rsid w:val="00EA145F"/>
    <w:rsid w:val="00EA1C5B"/>
    <w:rsid w:val="00EA222B"/>
    <w:rsid w:val="00EA5233"/>
    <w:rsid w:val="00EA6D22"/>
    <w:rsid w:val="00EB26E8"/>
    <w:rsid w:val="00EB2A94"/>
    <w:rsid w:val="00EB571C"/>
    <w:rsid w:val="00EB5922"/>
    <w:rsid w:val="00EB6020"/>
    <w:rsid w:val="00EB6468"/>
    <w:rsid w:val="00EB7961"/>
    <w:rsid w:val="00EC2079"/>
    <w:rsid w:val="00EC2282"/>
    <w:rsid w:val="00EC5369"/>
    <w:rsid w:val="00EC58B4"/>
    <w:rsid w:val="00EC7CDD"/>
    <w:rsid w:val="00ED4D48"/>
    <w:rsid w:val="00ED55BE"/>
    <w:rsid w:val="00ED5E0C"/>
    <w:rsid w:val="00ED6ACA"/>
    <w:rsid w:val="00ED7CCF"/>
    <w:rsid w:val="00EE26A2"/>
    <w:rsid w:val="00EE366B"/>
    <w:rsid w:val="00EE7569"/>
    <w:rsid w:val="00EE77E9"/>
    <w:rsid w:val="00EE7D7B"/>
    <w:rsid w:val="00EF7B07"/>
    <w:rsid w:val="00F0047D"/>
    <w:rsid w:val="00F0174F"/>
    <w:rsid w:val="00F02022"/>
    <w:rsid w:val="00F028BD"/>
    <w:rsid w:val="00F04AFA"/>
    <w:rsid w:val="00F0755F"/>
    <w:rsid w:val="00F07B30"/>
    <w:rsid w:val="00F16F03"/>
    <w:rsid w:val="00F1788F"/>
    <w:rsid w:val="00F21708"/>
    <w:rsid w:val="00F21EAB"/>
    <w:rsid w:val="00F220CA"/>
    <w:rsid w:val="00F229C3"/>
    <w:rsid w:val="00F22A3B"/>
    <w:rsid w:val="00F2333F"/>
    <w:rsid w:val="00F23351"/>
    <w:rsid w:val="00F25344"/>
    <w:rsid w:val="00F3018C"/>
    <w:rsid w:val="00F30E53"/>
    <w:rsid w:val="00F3563C"/>
    <w:rsid w:val="00F35D6E"/>
    <w:rsid w:val="00F376C8"/>
    <w:rsid w:val="00F407A3"/>
    <w:rsid w:val="00F4154B"/>
    <w:rsid w:val="00F41EF0"/>
    <w:rsid w:val="00F45418"/>
    <w:rsid w:val="00F45FE0"/>
    <w:rsid w:val="00F462CC"/>
    <w:rsid w:val="00F46DD3"/>
    <w:rsid w:val="00F509C4"/>
    <w:rsid w:val="00F51FE5"/>
    <w:rsid w:val="00F54F7B"/>
    <w:rsid w:val="00F60F22"/>
    <w:rsid w:val="00F6126C"/>
    <w:rsid w:val="00F613E5"/>
    <w:rsid w:val="00F62AB4"/>
    <w:rsid w:val="00F64493"/>
    <w:rsid w:val="00F6543D"/>
    <w:rsid w:val="00F6681E"/>
    <w:rsid w:val="00F67B03"/>
    <w:rsid w:val="00F70030"/>
    <w:rsid w:val="00F71C96"/>
    <w:rsid w:val="00F72AF4"/>
    <w:rsid w:val="00F72E57"/>
    <w:rsid w:val="00F72FA7"/>
    <w:rsid w:val="00F73B5E"/>
    <w:rsid w:val="00F744D3"/>
    <w:rsid w:val="00F75116"/>
    <w:rsid w:val="00F8262C"/>
    <w:rsid w:val="00F83B80"/>
    <w:rsid w:val="00F87294"/>
    <w:rsid w:val="00F873DD"/>
    <w:rsid w:val="00F90F89"/>
    <w:rsid w:val="00F91779"/>
    <w:rsid w:val="00F91EC4"/>
    <w:rsid w:val="00F93333"/>
    <w:rsid w:val="00F94AA4"/>
    <w:rsid w:val="00F96931"/>
    <w:rsid w:val="00F979BC"/>
    <w:rsid w:val="00FA1827"/>
    <w:rsid w:val="00FA437A"/>
    <w:rsid w:val="00FA4C19"/>
    <w:rsid w:val="00FA56F7"/>
    <w:rsid w:val="00FA7E9E"/>
    <w:rsid w:val="00FB4438"/>
    <w:rsid w:val="00FC27CC"/>
    <w:rsid w:val="00FC2A2C"/>
    <w:rsid w:val="00FC3ACB"/>
    <w:rsid w:val="00FC3CF4"/>
    <w:rsid w:val="00FC4634"/>
    <w:rsid w:val="00FC4AEC"/>
    <w:rsid w:val="00FC4CF4"/>
    <w:rsid w:val="00FD4FE8"/>
    <w:rsid w:val="00FD5CF2"/>
    <w:rsid w:val="00FD609B"/>
    <w:rsid w:val="00FD7832"/>
    <w:rsid w:val="00FE1014"/>
    <w:rsid w:val="00FE32A7"/>
    <w:rsid w:val="00FE3512"/>
    <w:rsid w:val="00FE3ABC"/>
    <w:rsid w:val="00FE6E35"/>
    <w:rsid w:val="00FE7D71"/>
    <w:rsid w:val="00FF01DC"/>
    <w:rsid w:val="00FF0357"/>
    <w:rsid w:val="00FF057E"/>
    <w:rsid w:val="00FF1CAC"/>
    <w:rsid w:val="00FF2984"/>
    <w:rsid w:val="00FF3C87"/>
    <w:rsid w:val="00FF5194"/>
    <w:rsid w:val="00FF68CF"/>
    <w:rsid w:val="00FF70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FDC59"/>
  <w15:chartTrackingRefBased/>
  <w15:docId w15:val="{AA977631-0E72-4D27-9142-0627F6EC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4E"/>
    <w:pPr>
      <w:spacing w:before="120" w:after="12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9C1068"/>
    <w:pPr>
      <w:spacing w:before="100" w:beforeAutospacing="1" w:after="100" w:afterAutospacing="1"/>
    </w:pPr>
    <w:rPr>
      <w:lang w:eastAsia="es-MX"/>
    </w:r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9C1068"/>
    <w:rPr>
      <w:rFonts w:ascii="Times New Roman" w:eastAsia="Times New Roman" w:hAnsi="Times New Roman" w:cs="Times New Roman"/>
      <w:sz w:val="24"/>
      <w:szCs w:val="24"/>
      <w:lang w:val="es-ES" w:eastAsia="es-MX"/>
    </w:rPr>
  </w:style>
  <w:style w:type="paragraph" w:styleId="Encabezado">
    <w:name w:val="header"/>
    <w:basedOn w:val="Normal"/>
    <w:link w:val="EncabezadoCar"/>
    <w:rsid w:val="009C1068"/>
    <w:pPr>
      <w:tabs>
        <w:tab w:val="center" w:pos="4252"/>
        <w:tab w:val="right" w:pos="8504"/>
      </w:tabs>
    </w:pPr>
  </w:style>
  <w:style w:type="character" w:customStyle="1" w:styleId="EncabezadoCar">
    <w:name w:val="Encabezado Car"/>
    <w:basedOn w:val="Fuentedeprrafopredeter"/>
    <w:link w:val="Encabezado"/>
    <w:rsid w:val="009C10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9C1068"/>
    <w:pPr>
      <w:tabs>
        <w:tab w:val="center" w:pos="4252"/>
        <w:tab w:val="right" w:pos="8504"/>
      </w:tabs>
    </w:pPr>
  </w:style>
  <w:style w:type="character" w:customStyle="1" w:styleId="PiedepginaCar">
    <w:name w:val="Pie de página Car"/>
    <w:basedOn w:val="Fuentedeprrafopredeter"/>
    <w:link w:val="Piedepgina"/>
    <w:uiPriority w:val="99"/>
    <w:rsid w:val="009C1068"/>
    <w:rPr>
      <w:rFonts w:ascii="Times New Roman" w:eastAsia="Times New Roman" w:hAnsi="Times New Roman" w:cs="Times New Roman"/>
      <w:sz w:val="24"/>
      <w:szCs w:val="24"/>
      <w:lang w:val="es-ES" w:eastAsia="es-ES"/>
    </w:rPr>
  </w:style>
  <w:style w:type="paragraph" w:styleId="Prrafodelista">
    <w:name w:val="List Paragraph"/>
    <w:aliases w:val="CNBV Parrafo1,Parrafo 1,Cita texto,Lista multicolor - Énfasis 11,Lista vistosa - Énfasis 11,Cuadrícula media 1 - Énfasis 21,Cuadrícula media 1 - Énfasis 211,List Paragraph-Thesis"/>
    <w:basedOn w:val="Normal"/>
    <w:link w:val="PrrafodelistaCar"/>
    <w:uiPriority w:val="34"/>
    <w:qFormat/>
    <w:rsid w:val="009C1068"/>
    <w:pPr>
      <w:ind w:left="708"/>
    </w:p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unhideWhenUsed/>
    <w:qFormat/>
    <w:rsid w:val="009C1068"/>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9C1068"/>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julio"/>
    <w:link w:val="4GChar"/>
    <w:uiPriority w:val="99"/>
    <w:unhideWhenUsed/>
    <w:qFormat/>
    <w:rsid w:val="009C1068"/>
    <w:rPr>
      <w:vertAlign w:val="superscript"/>
    </w:rPr>
  </w:style>
  <w:style w:type="character" w:styleId="Hipervnculo">
    <w:name w:val="Hyperlink"/>
    <w:uiPriority w:val="99"/>
    <w:unhideWhenUsed/>
    <w:rsid w:val="009C1068"/>
    <w:rPr>
      <w:rFonts w:ascii="Arial" w:hAnsi="Arial" w:cs="Arial" w:hint="default"/>
      <w:strike w:val="0"/>
      <w:dstrike w:val="0"/>
      <w:color w:val="762123"/>
      <w:sz w:val="27"/>
      <w:szCs w:val="27"/>
      <w:u w:val="none"/>
      <w:effect w:val="none"/>
    </w:rPr>
  </w:style>
  <w:style w:type="character" w:styleId="Textoennegrita">
    <w:name w:val="Strong"/>
    <w:uiPriority w:val="22"/>
    <w:qFormat/>
    <w:rsid w:val="009C1068"/>
    <w:rPr>
      <w:b/>
      <w:bC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C1068"/>
    <w:pPr>
      <w:spacing w:before="0" w:after="0"/>
      <w:jc w:val="both"/>
    </w:pPr>
    <w:rPr>
      <w:rFonts w:asciiTheme="minorHAnsi" w:eastAsiaTheme="minorHAnsi" w:hAnsiTheme="minorHAnsi" w:cstheme="minorBidi"/>
      <w:sz w:val="22"/>
      <w:szCs w:val="22"/>
      <w:vertAlign w:val="superscript"/>
      <w:lang w:val="es-MX" w:eastAsia="en-US"/>
    </w:rPr>
  </w:style>
  <w:style w:type="character" w:customStyle="1" w:styleId="PrrafodelistaCar">
    <w:name w:val="Párrafo de lista Car"/>
    <w:aliases w:val="CNBV Parrafo1 Car,Parrafo 1 Car,Cita texto Car,Lista multicolor - Énfasis 11 Car,Lista vistosa - Énfasis 11 Car,Cuadrícula media 1 - Énfasis 21 Car,Cuadrícula media 1 - Énfasis 211 Car,List Paragraph-Thesis Car"/>
    <w:link w:val="Prrafodelista"/>
    <w:uiPriority w:val="34"/>
    <w:locked/>
    <w:rsid w:val="009C1068"/>
    <w:rPr>
      <w:rFonts w:ascii="Times New Roman" w:eastAsia="Times New Roman" w:hAnsi="Times New Roman" w:cs="Times New Roman"/>
      <w:sz w:val="24"/>
      <w:szCs w:val="24"/>
      <w:lang w:val="es-ES" w:eastAsia="es-ES"/>
    </w:rPr>
  </w:style>
  <w:style w:type="paragraph" w:styleId="Ttulo">
    <w:name w:val="Title"/>
    <w:basedOn w:val="Normal"/>
    <w:next w:val="Normal"/>
    <w:link w:val="TtuloCar"/>
    <w:uiPriority w:val="10"/>
    <w:qFormat/>
    <w:rsid w:val="009C1068"/>
    <w:pPr>
      <w:spacing w:before="0" w:after="0"/>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uiPriority w:val="10"/>
    <w:rsid w:val="009C1068"/>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9C1068"/>
    <w:pPr>
      <w:spacing w:after="0" w:line="240" w:lineRule="auto"/>
    </w:pPr>
    <w:rPr>
      <w:rFonts w:ascii="Times New Roman" w:eastAsia="Times New Roman" w:hAnsi="Times New Roman" w:cs="Times New Roman"/>
      <w:sz w:val="20"/>
      <w:szCs w:val="20"/>
      <w:lang w:eastAsia="es-MX"/>
    </w:rPr>
  </w:style>
  <w:style w:type="character" w:customStyle="1" w:styleId="SinespaciadoCar">
    <w:name w:val="Sin espaciado Car"/>
    <w:link w:val="Sinespaciado"/>
    <w:uiPriority w:val="1"/>
    <w:rsid w:val="009C1068"/>
    <w:rPr>
      <w:rFonts w:ascii="Times New Roman" w:eastAsia="Times New Roman" w:hAnsi="Times New Roman" w:cs="Times New Roman"/>
      <w:sz w:val="20"/>
      <w:szCs w:val="20"/>
      <w:lang w:eastAsia="es-MX"/>
    </w:rPr>
  </w:style>
  <w:style w:type="character" w:styleId="Refdecomentario">
    <w:name w:val="annotation reference"/>
    <w:basedOn w:val="Fuentedeprrafopredeter"/>
    <w:uiPriority w:val="99"/>
    <w:semiHidden/>
    <w:unhideWhenUsed/>
    <w:rsid w:val="009C1068"/>
    <w:rPr>
      <w:sz w:val="16"/>
      <w:szCs w:val="16"/>
    </w:rPr>
  </w:style>
  <w:style w:type="paragraph" w:styleId="Textocomentario">
    <w:name w:val="annotation text"/>
    <w:basedOn w:val="Normal"/>
    <w:link w:val="TextocomentarioCar"/>
    <w:uiPriority w:val="99"/>
    <w:semiHidden/>
    <w:unhideWhenUsed/>
    <w:rsid w:val="009C1068"/>
    <w:rPr>
      <w:sz w:val="20"/>
      <w:szCs w:val="20"/>
    </w:rPr>
  </w:style>
  <w:style w:type="character" w:customStyle="1" w:styleId="TextocomentarioCar">
    <w:name w:val="Texto comentario Car"/>
    <w:basedOn w:val="Fuentedeprrafopredeter"/>
    <w:link w:val="Textocomentario"/>
    <w:uiPriority w:val="99"/>
    <w:semiHidden/>
    <w:rsid w:val="009C106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C1068"/>
    <w:rPr>
      <w:b/>
      <w:bCs/>
    </w:rPr>
  </w:style>
  <w:style w:type="character" w:customStyle="1" w:styleId="AsuntodelcomentarioCar">
    <w:name w:val="Asunto del comentario Car"/>
    <w:basedOn w:val="TextocomentarioCar"/>
    <w:link w:val="Asuntodelcomentario"/>
    <w:uiPriority w:val="99"/>
    <w:semiHidden/>
    <w:rsid w:val="009C1068"/>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9C1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C1068"/>
    <w:pPr>
      <w:spacing w:after="0"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C77BA4"/>
    <w:rPr>
      <w:color w:val="605E5C"/>
      <w:shd w:val="clear" w:color="auto" w:fill="E1DFDD"/>
    </w:rPr>
  </w:style>
  <w:style w:type="paragraph" w:styleId="Textonotaalfinal">
    <w:name w:val="endnote text"/>
    <w:basedOn w:val="Normal"/>
    <w:link w:val="TextonotaalfinalCar"/>
    <w:uiPriority w:val="99"/>
    <w:semiHidden/>
    <w:unhideWhenUsed/>
    <w:rsid w:val="007C4737"/>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7C47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7C4737"/>
    <w:rPr>
      <w:vertAlign w:val="superscript"/>
    </w:rPr>
  </w:style>
  <w:style w:type="character" w:customStyle="1" w:styleId="Mencinsinresolver2">
    <w:name w:val="Mención sin resolver2"/>
    <w:basedOn w:val="Fuentedeprrafopredeter"/>
    <w:uiPriority w:val="99"/>
    <w:semiHidden/>
    <w:unhideWhenUsed/>
    <w:rsid w:val="00371A9C"/>
    <w:rPr>
      <w:color w:val="605E5C"/>
      <w:shd w:val="clear" w:color="auto" w:fill="E1DFDD"/>
    </w:rPr>
  </w:style>
  <w:style w:type="character" w:styleId="Mencinsinresolver">
    <w:name w:val="Unresolved Mention"/>
    <w:basedOn w:val="Fuentedeprrafopredeter"/>
    <w:uiPriority w:val="99"/>
    <w:semiHidden/>
    <w:unhideWhenUsed/>
    <w:rsid w:val="00D011D9"/>
    <w:rPr>
      <w:color w:val="605E5C"/>
      <w:shd w:val="clear" w:color="auto" w:fill="E1DFDD"/>
    </w:rPr>
  </w:style>
  <w:style w:type="character" w:customStyle="1" w:styleId="ng-star-inserted">
    <w:name w:val="ng-star-inserted"/>
    <w:basedOn w:val="Fuentedeprrafopredeter"/>
    <w:rsid w:val="00F16F03"/>
  </w:style>
  <w:style w:type="character" w:styleId="Hipervnculovisitado">
    <w:name w:val="FollowedHyperlink"/>
    <w:basedOn w:val="Fuentedeprrafopredeter"/>
    <w:uiPriority w:val="99"/>
    <w:semiHidden/>
    <w:unhideWhenUsed/>
    <w:rsid w:val="005F27A8"/>
    <w:rPr>
      <w:color w:val="954F72" w:themeColor="followedHyperlink"/>
      <w:u w:val="single"/>
    </w:rPr>
  </w:style>
  <w:style w:type="paragraph" w:customStyle="1" w:styleId="Estilo">
    <w:name w:val="Estilo"/>
    <w:basedOn w:val="Sinespaciado"/>
    <w:link w:val="EstiloCar"/>
    <w:qFormat/>
    <w:rsid w:val="002B21D4"/>
    <w:pPr>
      <w:jc w:val="both"/>
    </w:pPr>
    <w:rPr>
      <w:rFonts w:ascii="Arial" w:eastAsia="Calibri" w:hAnsi="Arial"/>
      <w:sz w:val="24"/>
      <w:szCs w:val="22"/>
      <w:lang w:eastAsia="en-US"/>
    </w:rPr>
  </w:style>
  <w:style w:type="character" w:customStyle="1" w:styleId="EstiloCar">
    <w:name w:val="Estilo Car"/>
    <w:link w:val="Estilo"/>
    <w:rsid w:val="002B21D4"/>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24645">
      <w:bodyDiv w:val="1"/>
      <w:marLeft w:val="0"/>
      <w:marRight w:val="0"/>
      <w:marTop w:val="0"/>
      <w:marBottom w:val="0"/>
      <w:divBdr>
        <w:top w:val="none" w:sz="0" w:space="0" w:color="auto"/>
        <w:left w:val="none" w:sz="0" w:space="0" w:color="auto"/>
        <w:bottom w:val="none" w:sz="0" w:space="0" w:color="auto"/>
        <w:right w:val="none" w:sz="0" w:space="0" w:color="auto"/>
      </w:divBdr>
      <w:divsChild>
        <w:div w:id="80373337">
          <w:marLeft w:val="0"/>
          <w:marRight w:val="0"/>
          <w:marTop w:val="0"/>
          <w:marBottom w:val="0"/>
          <w:divBdr>
            <w:top w:val="none" w:sz="0" w:space="0" w:color="auto"/>
            <w:left w:val="none" w:sz="0" w:space="0" w:color="auto"/>
            <w:bottom w:val="none" w:sz="0" w:space="0" w:color="auto"/>
            <w:right w:val="none" w:sz="0" w:space="0" w:color="auto"/>
          </w:divBdr>
        </w:div>
        <w:div w:id="109207329">
          <w:marLeft w:val="0"/>
          <w:marRight w:val="0"/>
          <w:marTop w:val="0"/>
          <w:marBottom w:val="0"/>
          <w:divBdr>
            <w:top w:val="none" w:sz="0" w:space="0" w:color="auto"/>
            <w:left w:val="none" w:sz="0" w:space="0" w:color="auto"/>
            <w:bottom w:val="none" w:sz="0" w:space="0" w:color="auto"/>
            <w:right w:val="none" w:sz="0" w:space="0" w:color="auto"/>
          </w:divBdr>
        </w:div>
        <w:div w:id="320473960">
          <w:marLeft w:val="0"/>
          <w:marRight w:val="0"/>
          <w:marTop w:val="0"/>
          <w:marBottom w:val="0"/>
          <w:divBdr>
            <w:top w:val="none" w:sz="0" w:space="0" w:color="auto"/>
            <w:left w:val="none" w:sz="0" w:space="0" w:color="auto"/>
            <w:bottom w:val="none" w:sz="0" w:space="0" w:color="auto"/>
            <w:right w:val="none" w:sz="0" w:space="0" w:color="auto"/>
          </w:divBdr>
        </w:div>
        <w:div w:id="367535617">
          <w:marLeft w:val="0"/>
          <w:marRight w:val="0"/>
          <w:marTop w:val="0"/>
          <w:marBottom w:val="0"/>
          <w:divBdr>
            <w:top w:val="none" w:sz="0" w:space="0" w:color="auto"/>
            <w:left w:val="none" w:sz="0" w:space="0" w:color="auto"/>
            <w:bottom w:val="none" w:sz="0" w:space="0" w:color="auto"/>
            <w:right w:val="none" w:sz="0" w:space="0" w:color="auto"/>
          </w:divBdr>
        </w:div>
        <w:div w:id="636885419">
          <w:marLeft w:val="0"/>
          <w:marRight w:val="0"/>
          <w:marTop w:val="0"/>
          <w:marBottom w:val="0"/>
          <w:divBdr>
            <w:top w:val="none" w:sz="0" w:space="0" w:color="auto"/>
            <w:left w:val="none" w:sz="0" w:space="0" w:color="auto"/>
            <w:bottom w:val="none" w:sz="0" w:space="0" w:color="auto"/>
            <w:right w:val="none" w:sz="0" w:space="0" w:color="auto"/>
          </w:divBdr>
        </w:div>
        <w:div w:id="752822833">
          <w:marLeft w:val="0"/>
          <w:marRight w:val="0"/>
          <w:marTop w:val="0"/>
          <w:marBottom w:val="0"/>
          <w:divBdr>
            <w:top w:val="none" w:sz="0" w:space="0" w:color="auto"/>
            <w:left w:val="none" w:sz="0" w:space="0" w:color="auto"/>
            <w:bottom w:val="none" w:sz="0" w:space="0" w:color="auto"/>
            <w:right w:val="none" w:sz="0" w:space="0" w:color="auto"/>
          </w:divBdr>
        </w:div>
        <w:div w:id="1464814824">
          <w:marLeft w:val="0"/>
          <w:marRight w:val="0"/>
          <w:marTop w:val="0"/>
          <w:marBottom w:val="0"/>
          <w:divBdr>
            <w:top w:val="none" w:sz="0" w:space="0" w:color="auto"/>
            <w:left w:val="none" w:sz="0" w:space="0" w:color="auto"/>
            <w:bottom w:val="none" w:sz="0" w:space="0" w:color="auto"/>
            <w:right w:val="none" w:sz="0" w:space="0" w:color="auto"/>
          </w:divBdr>
        </w:div>
        <w:div w:id="2055619125">
          <w:marLeft w:val="0"/>
          <w:marRight w:val="0"/>
          <w:marTop w:val="0"/>
          <w:marBottom w:val="0"/>
          <w:divBdr>
            <w:top w:val="none" w:sz="0" w:space="0" w:color="auto"/>
            <w:left w:val="none" w:sz="0" w:space="0" w:color="auto"/>
            <w:bottom w:val="none" w:sz="0" w:space="0" w:color="auto"/>
            <w:right w:val="none" w:sz="0" w:space="0" w:color="auto"/>
          </w:divBdr>
        </w:div>
      </w:divsChild>
    </w:div>
    <w:div w:id="169100851">
      <w:bodyDiv w:val="1"/>
      <w:marLeft w:val="0"/>
      <w:marRight w:val="0"/>
      <w:marTop w:val="0"/>
      <w:marBottom w:val="0"/>
      <w:divBdr>
        <w:top w:val="none" w:sz="0" w:space="0" w:color="auto"/>
        <w:left w:val="none" w:sz="0" w:space="0" w:color="auto"/>
        <w:bottom w:val="none" w:sz="0" w:space="0" w:color="auto"/>
        <w:right w:val="none" w:sz="0" w:space="0" w:color="auto"/>
      </w:divBdr>
    </w:div>
    <w:div w:id="265236009">
      <w:bodyDiv w:val="1"/>
      <w:marLeft w:val="0"/>
      <w:marRight w:val="0"/>
      <w:marTop w:val="0"/>
      <w:marBottom w:val="0"/>
      <w:divBdr>
        <w:top w:val="none" w:sz="0" w:space="0" w:color="auto"/>
        <w:left w:val="none" w:sz="0" w:space="0" w:color="auto"/>
        <w:bottom w:val="none" w:sz="0" w:space="0" w:color="auto"/>
        <w:right w:val="none" w:sz="0" w:space="0" w:color="auto"/>
      </w:divBdr>
    </w:div>
    <w:div w:id="276063350">
      <w:bodyDiv w:val="1"/>
      <w:marLeft w:val="0"/>
      <w:marRight w:val="0"/>
      <w:marTop w:val="0"/>
      <w:marBottom w:val="0"/>
      <w:divBdr>
        <w:top w:val="none" w:sz="0" w:space="0" w:color="auto"/>
        <w:left w:val="none" w:sz="0" w:space="0" w:color="auto"/>
        <w:bottom w:val="none" w:sz="0" w:space="0" w:color="auto"/>
        <w:right w:val="none" w:sz="0" w:space="0" w:color="auto"/>
      </w:divBdr>
    </w:div>
    <w:div w:id="359623392">
      <w:bodyDiv w:val="1"/>
      <w:marLeft w:val="0"/>
      <w:marRight w:val="0"/>
      <w:marTop w:val="0"/>
      <w:marBottom w:val="0"/>
      <w:divBdr>
        <w:top w:val="none" w:sz="0" w:space="0" w:color="auto"/>
        <w:left w:val="none" w:sz="0" w:space="0" w:color="auto"/>
        <w:bottom w:val="none" w:sz="0" w:space="0" w:color="auto"/>
        <w:right w:val="none" w:sz="0" w:space="0" w:color="auto"/>
      </w:divBdr>
    </w:div>
    <w:div w:id="380977455">
      <w:bodyDiv w:val="1"/>
      <w:marLeft w:val="0"/>
      <w:marRight w:val="0"/>
      <w:marTop w:val="0"/>
      <w:marBottom w:val="0"/>
      <w:divBdr>
        <w:top w:val="none" w:sz="0" w:space="0" w:color="auto"/>
        <w:left w:val="none" w:sz="0" w:space="0" w:color="auto"/>
        <w:bottom w:val="none" w:sz="0" w:space="0" w:color="auto"/>
        <w:right w:val="none" w:sz="0" w:space="0" w:color="auto"/>
      </w:divBdr>
    </w:div>
    <w:div w:id="408038561">
      <w:bodyDiv w:val="1"/>
      <w:marLeft w:val="0"/>
      <w:marRight w:val="0"/>
      <w:marTop w:val="0"/>
      <w:marBottom w:val="0"/>
      <w:divBdr>
        <w:top w:val="none" w:sz="0" w:space="0" w:color="auto"/>
        <w:left w:val="none" w:sz="0" w:space="0" w:color="auto"/>
        <w:bottom w:val="none" w:sz="0" w:space="0" w:color="auto"/>
        <w:right w:val="none" w:sz="0" w:space="0" w:color="auto"/>
      </w:divBdr>
    </w:div>
    <w:div w:id="453061529">
      <w:bodyDiv w:val="1"/>
      <w:marLeft w:val="0"/>
      <w:marRight w:val="0"/>
      <w:marTop w:val="0"/>
      <w:marBottom w:val="0"/>
      <w:divBdr>
        <w:top w:val="none" w:sz="0" w:space="0" w:color="auto"/>
        <w:left w:val="none" w:sz="0" w:space="0" w:color="auto"/>
        <w:bottom w:val="none" w:sz="0" w:space="0" w:color="auto"/>
        <w:right w:val="none" w:sz="0" w:space="0" w:color="auto"/>
      </w:divBdr>
    </w:div>
    <w:div w:id="486552223">
      <w:bodyDiv w:val="1"/>
      <w:marLeft w:val="0"/>
      <w:marRight w:val="0"/>
      <w:marTop w:val="0"/>
      <w:marBottom w:val="0"/>
      <w:divBdr>
        <w:top w:val="none" w:sz="0" w:space="0" w:color="auto"/>
        <w:left w:val="none" w:sz="0" w:space="0" w:color="auto"/>
        <w:bottom w:val="none" w:sz="0" w:space="0" w:color="auto"/>
        <w:right w:val="none" w:sz="0" w:space="0" w:color="auto"/>
      </w:divBdr>
    </w:div>
    <w:div w:id="497039506">
      <w:bodyDiv w:val="1"/>
      <w:marLeft w:val="0"/>
      <w:marRight w:val="0"/>
      <w:marTop w:val="0"/>
      <w:marBottom w:val="0"/>
      <w:divBdr>
        <w:top w:val="none" w:sz="0" w:space="0" w:color="auto"/>
        <w:left w:val="none" w:sz="0" w:space="0" w:color="auto"/>
        <w:bottom w:val="none" w:sz="0" w:space="0" w:color="auto"/>
        <w:right w:val="none" w:sz="0" w:space="0" w:color="auto"/>
      </w:divBdr>
    </w:div>
    <w:div w:id="505678955">
      <w:bodyDiv w:val="1"/>
      <w:marLeft w:val="0"/>
      <w:marRight w:val="0"/>
      <w:marTop w:val="0"/>
      <w:marBottom w:val="0"/>
      <w:divBdr>
        <w:top w:val="none" w:sz="0" w:space="0" w:color="auto"/>
        <w:left w:val="none" w:sz="0" w:space="0" w:color="auto"/>
        <w:bottom w:val="none" w:sz="0" w:space="0" w:color="auto"/>
        <w:right w:val="none" w:sz="0" w:space="0" w:color="auto"/>
      </w:divBdr>
    </w:div>
    <w:div w:id="526992551">
      <w:bodyDiv w:val="1"/>
      <w:marLeft w:val="0"/>
      <w:marRight w:val="0"/>
      <w:marTop w:val="0"/>
      <w:marBottom w:val="0"/>
      <w:divBdr>
        <w:top w:val="none" w:sz="0" w:space="0" w:color="auto"/>
        <w:left w:val="none" w:sz="0" w:space="0" w:color="auto"/>
        <w:bottom w:val="none" w:sz="0" w:space="0" w:color="auto"/>
        <w:right w:val="none" w:sz="0" w:space="0" w:color="auto"/>
      </w:divBdr>
    </w:div>
    <w:div w:id="551307812">
      <w:bodyDiv w:val="1"/>
      <w:marLeft w:val="0"/>
      <w:marRight w:val="0"/>
      <w:marTop w:val="0"/>
      <w:marBottom w:val="0"/>
      <w:divBdr>
        <w:top w:val="none" w:sz="0" w:space="0" w:color="auto"/>
        <w:left w:val="none" w:sz="0" w:space="0" w:color="auto"/>
        <w:bottom w:val="none" w:sz="0" w:space="0" w:color="auto"/>
        <w:right w:val="none" w:sz="0" w:space="0" w:color="auto"/>
      </w:divBdr>
    </w:div>
    <w:div w:id="617642535">
      <w:bodyDiv w:val="1"/>
      <w:marLeft w:val="0"/>
      <w:marRight w:val="0"/>
      <w:marTop w:val="0"/>
      <w:marBottom w:val="0"/>
      <w:divBdr>
        <w:top w:val="none" w:sz="0" w:space="0" w:color="auto"/>
        <w:left w:val="none" w:sz="0" w:space="0" w:color="auto"/>
        <w:bottom w:val="none" w:sz="0" w:space="0" w:color="auto"/>
        <w:right w:val="none" w:sz="0" w:space="0" w:color="auto"/>
      </w:divBdr>
    </w:div>
    <w:div w:id="672995500">
      <w:bodyDiv w:val="1"/>
      <w:marLeft w:val="0"/>
      <w:marRight w:val="0"/>
      <w:marTop w:val="0"/>
      <w:marBottom w:val="0"/>
      <w:divBdr>
        <w:top w:val="none" w:sz="0" w:space="0" w:color="auto"/>
        <w:left w:val="none" w:sz="0" w:space="0" w:color="auto"/>
        <w:bottom w:val="none" w:sz="0" w:space="0" w:color="auto"/>
        <w:right w:val="none" w:sz="0" w:space="0" w:color="auto"/>
      </w:divBdr>
    </w:div>
    <w:div w:id="676035007">
      <w:bodyDiv w:val="1"/>
      <w:marLeft w:val="0"/>
      <w:marRight w:val="0"/>
      <w:marTop w:val="0"/>
      <w:marBottom w:val="0"/>
      <w:divBdr>
        <w:top w:val="none" w:sz="0" w:space="0" w:color="auto"/>
        <w:left w:val="none" w:sz="0" w:space="0" w:color="auto"/>
        <w:bottom w:val="none" w:sz="0" w:space="0" w:color="auto"/>
        <w:right w:val="none" w:sz="0" w:space="0" w:color="auto"/>
      </w:divBdr>
    </w:div>
    <w:div w:id="770277235">
      <w:bodyDiv w:val="1"/>
      <w:marLeft w:val="0"/>
      <w:marRight w:val="0"/>
      <w:marTop w:val="0"/>
      <w:marBottom w:val="0"/>
      <w:divBdr>
        <w:top w:val="none" w:sz="0" w:space="0" w:color="auto"/>
        <w:left w:val="none" w:sz="0" w:space="0" w:color="auto"/>
        <w:bottom w:val="none" w:sz="0" w:space="0" w:color="auto"/>
        <w:right w:val="none" w:sz="0" w:space="0" w:color="auto"/>
      </w:divBdr>
    </w:div>
    <w:div w:id="832649951">
      <w:bodyDiv w:val="1"/>
      <w:marLeft w:val="0"/>
      <w:marRight w:val="0"/>
      <w:marTop w:val="0"/>
      <w:marBottom w:val="0"/>
      <w:divBdr>
        <w:top w:val="none" w:sz="0" w:space="0" w:color="auto"/>
        <w:left w:val="none" w:sz="0" w:space="0" w:color="auto"/>
        <w:bottom w:val="none" w:sz="0" w:space="0" w:color="auto"/>
        <w:right w:val="none" w:sz="0" w:space="0" w:color="auto"/>
      </w:divBdr>
    </w:div>
    <w:div w:id="939800572">
      <w:bodyDiv w:val="1"/>
      <w:marLeft w:val="0"/>
      <w:marRight w:val="0"/>
      <w:marTop w:val="0"/>
      <w:marBottom w:val="0"/>
      <w:divBdr>
        <w:top w:val="none" w:sz="0" w:space="0" w:color="auto"/>
        <w:left w:val="none" w:sz="0" w:space="0" w:color="auto"/>
        <w:bottom w:val="none" w:sz="0" w:space="0" w:color="auto"/>
        <w:right w:val="none" w:sz="0" w:space="0" w:color="auto"/>
      </w:divBdr>
    </w:div>
    <w:div w:id="980232806">
      <w:bodyDiv w:val="1"/>
      <w:marLeft w:val="0"/>
      <w:marRight w:val="0"/>
      <w:marTop w:val="0"/>
      <w:marBottom w:val="0"/>
      <w:divBdr>
        <w:top w:val="none" w:sz="0" w:space="0" w:color="auto"/>
        <w:left w:val="none" w:sz="0" w:space="0" w:color="auto"/>
        <w:bottom w:val="none" w:sz="0" w:space="0" w:color="auto"/>
        <w:right w:val="none" w:sz="0" w:space="0" w:color="auto"/>
      </w:divBdr>
    </w:div>
    <w:div w:id="1019429749">
      <w:bodyDiv w:val="1"/>
      <w:marLeft w:val="0"/>
      <w:marRight w:val="0"/>
      <w:marTop w:val="0"/>
      <w:marBottom w:val="0"/>
      <w:divBdr>
        <w:top w:val="none" w:sz="0" w:space="0" w:color="auto"/>
        <w:left w:val="none" w:sz="0" w:space="0" w:color="auto"/>
        <w:bottom w:val="none" w:sz="0" w:space="0" w:color="auto"/>
        <w:right w:val="none" w:sz="0" w:space="0" w:color="auto"/>
      </w:divBdr>
    </w:div>
    <w:div w:id="1094668062">
      <w:bodyDiv w:val="1"/>
      <w:marLeft w:val="0"/>
      <w:marRight w:val="0"/>
      <w:marTop w:val="0"/>
      <w:marBottom w:val="0"/>
      <w:divBdr>
        <w:top w:val="none" w:sz="0" w:space="0" w:color="auto"/>
        <w:left w:val="none" w:sz="0" w:space="0" w:color="auto"/>
        <w:bottom w:val="none" w:sz="0" w:space="0" w:color="auto"/>
        <w:right w:val="none" w:sz="0" w:space="0" w:color="auto"/>
      </w:divBdr>
    </w:div>
    <w:div w:id="1157265439">
      <w:bodyDiv w:val="1"/>
      <w:marLeft w:val="0"/>
      <w:marRight w:val="0"/>
      <w:marTop w:val="0"/>
      <w:marBottom w:val="0"/>
      <w:divBdr>
        <w:top w:val="none" w:sz="0" w:space="0" w:color="auto"/>
        <w:left w:val="none" w:sz="0" w:space="0" w:color="auto"/>
        <w:bottom w:val="none" w:sz="0" w:space="0" w:color="auto"/>
        <w:right w:val="none" w:sz="0" w:space="0" w:color="auto"/>
      </w:divBdr>
    </w:div>
    <w:div w:id="1168136707">
      <w:bodyDiv w:val="1"/>
      <w:marLeft w:val="0"/>
      <w:marRight w:val="0"/>
      <w:marTop w:val="0"/>
      <w:marBottom w:val="0"/>
      <w:divBdr>
        <w:top w:val="none" w:sz="0" w:space="0" w:color="auto"/>
        <w:left w:val="none" w:sz="0" w:space="0" w:color="auto"/>
        <w:bottom w:val="none" w:sz="0" w:space="0" w:color="auto"/>
        <w:right w:val="none" w:sz="0" w:space="0" w:color="auto"/>
      </w:divBdr>
    </w:div>
    <w:div w:id="1202474918">
      <w:bodyDiv w:val="1"/>
      <w:marLeft w:val="0"/>
      <w:marRight w:val="0"/>
      <w:marTop w:val="0"/>
      <w:marBottom w:val="0"/>
      <w:divBdr>
        <w:top w:val="none" w:sz="0" w:space="0" w:color="auto"/>
        <w:left w:val="none" w:sz="0" w:space="0" w:color="auto"/>
        <w:bottom w:val="none" w:sz="0" w:space="0" w:color="auto"/>
        <w:right w:val="none" w:sz="0" w:space="0" w:color="auto"/>
      </w:divBdr>
    </w:div>
    <w:div w:id="1222983485">
      <w:bodyDiv w:val="1"/>
      <w:marLeft w:val="0"/>
      <w:marRight w:val="0"/>
      <w:marTop w:val="0"/>
      <w:marBottom w:val="0"/>
      <w:divBdr>
        <w:top w:val="none" w:sz="0" w:space="0" w:color="auto"/>
        <w:left w:val="none" w:sz="0" w:space="0" w:color="auto"/>
        <w:bottom w:val="none" w:sz="0" w:space="0" w:color="auto"/>
        <w:right w:val="none" w:sz="0" w:space="0" w:color="auto"/>
      </w:divBdr>
    </w:div>
    <w:div w:id="1390038081">
      <w:bodyDiv w:val="1"/>
      <w:marLeft w:val="0"/>
      <w:marRight w:val="0"/>
      <w:marTop w:val="0"/>
      <w:marBottom w:val="0"/>
      <w:divBdr>
        <w:top w:val="none" w:sz="0" w:space="0" w:color="auto"/>
        <w:left w:val="none" w:sz="0" w:space="0" w:color="auto"/>
        <w:bottom w:val="none" w:sz="0" w:space="0" w:color="auto"/>
        <w:right w:val="none" w:sz="0" w:space="0" w:color="auto"/>
      </w:divBdr>
    </w:div>
    <w:div w:id="1394279902">
      <w:bodyDiv w:val="1"/>
      <w:marLeft w:val="0"/>
      <w:marRight w:val="0"/>
      <w:marTop w:val="0"/>
      <w:marBottom w:val="0"/>
      <w:divBdr>
        <w:top w:val="none" w:sz="0" w:space="0" w:color="auto"/>
        <w:left w:val="none" w:sz="0" w:space="0" w:color="auto"/>
        <w:bottom w:val="none" w:sz="0" w:space="0" w:color="auto"/>
        <w:right w:val="none" w:sz="0" w:space="0" w:color="auto"/>
      </w:divBdr>
    </w:div>
    <w:div w:id="1398547613">
      <w:bodyDiv w:val="1"/>
      <w:marLeft w:val="0"/>
      <w:marRight w:val="0"/>
      <w:marTop w:val="0"/>
      <w:marBottom w:val="0"/>
      <w:divBdr>
        <w:top w:val="none" w:sz="0" w:space="0" w:color="auto"/>
        <w:left w:val="none" w:sz="0" w:space="0" w:color="auto"/>
        <w:bottom w:val="none" w:sz="0" w:space="0" w:color="auto"/>
        <w:right w:val="none" w:sz="0" w:space="0" w:color="auto"/>
      </w:divBdr>
    </w:div>
    <w:div w:id="1635061413">
      <w:bodyDiv w:val="1"/>
      <w:marLeft w:val="0"/>
      <w:marRight w:val="0"/>
      <w:marTop w:val="0"/>
      <w:marBottom w:val="0"/>
      <w:divBdr>
        <w:top w:val="none" w:sz="0" w:space="0" w:color="auto"/>
        <w:left w:val="none" w:sz="0" w:space="0" w:color="auto"/>
        <w:bottom w:val="none" w:sz="0" w:space="0" w:color="auto"/>
        <w:right w:val="none" w:sz="0" w:space="0" w:color="auto"/>
      </w:divBdr>
    </w:div>
    <w:div w:id="1802572884">
      <w:bodyDiv w:val="1"/>
      <w:marLeft w:val="0"/>
      <w:marRight w:val="0"/>
      <w:marTop w:val="0"/>
      <w:marBottom w:val="0"/>
      <w:divBdr>
        <w:top w:val="none" w:sz="0" w:space="0" w:color="auto"/>
        <w:left w:val="none" w:sz="0" w:space="0" w:color="auto"/>
        <w:bottom w:val="none" w:sz="0" w:space="0" w:color="auto"/>
        <w:right w:val="none" w:sz="0" w:space="0" w:color="auto"/>
      </w:divBdr>
    </w:div>
    <w:div w:id="1845002182">
      <w:bodyDiv w:val="1"/>
      <w:marLeft w:val="0"/>
      <w:marRight w:val="0"/>
      <w:marTop w:val="0"/>
      <w:marBottom w:val="0"/>
      <w:divBdr>
        <w:top w:val="none" w:sz="0" w:space="0" w:color="auto"/>
        <w:left w:val="none" w:sz="0" w:space="0" w:color="auto"/>
        <w:bottom w:val="none" w:sz="0" w:space="0" w:color="auto"/>
        <w:right w:val="none" w:sz="0" w:space="0" w:color="auto"/>
      </w:divBdr>
    </w:div>
    <w:div w:id="1861580957">
      <w:bodyDiv w:val="1"/>
      <w:marLeft w:val="0"/>
      <w:marRight w:val="0"/>
      <w:marTop w:val="0"/>
      <w:marBottom w:val="0"/>
      <w:divBdr>
        <w:top w:val="none" w:sz="0" w:space="0" w:color="auto"/>
        <w:left w:val="none" w:sz="0" w:space="0" w:color="auto"/>
        <w:bottom w:val="none" w:sz="0" w:space="0" w:color="auto"/>
        <w:right w:val="none" w:sz="0" w:space="0" w:color="auto"/>
      </w:divBdr>
      <w:divsChild>
        <w:div w:id="285357523">
          <w:marLeft w:val="0"/>
          <w:marRight w:val="0"/>
          <w:marTop w:val="0"/>
          <w:marBottom w:val="0"/>
          <w:divBdr>
            <w:top w:val="none" w:sz="0" w:space="0" w:color="auto"/>
            <w:left w:val="none" w:sz="0" w:space="0" w:color="auto"/>
            <w:bottom w:val="none" w:sz="0" w:space="0" w:color="auto"/>
            <w:right w:val="none" w:sz="0" w:space="0" w:color="auto"/>
          </w:divBdr>
        </w:div>
        <w:div w:id="436100154">
          <w:marLeft w:val="0"/>
          <w:marRight w:val="0"/>
          <w:marTop w:val="0"/>
          <w:marBottom w:val="0"/>
          <w:divBdr>
            <w:top w:val="none" w:sz="0" w:space="0" w:color="auto"/>
            <w:left w:val="none" w:sz="0" w:space="0" w:color="auto"/>
            <w:bottom w:val="none" w:sz="0" w:space="0" w:color="auto"/>
            <w:right w:val="none" w:sz="0" w:space="0" w:color="auto"/>
          </w:divBdr>
        </w:div>
        <w:div w:id="707026762">
          <w:marLeft w:val="0"/>
          <w:marRight w:val="0"/>
          <w:marTop w:val="0"/>
          <w:marBottom w:val="0"/>
          <w:divBdr>
            <w:top w:val="none" w:sz="0" w:space="0" w:color="auto"/>
            <w:left w:val="none" w:sz="0" w:space="0" w:color="auto"/>
            <w:bottom w:val="none" w:sz="0" w:space="0" w:color="auto"/>
            <w:right w:val="none" w:sz="0" w:space="0" w:color="auto"/>
          </w:divBdr>
        </w:div>
        <w:div w:id="954868923">
          <w:marLeft w:val="0"/>
          <w:marRight w:val="0"/>
          <w:marTop w:val="0"/>
          <w:marBottom w:val="0"/>
          <w:divBdr>
            <w:top w:val="none" w:sz="0" w:space="0" w:color="auto"/>
            <w:left w:val="none" w:sz="0" w:space="0" w:color="auto"/>
            <w:bottom w:val="none" w:sz="0" w:space="0" w:color="auto"/>
            <w:right w:val="none" w:sz="0" w:space="0" w:color="auto"/>
          </w:divBdr>
        </w:div>
        <w:div w:id="1092823179">
          <w:marLeft w:val="0"/>
          <w:marRight w:val="0"/>
          <w:marTop w:val="0"/>
          <w:marBottom w:val="0"/>
          <w:divBdr>
            <w:top w:val="none" w:sz="0" w:space="0" w:color="auto"/>
            <w:left w:val="none" w:sz="0" w:space="0" w:color="auto"/>
            <w:bottom w:val="none" w:sz="0" w:space="0" w:color="auto"/>
            <w:right w:val="none" w:sz="0" w:space="0" w:color="auto"/>
          </w:divBdr>
        </w:div>
        <w:div w:id="1284577249">
          <w:marLeft w:val="0"/>
          <w:marRight w:val="0"/>
          <w:marTop w:val="0"/>
          <w:marBottom w:val="0"/>
          <w:divBdr>
            <w:top w:val="none" w:sz="0" w:space="0" w:color="auto"/>
            <w:left w:val="none" w:sz="0" w:space="0" w:color="auto"/>
            <w:bottom w:val="none" w:sz="0" w:space="0" w:color="auto"/>
            <w:right w:val="none" w:sz="0" w:space="0" w:color="auto"/>
          </w:divBdr>
        </w:div>
        <w:div w:id="1386681490">
          <w:marLeft w:val="0"/>
          <w:marRight w:val="0"/>
          <w:marTop w:val="0"/>
          <w:marBottom w:val="0"/>
          <w:divBdr>
            <w:top w:val="none" w:sz="0" w:space="0" w:color="auto"/>
            <w:left w:val="none" w:sz="0" w:space="0" w:color="auto"/>
            <w:bottom w:val="none" w:sz="0" w:space="0" w:color="auto"/>
            <w:right w:val="none" w:sz="0" w:space="0" w:color="auto"/>
          </w:divBdr>
        </w:div>
        <w:div w:id="1823354932">
          <w:marLeft w:val="0"/>
          <w:marRight w:val="0"/>
          <w:marTop w:val="0"/>
          <w:marBottom w:val="0"/>
          <w:divBdr>
            <w:top w:val="none" w:sz="0" w:space="0" w:color="auto"/>
            <w:left w:val="none" w:sz="0" w:space="0" w:color="auto"/>
            <w:bottom w:val="none" w:sz="0" w:space="0" w:color="auto"/>
            <w:right w:val="none" w:sz="0" w:space="0" w:color="auto"/>
          </w:divBdr>
        </w:div>
      </w:divsChild>
    </w:div>
    <w:div w:id="1866095525">
      <w:bodyDiv w:val="1"/>
      <w:marLeft w:val="0"/>
      <w:marRight w:val="0"/>
      <w:marTop w:val="0"/>
      <w:marBottom w:val="0"/>
      <w:divBdr>
        <w:top w:val="none" w:sz="0" w:space="0" w:color="auto"/>
        <w:left w:val="none" w:sz="0" w:space="0" w:color="auto"/>
        <w:bottom w:val="none" w:sz="0" w:space="0" w:color="auto"/>
        <w:right w:val="none" w:sz="0" w:space="0" w:color="auto"/>
      </w:divBdr>
    </w:div>
    <w:div w:id="19900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servicios2.aguascalientes.gob.mx/PeriodicoOficial/web/viewer.html?file=../Archivos/10040.pdf" TargetMode="External"/><Relationship Id="rId2" Type="http://schemas.openxmlformats.org/officeDocument/2006/relationships/hyperlink" Target="https://eservicios2.aguascalientes.gob.mx/PeriodicoOficial/web/viewer.html?file=../Archivos/10040.pdf" TargetMode="External"/><Relationship Id="rId1" Type="http://schemas.openxmlformats.org/officeDocument/2006/relationships/hyperlink" Target="https://www.ieeags.mx/media/sesiones/2023-10-27/CG-A-47/23/11._CG-A-47-23_Acuerdo_Lineamientos_GAP_candidaturas.pdf" TargetMode="External"/><Relationship Id="rId5" Type="http://schemas.openxmlformats.org/officeDocument/2006/relationships/hyperlink" Target="https://www.ieeags.mx/media/carousel/dialogos%20informe%20dialogos/Informe_-_Dialogos_por_una_Democracia_Inclusiva.pdf" TargetMode="External"/><Relationship Id="rId4" Type="http://schemas.openxmlformats.org/officeDocument/2006/relationships/hyperlink" Target="https://www.ieeags.mx/media/carousel/dialogos%20informe%20dialogos/Informe_-_Dialogos_por_una_Democracia_Inclusiv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B4AD-C060-4BD6-BF0D-580EED8D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13051</Words>
  <Characters>71783</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Lic. Daniela Vega</cp:lastModifiedBy>
  <cp:revision>2</cp:revision>
  <cp:lastPrinted>2023-11-24T18:47:00Z</cp:lastPrinted>
  <dcterms:created xsi:type="dcterms:W3CDTF">2023-11-24T18:53:00Z</dcterms:created>
  <dcterms:modified xsi:type="dcterms:W3CDTF">2023-11-24T18:53:00Z</dcterms:modified>
</cp:coreProperties>
</file>