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A585" w14:textId="73922B83" w:rsidR="00B40EDA" w:rsidRPr="00BA5F87" w:rsidRDefault="00B40EDA" w:rsidP="00B40EDA">
      <w:pPr>
        <w:tabs>
          <w:tab w:val="right" w:leader="hyphen" w:pos="8931"/>
        </w:tabs>
        <w:spacing w:after="0" w:line="360" w:lineRule="auto"/>
        <w:ind w:right="-91"/>
        <w:jc w:val="center"/>
        <w:rPr>
          <w:rFonts w:ascii="Arial Nova Light" w:eastAsia="Times New Roman" w:hAnsi="Arial Nova Light" w:cs="Arial"/>
          <w:b/>
          <w:sz w:val="24"/>
          <w:szCs w:val="24"/>
          <w:u w:val="single"/>
          <w:lang w:eastAsia="es-ES"/>
        </w:rPr>
      </w:pPr>
      <w:r w:rsidRPr="00BA5F87">
        <w:rPr>
          <w:rFonts w:ascii="Arial Nova Light" w:eastAsia="Times New Roman" w:hAnsi="Arial Nova Light" w:cs="Arial"/>
          <w:b/>
          <w:sz w:val="24"/>
          <w:szCs w:val="24"/>
          <w:u w:val="single"/>
          <w:lang w:eastAsia="es-ES"/>
        </w:rPr>
        <w:t>A</w:t>
      </w:r>
      <w:r w:rsidR="00F6717F">
        <w:rPr>
          <w:rFonts w:ascii="Arial Nova Light" w:eastAsia="Times New Roman" w:hAnsi="Arial Nova Light" w:cs="Arial"/>
          <w:b/>
          <w:sz w:val="24"/>
          <w:szCs w:val="24"/>
          <w:u w:val="single"/>
          <w:lang w:eastAsia="es-ES"/>
        </w:rPr>
        <w:t>CUERDO</w:t>
      </w:r>
      <w:r w:rsidRPr="00BA5F87">
        <w:rPr>
          <w:rFonts w:ascii="Arial Nova Light" w:eastAsia="Times New Roman" w:hAnsi="Arial Nova Light" w:cs="Arial"/>
          <w:b/>
          <w:sz w:val="24"/>
          <w:szCs w:val="24"/>
          <w:u w:val="single"/>
          <w:lang w:eastAsia="es-ES"/>
        </w:rPr>
        <w:t xml:space="preserve"> DE ADMISIÓN</w:t>
      </w:r>
      <w:r w:rsidR="00B64024" w:rsidRPr="00BA5F87">
        <w:rPr>
          <w:rFonts w:ascii="Arial Nova Light" w:eastAsia="Times New Roman" w:hAnsi="Arial Nova Light" w:cs="Arial"/>
          <w:b/>
          <w:sz w:val="24"/>
          <w:szCs w:val="24"/>
          <w:u w:val="single"/>
          <w:lang w:eastAsia="es-ES"/>
        </w:rPr>
        <w:t>, ACUMULACIÓN</w:t>
      </w:r>
      <w:r w:rsidRPr="00BA5F87">
        <w:rPr>
          <w:rFonts w:ascii="Arial Nova Light" w:eastAsia="Times New Roman" w:hAnsi="Arial Nova Light" w:cs="Arial"/>
          <w:b/>
          <w:sz w:val="24"/>
          <w:szCs w:val="24"/>
          <w:u w:val="single"/>
          <w:lang w:eastAsia="es-ES"/>
        </w:rPr>
        <w:t xml:space="preserve"> Y CIERRE DE INSTRUCCIÓN.</w:t>
      </w:r>
    </w:p>
    <w:p w14:paraId="00B6D628" w14:textId="77777777" w:rsidR="00B40EDA" w:rsidRPr="00BA5F87" w:rsidRDefault="00B40EDA" w:rsidP="00B40EDA">
      <w:pPr>
        <w:tabs>
          <w:tab w:val="right" w:leader="hyphen" w:pos="8931"/>
        </w:tabs>
        <w:spacing w:after="0" w:line="360" w:lineRule="auto"/>
        <w:ind w:right="-91"/>
        <w:jc w:val="center"/>
        <w:rPr>
          <w:rFonts w:ascii="Arial Nova Light" w:eastAsia="Times New Roman" w:hAnsi="Arial Nova Light" w:cs="Arial"/>
          <w:b/>
          <w:sz w:val="24"/>
          <w:szCs w:val="24"/>
          <w:lang w:eastAsia="es-ES"/>
        </w:rPr>
      </w:pPr>
      <w:r w:rsidRPr="00BA5F87">
        <w:rPr>
          <w:rFonts w:ascii="Arial Nova Light" w:hAnsi="Arial Nova Light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28F59B" wp14:editId="4B632854">
                <wp:simplePos x="0" y="0"/>
                <wp:positionH relativeFrom="margin">
                  <wp:posOffset>2615565</wp:posOffset>
                </wp:positionH>
                <wp:positionV relativeFrom="paragraph">
                  <wp:posOffset>260985</wp:posOffset>
                </wp:positionV>
                <wp:extent cx="3058795" cy="2495550"/>
                <wp:effectExtent l="0" t="0" r="825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79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F78A7" w14:textId="2DC9CC78" w:rsidR="00B40EDA" w:rsidRPr="00B40EDA" w:rsidRDefault="00B40EDA" w:rsidP="00B40ED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40E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Juicio para la Protección de los Derechos Político- Electorales</w:t>
                            </w:r>
                            <w:r w:rsidR="00F671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de la Ciudadanía</w:t>
                            </w:r>
                            <w:r w:rsidRPr="00B40E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4064757F" w14:textId="31B5F1CF" w:rsidR="00B40EDA" w:rsidRPr="00B40EDA" w:rsidRDefault="00BA5F87" w:rsidP="00B40EDA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40E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</w:t>
                            </w:r>
                            <w:r w:rsidR="00F671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B40E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B40E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</w:t>
                            </w:r>
                            <w:r w:rsidR="00B40EDA" w:rsidRPr="00B40E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-JDC-</w:t>
                            </w:r>
                            <w:r w:rsidR="006C7C2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001</w:t>
                            </w:r>
                            <w:r w:rsidR="00B40EDA" w:rsidRPr="00B40E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6C7C2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="00B40EDA" w:rsidRPr="00B40E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 </w:t>
                            </w:r>
                            <w:r w:rsidR="006C7C2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B40EDA" w:rsidRPr="00B40E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cumulado.</w:t>
                            </w:r>
                          </w:p>
                          <w:p w14:paraId="614C62E7" w14:textId="7C02DCC8" w:rsidR="00B40EDA" w:rsidRPr="00B40EDA" w:rsidRDefault="00BA5F87" w:rsidP="00B40EDA">
                            <w:pPr>
                              <w:jc w:val="bot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bookmarkStart w:id="0" w:name="_Hlk161654358"/>
                            <w:r w:rsidRPr="00B40E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B40EDA" w:rsidRPr="00B40EDA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7C2A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Alfredo Martín Cervantes García y Partido Acción Nacional.</w:t>
                            </w:r>
                          </w:p>
                          <w:bookmarkEnd w:id="0"/>
                          <w:p w14:paraId="600699B3" w14:textId="38A8D81A" w:rsidR="00B40EDA" w:rsidRPr="00B40EDA" w:rsidRDefault="00B40EDA" w:rsidP="00B40EDA">
                            <w:pPr>
                              <w:jc w:val="bot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B40E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Pr="00B40E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1" w:name="_Hlk161654379"/>
                            <w:r w:rsidRPr="00B40EDA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Consejo General del Instituto Estatal Electoral.</w:t>
                            </w:r>
                            <w:bookmarkEnd w:id="1"/>
                          </w:p>
                          <w:p w14:paraId="78434250" w14:textId="77777777" w:rsidR="00B40EDA" w:rsidRPr="00B40EDA" w:rsidRDefault="00B40EDA" w:rsidP="00B40ED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8F59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5.95pt;margin-top:20.55pt;width:240.85pt;height:19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" stroked="f">
                <v:textbox>
                  <w:txbxContent>
                    <w:p w14:paraId="7ABF78A7" w14:textId="2DC9CC78" w:rsidR="00B40EDA" w:rsidRPr="00B40EDA" w:rsidRDefault="00B40EDA" w:rsidP="00B40EDA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40E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Juicio para la Protección de los Derechos Político- Electorales</w:t>
                      </w:r>
                      <w:r w:rsidR="00F671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de la Ciudadanía</w:t>
                      </w:r>
                      <w:r w:rsidRPr="00B40E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4064757F" w14:textId="31B5F1CF" w:rsidR="00B40EDA" w:rsidRPr="00B40EDA" w:rsidRDefault="00BA5F87" w:rsidP="00B40EDA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40E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</w:t>
                      </w:r>
                      <w:r w:rsidR="00F671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</w:t>
                      </w:r>
                      <w:r w:rsidRPr="00B40E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 w:rsidRPr="00B40E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</w:t>
                      </w:r>
                      <w:r w:rsidR="00B40EDA" w:rsidRPr="00B40EDA">
                        <w:rPr>
                          <w:rFonts w:ascii="Arial" w:hAnsi="Arial" w:cs="Arial"/>
                          <w:sz w:val="24"/>
                          <w:szCs w:val="24"/>
                        </w:rPr>
                        <w:t>-JDC-</w:t>
                      </w:r>
                      <w:r w:rsidR="006C7C2A">
                        <w:rPr>
                          <w:rFonts w:ascii="Arial" w:hAnsi="Arial" w:cs="Arial"/>
                          <w:sz w:val="24"/>
                          <w:szCs w:val="24"/>
                        </w:rPr>
                        <w:t>001</w:t>
                      </w:r>
                      <w:r w:rsidR="00B40EDA" w:rsidRPr="00B40EDA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6C7C2A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="00B40EDA" w:rsidRPr="00B40E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 </w:t>
                      </w:r>
                      <w:r w:rsidR="006C7C2A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="00B40EDA" w:rsidRPr="00B40EDA">
                        <w:rPr>
                          <w:rFonts w:ascii="Arial" w:hAnsi="Arial" w:cs="Arial"/>
                          <w:sz w:val="24"/>
                          <w:szCs w:val="24"/>
                        </w:rPr>
                        <w:t>cumulado.</w:t>
                      </w:r>
                    </w:p>
                    <w:p w14:paraId="614C62E7" w14:textId="7C02DCC8" w:rsidR="00B40EDA" w:rsidRPr="00B40EDA" w:rsidRDefault="00BA5F87" w:rsidP="00B40EDA">
                      <w:pPr>
                        <w:jc w:val="both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bookmarkStart w:id="2" w:name="_Hlk161654358"/>
                      <w:r w:rsidRPr="00B40E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:</w:t>
                      </w:r>
                      <w:r w:rsidR="00B40EDA" w:rsidRPr="00B40EDA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6C7C2A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Alfredo Martín Cervantes García y Partido Acción Nacional.</w:t>
                      </w:r>
                    </w:p>
                    <w:bookmarkEnd w:id="2"/>
                    <w:p w14:paraId="600699B3" w14:textId="38A8D81A" w:rsidR="00B40EDA" w:rsidRPr="00B40EDA" w:rsidRDefault="00B40EDA" w:rsidP="00B40EDA">
                      <w:pPr>
                        <w:jc w:val="both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B40E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Pr="00B40E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bookmarkStart w:id="3" w:name="_Hlk161654379"/>
                      <w:r w:rsidRPr="00B40EDA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Consejo General del Instituto Estatal Electoral.</w:t>
                      </w:r>
                      <w:bookmarkEnd w:id="3"/>
                    </w:p>
                    <w:p w14:paraId="78434250" w14:textId="77777777" w:rsidR="00B40EDA" w:rsidRPr="00B40EDA" w:rsidRDefault="00B40EDA" w:rsidP="00B40EDA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42734F" w14:textId="77777777" w:rsidR="00B40EDA" w:rsidRPr="00BA5F87" w:rsidRDefault="00B40EDA" w:rsidP="00B40EDA">
      <w:pPr>
        <w:tabs>
          <w:tab w:val="right" w:leader="hyphen" w:pos="8931"/>
        </w:tabs>
        <w:spacing w:after="0" w:line="360" w:lineRule="auto"/>
        <w:ind w:right="-91"/>
        <w:jc w:val="center"/>
        <w:rPr>
          <w:rFonts w:ascii="Arial Nova Light" w:eastAsia="Times New Roman" w:hAnsi="Arial Nova Light" w:cs="Arial"/>
          <w:b/>
          <w:sz w:val="24"/>
          <w:szCs w:val="24"/>
          <w:lang w:eastAsia="es-ES"/>
        </w:rPr>
      </w:pPr>
    </w:p>
    <w:p w14:paraId="6D4E48B5" w14:textId="77777777" w:rsidR="00B40EDA" w:rsidRPr="00BA5F87" w:rsidRDefault="00B40EDA" w:rsidP="00B40EDA">
      <w:pPr>
        <w:spacing w:after="0" w:line="360" w:lineRule="auto"/>
        <w:ind w:left="284"/>
        <w:jc w:val="center"/>
        <w:rPr>
          <w:rFonts w:ascii="Arial Nova Light" w:eastAsia="Times New Roman" w:hAnsi="Arial Nova Light" w:cs="Arial"/>
          <w:bCs/>
          <w:kern w:val="16"/>
          <w:sz w:val="24"/>
          <w:szCs w:val="24"/>
          <w:lang w:eastAsia="es-ES"/>
        </w:rPr>
      </w:pPr>
    </w:p>
    <w:p w14:paraId="6F483721" w14:textId="77777777" w:rsidR="00B40EDA" w:rsidRPr="00BA5F87" w:rsidRDefault="00B40EDA" w:rsidP="00B40EDA">
      <w:pPr>
        <w:spacing w:after="0" w:line="360" w:lineRule="auto"/>
        <w:ind w:left="284"/>
        <w:jc w:val="right"/>
        <w:rPr>
          <w:rFonts w:ascii="Arial Nova Light" w:eastAsia="Times New Roman" w:hAnsi="Arial Nova Light" w:cs="Arial"/>
          <w:bCs/>
          <w:kern w:val="16"/>
          <w:sz w:val="24"/>
          <w:szCs w:val="24"/>
          <w:lang w:eastAsia="es-ES"/>
        </w:rPr>
      </w:pPr>
    </w:p>
    <w:p w14:paraId="4077E9BF" w14:textId="77777777" w:rsidR="00B40EDA" w:rsidRPr="00BA5F87" w:rsidRDefault="00B40EDA" w:rsidP="00B40EDA">
      <w:pPr>
        <w:spacing w:after="0" w:line="360" w:lineRule="auto"/>
        <w:ind w:left="284"/>
        <w:jc w:val="center"/>
        <w:rPr>
          <w:rFonts w:ascii="Arial Nova Light" w:eastAsia="Times New Roman" w:hAnsi="Arial Nova Light" w:cs="Arial"/>
          <w:bCs/>
          <w:kern w:val="16"/>
          <w:sz w:val="24"/>
          <w:szCs w:val="24"/>
          <w:lang w:eastAsia="es-ES"/>
        </w:rPr>
      </w:pPr>
    </w:p>
    <w:p w14:paraId="534F087F" w14:textId="77777777" w:rsidR="00B40EDA" w:rsidRPr="00BA5F87" w:rsidRDefault="00B40EDA" w:rsidP="00B40EDA">
      <w:pPr>
        <w:spacing w:after="0" w:line="360" w:lineRule="auto"/>
        <w:ind w:left="284"/>
        <w:jc w:val="center"/>
        <w:rPr>
          <w:rFonts w:ascii="Arial Nova Light" w:eastAsia="Times New Roman" w:hAnsi="Arial Nova Light" w:cs="Arial"/>
          <w:bCs/>
          <w:kern w:val="16"/>
          <w:sz w:val="24"/>
          <w:szCs w:val="24"/>
          <w:lang w:eastAsia="es-ES"/>
        </w:rPr>
      </w:pPr>
    </w:p>
    <w:p w14:paraId="1A05CE40" w14:textId="77777777" w:rsidR="00B40EDA" w:rsidRPr="00BA5F87" w:rsidRDefault="00B40EDA" w:rsidP="00B40EDA">
      <w:pPr>
        <w:spacing w:after="0" w:line="360" w:lineRule="auto"/>
        <w:ind w:left="284"/>
        <w:jc w:val="center"/>
        <w:rPr>
          <w:rFonts w:ascii="Arial Nova Light" w:eastAsia="Times New Roman" w:hAnsi="Arial Nova Light" w:cs="Arial"/>
          <w:bCs/>
          <w:kern w:val="16"/>
          <w:sz w:val="24"/>
          <w:szCs w:val="24"/>
          <w:lang w:eastAsia="es-ES"/>
        </w:rPr>
      </w:pPr>
    </w:p>
    <w:p w14:paraId="6BC6261E" w14:textId="77777777" w:rsidR="00B40EDA" w:rsidRPr="00BA5F87" w:rsidRDefault="00B40EDA" w:rsidP="00B40EDA">
      <w:pPr>
        <w:spacing w:line="360" w:lineRule="auto"/>
        <w:ind w:firstLine="708"/>
        <w:jc w:val="both"/>
        <w:rPr>
          <w:rFonts w:ascii="Arial Nova Light" w:eastAsia="Times New Roman" w:hAnsi="Arial Nova Light" w:cs="Arial"/>
          <w:bCs/>
          <w:sz w:val="24"/>
          <w:szCs w:val="24"/>
          <w:lang w:eastAsia="es-MX"/>
        </w:rPr>
      </w:pPr>
    </w:p>
    <w:p w14:paraId="2BB147EF" w14:textId="77777777" w:rsidR="00B40EDA" w:rsidRPr="00BA5F87" w:rsidRDefault="00B40EDA" w:rsidP="00B40EDA">
      <w:pPr>
        <w:spacing w:line="360" w:lineRule="auto"/>
        <w:ind w:firstLine="708"/>
        <w:jc w:val="both"/>
        <w:rPr>
          <w:rFonts w:ascii="Arial Nova Light" w:eastAsia="Times New Roman" w:hAnsi="Arial Nova Light" w:cs="Arial"/>
          <w:bCs/>
          <w:sz w:val="24"/>
          <w:szCs w:val="24"/>
          <w:lang w:eastAsia="es-MX"/>
        </w:rPr>
      </w:pPr>
    </w:p>
    <w:p w14:paraId="4B215931" w14:textId="77777777" w:rsidR="00B40EDA" w:rsidRPr="00BA5F87" w:rsidRDefault="00B40EDA" w:rsidP="00B40EDA">
      <w:pPr>
        <w:spacing w:line="360" w:lineRule="auto"/>
        <w:ind w:firstLine="708"/>
        <w:jc w:val="both"/>
        <w:rPr>
          <w:rFonts w:ascii="Arial Nova Light" w:eastAsia="Times New Roman" w:hAnsi="Arial Nova Light" w:cs="Arial"/>
          <w:b/>
          <w:bCs/>
          <w:sz w:val="24"/>
          <w:szCs w:val="24"/>
          <w:lang w:eastAsia="es-MX"/>
        </w:rPr>
      </w:pPr>
    </w:p>
    <w:p w14:paraId="59677D92" w14:textId="41C34E3D" w:rsidR="00B40EDA" w:rsidRPr="00BA5F87" w:rsidRDefault="00B40EDA" w:rsidP="00B40EDA">
      <w:pPr>
        <w:spacing w:line="360" w:lineRule="auto"/>
        <w:ind w:firstLine="708"/>
        <w:jc w:val="both"/>
        <w:rPr>
          <w:rFonts w:ascii="Arial Nova Light" w:eastAsia="Times New Roman" w:hAnsi="Arial Nova Light" w:cs="Arial"/>
          <w:bCs/>
          <w:sz w:val="24"/>
          <w:szCs w:val="24"/>
          <w:lang w:eastAsia="es-MX"/>
        </w:rPr>
      </w:pPr>
      <w:r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 xml:space="preserve">Aguascalientes, Aguascalientes, a </w:t>
      </w:r>
      <w:r w:rsidR="006C7C2A"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>diec</w:t>
      </w:r>
      <w:r w:rsidR="00081776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>inueve</w:t>
      </w:r>
      <w:r w:rsidR="006C7C2A"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 xml:space="preserve"> de marzo</w:t>
      </w:r>
      <w:r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 xml:space="preserve"> de dos mil veinti</w:t>
      </w:r>
      <w:r w:rsidR="006C7C2A"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>cuatro</w:t>
      </w:r>
      <w:r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>.</w:t>
      </w:r>
    </w:p>
    <w:p w14:paraId="536B124F" w14:textId="77777777" w:rsidR="00B40EDA" w:rsidRPr="00BA5F87" w:rsidRDefault="00B40EDA" w:rsidP="00B40EDA">
      <w:pPr>
        <w:spacing w:line="360" w:lineRule="auto"/>
        <w:ind w:firstLine="708"/>
        <w:jc w:val="both"/>
        <w:rPr>
          <w:rFonts w:ascii="Arial Nova Light" w:eastAsia="Times New Roman" w:hAnsi="Arial Nova Light" w:cs="Arial"/>
          <w:bCs/>
          <w:sz w:val="24"/>
          <w:szCs w:val="24"/>
          <w:lang w:eastAsia="es-MX"/>
        </w:rPr>
      </w:pPr>
    </w:p>
    <w:p w14:paraId="7F984ADE" w14:textId="467070CB" w:rsidR="00B40EDA" w:rsidRPr="00BA5F87" w:rsidRDefault="006C7C2A" w:rsidP="00B40EDA">
      <w:pPr>
        <w:spacing w:line="360" w:lineRule="auto"/>
        <w:ind w:firstLine="708"/>
        <w:jc w:val="both"/>
        <w:rPr>
          <w:rFonts w:ascii="Arial Nova Light" w:eastAsia="Times New Roman" w:hAnsi="Arial Nova Light" w:cs="Arial"/>
          <w:bCs/>
          <w:sz w:val="24"/>
          <w:szCs w:val="24"/>
          <w:lang w:eastAsia="es-MX"/>
        </w:rPr>
      </w:pPr>
      <w:r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>La</w:t>
      </w:r>
      <w:r w:rsidR="00B40EDA"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 xml:space="preserve"> </w:t>
      </w:r>
      <w:proofErr w:type="gramStart"/>
      <w:r w:rsidR="00B40EDA"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>Secretari</w:t>
      </w:r>
      <w:r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>a</w:t>
      </w:r>
      <w:proofErr w:type="gramEnd"/>
      <w:r w:rsidR="00B40EDA"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 xml:space="preserve"> de Estudio, da cuenta al Magistrado </w:t>
      </w:r>
      <w:r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>en funciones Néstor Enrique</w:t>
      </w:r>
      <w:r w:rsidR="00B40EDA"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>, con el estado que guardan los autos.</w:t>
      </w:r>
    </w:p>
    <w:p w14:paraId="1AA522FE" w14:textId="77777777" w:rsidR="00B40EDA" w:rsidRPr="00BA5F87" w:rsidRDefault="00B40EDA" w:rsidP="00081776">
      <w:pPr>
        <w:spacing w:line="360" w:lineRule="auto"/>
        <w:jc w:val="both"/>
        <w:rPr>
          <w:rFonts w:ascii="Arial Nova Light" w:eastAsia="Times New Roman" w:hAnsi="Arial Nova Light" w:cs="Arial"/>
          <w:bCs/>
          <w:sz w:val="24"/>
          <w:szCs w:val="24"/>
          <w:lang w:eastAsia="es-MX"/>
        </w:rPr>
      </w:pPr>
    </w:p>
    <w:p w14:paraId="107D1446" w14:textId="6D3B298B" w:rsidR="00B40EDA" w:rsidRPr="00BA5F87" w:rsidRDefault="00B40EDA" w:rsidP="00081776">
      <w:pPr>
        <w:spacing w:line="360" w:lineRule="auto"/>
        <w:ind w:firstLine="708"/>
        <w:jc w:val="both"/>
        <w:rPr>
          <w:rFonts w:ascii="Arial Nova Light" w:eastAsia="Times New Roman" w:hAnsi="Arial Nova Light" w:cs="Arial"/>
          <w:b/>
          <w:bCs/>
          <w:sz w:val="24"/>
          <w:szCs w:val="24"/>
          <w:lang w:eastAsia="es-MX"/>
        </w:rPr>
      </w:pPr>
      <w:r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>Con fundamento en los artículos 302, 307, 308, 310, 313, fracción I, III y IV, 316,</w:t>
      </w:r>
      <w:r w:rsidR="007C016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>327,</w:t>
      </w:r>
      <w:r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 xml:space="preserve"> 354 y 360 del Código Electoral del Estado de Aguascalientes; así como el dispositivo 101 </w:t>
      </w:r>
      <w:r w:rsidR="007C016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 xml:space="preserve">y 126 </w:t>
      </w:r>
      <w:r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 xml:space="preserve">del Reglamento Interior del Tribunal Electoral del Estado de Aguascalientes; y 1, 2, 9, 10 y 11 de los </w:t>
      </w:r>
      <w:r w:rsidRPr="00BA5F87">
        <w:rPr>
          <w:rFonts w:ascii="Arial Nova Light" w:eastAsia="Times New Roman" w:hAnsi="Arial Nova Light" w:cs="Arial"/>
          <w:bCs/>
          <w:iCs/>
          <w:sz w:val="24"/>
          <w:szCs w:val="24"/>
          <w:lang w:eastAsia="es-MX"/>
        </w:rPr>
        <w:t>Lineamientos para la tramitación, sustanciación y resolución del juicio para la protección de los derechos político-electorales del ciudadano, el juicio electoral, y asunto general, competencia del Tribunal Electoral del Estado de Aguascalientes,</w:t>
      </w:r>
      <w:r w:rsidRPr="00BA5F87">
        <w:rPr>
          <w:rFonts w:ascii="Arial Nova Light" w:eastAsia="Times New Roman" w:hAnsi="Arial Nova Light" w:cs="Arial"/>
          <w:b/>
          <w:bCs/>
          <w:i/>
          <w:sz w:val="24"/>
          <w:szCs w:val="24"/>
          <w:lang w:eastAsia="es-MX"/>
        </w:rPr>
        <w:t xml:space="preserve"> </w:t>
      </w:r>
      <w:r w:rsidRPr="00BA5F87">
        <w:rPr>
          <w:rFonts w:ascii="Arial Nova Light" w:eastAsia="Times New Roman" w:hAnsi="Arial Nova Light" w:cs="Arial"/>
          <w:b/>
          <w:bCs/>
          <w:iCs/>
          <w:sz w:val="24"/>
          <w:szCs w:val="24"/>
          <w:lang w:eastAsia="es-MX"/>
        </w:rPr>
        <w:t>se</w:t>
      </w:r>
      <w:r w:rsidRPr="00BA5F87">
        <w:rPr>
          <w:rFonts w:ascii="Arial Nova Light" w:eastAsia="Times New Roman" w:hAnsi="Arial Nova Light" w:cs="Arial"/>
          <w:b/>
          <w:bCs/>
          <w:sz w:val="24"/>
          <w:szCs w:val="24"/>
          <w:lang w:eastAsia="es-MX"/>
        </w:rPr>
        <w:t xml:space="preserve"> acuerda:</w:t>
      </w:r>
    </w:p>
    <w:p w14:paraId="297F6B04" w14:textId="2CECB4CA" w:rsidR="00B40EDA" w:rsidRPr="00BA5F87" w:rsidRDefault="00B40EDA" w:rsidP="000817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 Nova Light" w:eastAsia="Times New Roman" w:hAnsi="Arial Nova Light" w:cs="Arial"/>
          <w:bCs/>
          <w:sz w:val="24"/>
          <w:szCs w:val="24"/>
          <w:lang w:eastAsia="es-MX"/>
        </w:rPr>
      </w:pPr>
      <w:r w:rsidRPr="00BA5F87">
        <w:rPr>
          <w:rFonts w:ascii="Arial Nova Light" w:eastAsia="Times New Roman" w:hAnsi="Arial Nova Light" w:cs="Arial"/>
          <w:b/>
          <w:bCs/>
          <w:sz w:val="24"/>
          <w:szCs w:val="24"/>
          <w:lang w:eastAsia="es-MX"/>
        </w:rPr>
        <w:t>Admisión.</w:t>
      </w:r>
      <w:r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 xml:space="preserve"> Visto el estado que guardan los autos, dado que el presente juicio reúne los requisitos generales y especiales competencia del Tribunal Electoral del Estado de Aguascalientes, se admite</w:t>
      </w:r>
      <w:r w:rsid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>n</w:t>
      </w:r>
      <w:r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 xml:space="preserve"> </w:t>
      </w:r>
      <w:r w:rsid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>los</w:t>
      </w:r>
      <w:r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 xml:space="preserve"> presente</w:t>
      </w:r>
      <w:r w:rsid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 xml:space="preserve">s </w:t>
      </w:r>
      <w:r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>medio</w:t>
      </w:r>
      <w:r w:rsid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>s</w:t>
      </w:r>
      <w:r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 xml:space="preserve"> de impugnación.</w:t>
      </w:r>
    </w:p>
    <w:p w14:paraId="18394B07" w14:textId="77777777" w:rsidR="00B40EDA" w:rsidRPr="00BA5F87" w:rsidRDefault="00B40EDA" w:rsidP="00081776">
      <w:pPr>
        <w:pStyle w:val="Prrafodelista"/>
        <w:spacing w:line="360" w:lineRule="auto"/>
        <w:ind w:left="1428"/>
        <w:jc w:val="both"/>
        <w:rPr>
          <w:rFonts w:ascii="Arial Nova Light" w:eastAsia="Times New Roman" w:hAnsi="Arial Nova Light" w:cs="Arial"/>
          <w:bCs/>
          <w:sz w:val="24"/>
          <w:szCs w:val="24"/>
          <w:lang w:eastAsia="es-MX"/>
        </w:rPr>
      </w:pPr>
    </w:p>
    <w:p w14:paraId="69000576" w14:textId="4F37909E" w:rsidR="00B40EDA" w:rsidRPr="00BA5F87" w:rsidRDefault="007C0167" w:rsidP="000817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 Nova Light" w:eastAsia="Times New Roman" w:hAnsi="Arial Nova Light" w:cs="Arial"/>
          <w:bCs/>
          <w:sz w:val="24"/>
          <w:szCs w:val="24"/>
          <w:lang w:eastAsia="es-MX"/>
        </w:rPr>
      </w:pPr>
      <w:r w:rsidRPr="00BA5F87">
        <w:rPr>
          <w:rFonts w:ascii="Arial Nova Light" w:eastAsia="Times New Roman" w:hAnsi="Arial Nova Light" w:cs="Arial"/>
          <w:b/>
          <w:bCs/>
          <w:sz w:val="24"/>
          <w:szCs w:val="24"/>
          <w:lang w:eastAsia="es-MX"/>
        </w:rPr>
        <w:t>Acumulación. -</w:t>
      </w:r>
      <w:r>
        <w:rPr>
          <w:rFonts w:ascii="Arial Nova Light" w:eastAsia="Times New Roman" w:hAnsi="Arial Nova Light" w:cs="Arial"/>
          <w:b/>
          <w:bCs/>
          <w:sz w:val="24"/>
          <w:szCs w:val="24"/>
          <w:lang w:eastAsia="es-MX"/>
        </w:rPr>
        <w:t xml:space="preserve"> </w:t>
      </w:r>
      <w:r>
        <w:rPr>
          <w:rFonts w:ascii="Arial Nova Light" w:eastAsia="Times New Roman" w:hAnsi="Arial Nova Light" w:cs="Arial"/>
          <w:sz w:val="24"/>
          <w:szCs w:val="24"/>
          <w:lang w:eastAsia="es-MX"/>
        </w:rPr>
        <w:t>Del análisis de</w:t>
      </w:r>
      <w:r w:rsidR="00F6717F">
        <w:rPr>
          <w:rFonts w:ascii="Arial Nova Light" w:eastAsia="Times New Roman" w:hAnsi="Arial Nova Light" w:cs="Arial"/>
          <w:sz w:val="24"/>
          <w:szCs w:val="24"/>
          <w:lang w:eastAsia="es-MX"/>
        </w:rPr>
        <w:t xml:space="preserve"> los </w:t>
      </w:r>
      <w:r>
        <w:rPr>
          <w:rFonts w:ascii="Arial Nova Light" w:eastAsia="Times New Roman" w:hAnsi="Arial Nova Light" w:cs="Arial"/>
          <w:sz w:val="24"/>
          <w:szCs w:val="24"/>
          <w:lang w:eastAsia="es-MX"/>
        </w:rPr>
        <w:t>escrito</w:t>
      </w:r>
      <w:r w:rsidR="00F6717F">
        <w:rPr>
          <w:rFonts w:ascii="Arial Nova Light" w:eastAsia="Times New Roman" w:hAnsi="Arial Nova Light" w:cs="Arial"/>
          <w:sz w:val="24"/>
          <w:szCs w:val="24"/>
          <w:lang w:eastAsia="es-MX"/>
        </w:rPr>
        <w:t>s</w:t>
      </w:r>
      <w:r>
        <w:rPr>
          <w:rFonts w:ascii="Arial Nova Light" w:eastAsia="Times New Roman" w:hAnsi="Arial Nova Light" w:cs="Arial"/>
          <w:sz w:val="24"/>
          <w:szCs w:val="24"/>
          <w:lang w:eastAsia="es-MX"/>
        </w:rPr>
        <w:t xml:space="preserve"> </w:t>
      </w:r>
      <w:proofErr w:type="gramStart"/>
      <w:r>
        <w:rPr>
          <w:rFonts w:ascii="Arial Nova Light" w:eastAsia="Times New Roman" w:hAnsi="Arial Nova Light" w:cs="Arial"/>
          <w:sz w:val="24"/>
          <w:szCs w:val="24"/>
          <w:lang w:eastAsia="es-MX"/>
        </w:rPr>
        <w:t>de  demanda</w:t>
      </w:r>
      <w:proofErr w:type="gramEnd"/>
      <w:r>
        <w:rPr>
          <w:rFonts w:ascii="Arial Nova Light" w:eastAsia="Times New Roman" w:hAnsi="Arial Nova Light" w:cs="Arial"/>
          <w:sz w:val="24"/>
          <w:szCs w:val="24"/>
          <w:lang w:eastAsia="es-MX"/>
        </w:rPr>
        <w:t xml:space="preserve">, se advierte que se combate el mismo acto y autoridad responsable, con lo que </w:t>
      </w:r>
      <w:r w:rsidRPr="007C0167">
        <w:rPr>
          <w:rFonts w:ascii="Arial Nova Light" w:eastAsia="Times New Roman" w:hAnsi="Arial Nova Light" w:cs="Arial"/>
          <w:b/>
          <w:bCs/>
          <w:sz w:val="24"/>
          <w:szCs w:val="24"/>
          <w:lang w:eastAsia="es-MX"/>
        </w:rPr>
        <w:t>el TEEA-RAP-001/2024</w:t>
      </w:r>
      <w:r>
        <w:rPr>
          <w:rFonts w:ascii="Arial Nova Light" w:eastAsia="Times New Roman" w:hAnsi="Arial Nova Light" w:cs="Arial"/>
          <w:sz w:val="24"/>
          <w:szCs w:val="24"/>
          <w:lang w:eastAsia="es-MX"/>
        </w:rPr>
        <w:t xml:space="preserve">, guarda conexidad con el expediente </w:t>
      </w:r>
      <w:r w:rsidRPr="007C0167">
        <w:rPr>
          <w:rFonts w:ascii="Arial Nova Light" w:eastAsia="Times New Roman" w:hAnsi="Arial Nova Light" w:cs="Arial"/>
          <w:b/>
          <w:bCs/>
          <w:sz w:val="24"/>
          <w:szCs w:val="24"/>
          <w:lang w:eastAsia="es-MX"/>
        </w:rPr>
        <w:t>TEEA-JDC-</w:t>
      </w:r>
      <w:r w:rsidRPr="007C0167">
        <w:rPr>
          <w:rFonts w:ascii="Arial Nova Light" w:eastAsia="Times New Roman" w:hAnsi="Arial Nova Light" w:cs="Arial"/>
          <w:b/>
          <w:bCs/>
          <w:sz w:val="24"/>
          <w:szCs w:val="24"/>
          <w:lang w:eastAsia="es-MX"/>
        </w:rPr>
        <w:lastRenderedPageBreak/>
        <w:t>001/2024</w:t>
      </w:r>
      <w:r>
        <w:rPr>
          <w:rFonts w:ascii="Arial Nova Light" w:eastAsia="Times New Roman" w:hAnsi="Arial Nova Light" w:cs="Arial"/>
          <w:sz w:val="24"/>
          <w:szCs w:val="24"/>
          <w:lang w:eastAsia="es-MX"/>
        </w:rPr>
        <w:t xml:space="preserve">, con la finalidad de que se resuelvan en </w:t>
      </w:r>
      <w:r w:rsidR="001D39D0">
        <w:rPr>
          <w:rFonts w:ascii="Arial Nova Light" w:eastAsia="Times New Roman" w:hAnsi="Arial Nova Light" w:cs="Arial"/>
          <w:sz w:val="24"/>
          <w:szCs w:val="24"/>
          <w:lang w:eastAsia="es-MX"/>
        </w:rPr>
        <w:t>una misma sentencia</w:t>
      </w:r>
      <w:r>
        <w:rPr>
          <w:rFonts w:ascii="Arial Nova Light" w:eastAsia="Times New Roman" w:hAnsi="Arial Nova Light" w:cs="Arial"/>
          <w:sz w:val="24"/>
          <w:szCs w:val="24"/>
          <w:lang w:eastAsia="es-MX"/>
        </w:rPr>
        <w:t xml:space="preserve"> las pretensiones de los </w:t>
      </w:r>
      <w:r w:rsidR="00F6717F">
        <w:rPr>
          <w:rFonts w:ascii="Arial Nova Light" w:eastAsia="Times New Roman" w:hAnsi="Arial Nova Light" w:cs="Arial"/>
          <w:sz w:val="24"/>
          <w:szCs w:val="24"/>
          <w:lang w:eastAsia="es-MX"/>
        </w:rPr>
        <w:t>promoventes</w:t>
      </w:r>
      <w:r w:rsidR="001D39D0">
        <w:rPr>
          <w:rFonts w:ascii="Arial Nova Light" w:eastAsia="Times New Roman" w:hAnsi="Arial Nova Light" w:cs="Arial"/>
          <w:sz w:val="24"/>
          <w:szCs w:val="24"/>
          <w:lang w:eastAsia="es-MX"/>
        </w:rPr>
        <w:t xml:space="preserve"> y</w:t>
      </w:r>
      <w:r>
        <w:rPr>
          <w:rFonts w:ascii="Arial Nova Light" w:eastAsia="Times New Roman" w:hAnsi="Arial Nova Light" w:cs="Arial"/>
          <w:sz w:val="24"/>
          <w:szCs w:val="24"/>
          <w:lang w:eastAsia="es-MX"/>
        </w:rPr>
        <w:t xml:space="preserve"> evitar que se dicten determinaciones contradictorias </w:t>
      </w:r>
    </w:p>
    <w:p w14:paraId="40DE695E" w14:textId="77777777" w:rsidR="00B40EDA" w:rsidRPr="00BA5F87" w:rsidRDefault="00B40EDA" w:rsidP="00081776">
      <w:pPr>
        <w:pStyle w:val="Prrafodelista"/>
        <w:spacing w:line="360" w:lineRule="auto"/>
        <w:rPr>
          <w:rFonts w:ascii="Arial Nova Light" w:eastAsia="Times New Roman" w:hAnsi="Arial Nova Light" w:cs="Arial"/>
          <w:bCs/>
          <w:sz w:val="24"/>
          <w:szCs w:val="24"/>
          <w:lang w:eastAsia="es-MX"/>
        </w:rPr>
      </w:pPr>
    </w:p>
    <w:p w14:paraId="2F7D0B66" w14:textId="173031A6" w:rsidR="00B40EDA" w:rsidRPr="00BA5F87" w:rsidRDefault="00B40EDA" w:rsidP="000817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 Nova Light" w:eastAsia="Times New Roman" w:hAnsi="Arial Nova Light" w:cs="Arial"/>
          <w:bCs/>
          <w:sz w:val="24"/>
          <w:szCs w:val="24"/>
          <w:lang w:eastAsia="es-MX"/>
        </w:rPr>
      </w:pPr>
      <w:r w:rsidRPr="00BA5F87">
        <w:rPr>
          <w:rFonts w:ascii="Arial Nova Light" w:eastAsia="Times New Roman" w:hAnsi="Arial Nova Light" w:cs="Arial"/>
          <w:b/>
          <w:bCs/>
          <w:sz w:val="24"/>
          <w:szCs w:val="24"/>
          <w:lang w:eastAsia="es-MX"/>
        </w:rPr>
        <w:t xml:space="preserve">Cierre de instrucción. </w:t>
      </w:r>
      <w:r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 xml:space="preserve">Toda vez que </w:t>
      </w:r>
      <w:r w:rsidR="007C016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>los</w:t>
      </w:r>
      <w:r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 xml:space="preserve"> expediente</w:t>
      </w:r>
      <w:r w:rsidR="007C016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>s</w:t>
      </w:r>
      <w:r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 xml:space="preserve"> en que se actúa</w:t>
      </w:r>
      <w:r w:rsidR="007C016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>n</w:t>
      </w:r>
      <w:r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 xml:space="preserve"> se encuentra</w:t>
      </w:r>
      <w:r w:rsidR="007C016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>n</w:t>
      </w:r>
      <w:r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 xml:space="preserve"> debidamente sustanciado</w:t>
      </w:r>
      <w:r w:rsidR="007C016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>s</w:t>
      </w:r>
      <w:r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 xml:space="preserve">, no existe trámite o diligencia pendiente por realizar y obren en autos todos los elementos necesarios para resolver, se </w:t>
      </w:r>
      <w:r w:rsidRPr="00BA5F87">
        <w:rPr>
          <w:rFonts w:ascii="Arial Nova Light" w:eastAsia="Times New Roman" w:hAnsi="Arial Nova Light" w:cs="Arial"/>
          <w:b/>
          <w:bCs/>
          <w:sz w:val="24"/>
          <w:szCs w:val="24"/>
          <w:lang w:eastAsia="es-MX"/>
        </w:rPr>
        <w:t>declara cerrada la instrucción</w:t>
      </w:r>
      <w:r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>; en consecuencia, procédase a formular el proyecto de sentencia correspondiente.</w:t>
      </w:r>
    </w:p>
    <w:p w14:paraId="6B2B1022" w14:textId="77777777" w:rsidR="00B40EDA" w:rsidRPr="00BA5F87" w:rsidRDefault="00B40EDA" w:rsidP="00081776">
      <w:pPr>
        <w:pStyle w:val="Prrafodelista"/>
        <w:spacing w:line="360" w:lineRule="auto"/>
        <w:rPr>
          <w:rFonts w:ascii="Arial Nova Light" w:eastAsia="Times New Roman" w:hAnsi="Arial Nova Light" w:cs="Arial"/>
          <w:bCs/>
          <w:sz w:val="24"/>
          <w:szCs w:val="24"/>
          <w:lang w:eastAsia="es-MX"/>
        </w:rPr>
      </w:pPr>
    </w:p>
    <w:p w14:paraId="6E16DE83" w14:textId="77777777" w:rsidR="00B40EDA" w:rsidRPr="00BA5F87" w:rsidRDefault="00B40EDA" w:rsidP="00081776">
      <w:pPr>
        <w:spacing w:line="360" w:lineRule="auto"/>
        <w:ind w:firstLine="708"/>
        <w:jc w:val="both"/>
        <w:rPr>
          <w:rFonts w:ascii="Arial Nova Light" w:eastAsia="Times New Roman" w:hAnsi="Arial Nova Light" w:cs="Arial"/>
          <w:b/>
          <w:bCs/>
          <w:sz w:val="24"/>
          <w:szCs w:val="24"/>
          <w:lang w:eastAsia="es-MX"/>
        </w:rPr>
      </w:pPr>
      <w:r w:rsidRPr="00BA5F87">
        <w:rPr>
          <w:rFonts w:ascii="Arial Nova Light" w:eastAsia="Times New Roman" w:hAnsi="Arial Nova Light" w:cs="Arial"/>
          <w:b/>
          <w:bCs/>
          <w:sz w:val="24"/>
          <w:szCs w:val="24"/>
          <w:lang w:eastAsia="es-MX"/>
        </w:rPr>
        <w:t>NOTIFÍQUESE</w:t>
      </w:r>
    </w:p>
    <w:p w14:paraId="7E6332A9" w14:textId="566695BB" w:rsidR="00B40EDA" w:rsidRPr="00BA5F87" w:rsidRDefault="00B40EDA" w:rsidP="00081776">
      <w:pPr>
        <w:spacing w:line="360" w:lineRule="auto"/>
        <w:ind w:firstLine="708"/>
        <w:jc w:val="both"/>
        <w:rPr>
          <w:rFonts w:ascii="Arial Nova Light" w:eastAsia="Times New Roman" w:hAnsi="Arial Nova Light" w:cs="Arial"/>
          <w:bCs/>
          <w:sz w:val="24"/>
          <w:szCs w:val="24"/>
          <w:lang w:eastAsia="es-MX"/>
        </w:rPr>
      </w:pPr>
      <w:r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>Así lo acordó el Magistrado Instructor, en presencia de</w:t>
      </w:r>
      <w:r w:rsidR="007C016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 xml:space="preserve"> la </w:t>
      </w:r>
      <w:r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>Secretari</w:t>
      </w:r>
      <w:r w:rsidR="007C016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>a</w:t>
      </w:r>
      <w:r w:rsidRPr="00BA5F87">
        <w:rPr>
          <w:rFonts w:ascii="Arial Nova Light" w:eastAsia="Times New Roman" w:hAnsi="Arial Nova Light" w:cs="Arial"/>
          <w:bCs/>
          <w:sz w:val="24"/>
          <w:szCs w:val="24"/>
          <w:lang w:eastAsia="es-MX"/>
        </w:rPr>
        <w:t xml:space="preserve"> de Estudio, quien da fe.</w:t>
      </w:r>
    </w:p>
    <w:p w14:paraId="3E9B6CF7" w14:textId="222650F6" w:rsidR="00B40EDA" w:rsidRPr="00BA5F87" w:rsidRDefault="00B40EDA" w:rsidP="00B40EDA">
      <w:pPr>
        <w:spacing w:line="360" w:lineRule="auto"/>
        <w:ind w:left="-1985" w:right="675"/>
        <w:jc w:val="both"/>
        <w:rPr>
          <w:rFonts w:ascii="Arial Nova Light" w:hAnsi="Arial Nova Light" w:cs="Arial"/>
          <w:b/>
          <w:bCs/>
          <w:i/>
          <w:sz w:val="24"/>
          <w:szCs w:val="24"/>
        </w:rPr>
      </w:pPr>
    </w:p>
    <w:p w14:paraId="6BB00509" w14:textId="7BAAA4A9" w:rsidR="00B40EDA" w:rsidRPr="00BA5F87" w:rsidRDefault="00B40EDA" w:rsidP="00B40EDA">
      <w:pPr>
        <w:spacing w:line="360" w:lineRule="auto"/>
        <w:ind w:left="-1985" w:right="675"/>
        <w:jc w:val="both"/>
        <w:rPr>
          <w:rFonts w:ascii="Arial Nova Light" w:hAnsi="Arial Nova Light" w:cs="Arial"/>
          <w:i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BA5F87" w:rsidRPr="00BA5F87" w14:paraId="58621533" w14:textId="77777777" w:rsidTr="00723CDD">
        <w:tc>
          <w:tcPr>
            <w:tcW w:w="4414" w:type="dxa"/>
          </w:tcPr>
          <w:p w14:paraId="0552E092" w14:textId="77777777" w:rsidR="00BA5F87" w:rsidRPr="00BA5F87" w:rsidRDefault="00BA5F87" w:rsidP="00723CDD">
            <w:pPr>
              <w:spacing w:line="360" w:lineRule="auto"/>
              <w:ind w:right="675"/>
              <w:jc w:val="center"/>
              <w:rPr>
                <w:rFonts w:ascii="Arial Nova Light" w:hAnsi="Arial Nova Light" w:cs="Arial"/>
                <w:b/>
                <w:bCs/>
                <w:iCs/>
              </w:rPr>
            </w:pPr>
            <w:r w:rsidRPr="00BA5F87">
              <w:rPr>
                <w:rFonts w:ascii="Arial Nova Light" w:hAnsi="Arial Nova Light" w:cs="Arial"/>
                <w:b/>
                <w:bCs/>
                <w:iCs/>
              </w:rPr>
              <w:t>MAGISTRADO EN FUNCIONES</w:t>
            </w:r>
          </w:p>
          <w:p w14:paraId="577DEFB8" w14:textId="77777777" w:rsidR="00BA5F87" w:rsidRPr="00BA5F87" w:rsidRDefault="00BA5F87" w:rsidP="00723CDD">
            <w:pPr>
              <w:spacing w:line="360" w:lineRule="auto"/>
              <w:ind w:right="675"/>
              <w:jc w:val="center"/>
              <w:rPr>
                <w:rFonts w:ascii="Arial Nova Light" w:hAnsi="Arial Nova Light" w:cs="Arial"/>
                <w:b/>
                <w:bCs/>
                <w:iCs/>
              </w:rPr>
            </w:pPr>
          </w:p>
          <w:p w14:paraId="156245E8" w14:textId="77777777" w:rsidR="00BA5F87" w:rsidRPr="00BA5F87" w:rsidRDefault="00BA5F87" w:rsidP="00723CDD">
            <w:pPr>
              <w:spacing w:line="360" w:lineRule="auto"/>
              <w:ind w:right="675"/>
              <w:jc w:val="center"/>
              <w:rPr>
                <w:rFonts w:ascii="Arial Nova Light" w:hAnsi="Arial Nova Light" w:cs="Arial"/>
                <w:b/>
                <w:bCs/>
                <w:iCs/>
              </w:rPr>
            </w:pPr>
          </w:p>
        </w:tc>
        <w:tc>
          <w:tcPr>
            <w:tcW w:w="4414" w:type="dxa"/>
          </w:tcPr>
          <w:p w14:paraId="76208382" w14:textId="77777777" w:rsidR="00BA5F87" w:rsidRPr="00BA5F87" w:rsidRDefault="00BA5F87" w:rsidP="00723CDD">
            <w:pPr>
              <w:spacing w:line="360" w:lineRule="auto"/>
              <w:ind w:right="675"/>
              <w:jc w:val="center"/>
              <w:rPr>
                <w:rFonts w:ascii="Arial Nova Light" w:hAnsi="Arial Nova Light" w:cs="Arial"/>
                <w:b/>
                <w:bCs/>
                <w:iCs/>
              </w:rPr>
            </w:pPr>
            <w:r w:rsidRPr="00BA5F87">
              <w:rPr>
                <w:rFonts w:ascii="Arial Nova Light" w:hAnsi="Arial Nova Light" w:cs="Arial"/>
                <w:b/>
                <w:bCs/>
                <w:iCs/>
              </w:rPr>
              <w:t>SECRETARIA DE ESTUDIO</w:t>
            </w:r>
          </w:p>
        </w:tc>
      </w:tr>
      <w:tr w:rsidR="00BA5F87" w:rsidRPr="00BA5F87" w14:paraId="012F1F41" w14:textId="77777777" w:rsidTr="00723CDD">
        <w:tc>
          <w:tcPr>
            <w:tcW w:w="4414" w:type="dxa"/>
          </w:tcPr>
          <w:p w14:paraId="45D432D9" w14:textId="77777777" w:rsidR="00BA5F87" w:rsidRPr="00BA5F87" w:rsidRDefault="00BA5F87" w:rsidP="00723CDD">
            <w:pPr>
              <w:spacing w:line="360" w:lineRule="auto"/>
              <w:ind w:right="675"/>
              <w:jc w:val="center"/>
              <w:rPr>
                <w:rFonts w:ascii="Arial Nova Light" w:hAnsi="Arial Nova Light" w:cs="Arial"/>
                <w:b/>
                <w:bCs/>
                <w:iCs/>
              </w:rPr>
            </w:pPr>
            <w:r w:rsidRPr="00BA5F87">
              <w:rPr>
                <w:rFonts w:ascii="Arial Nova Light" w:hAnsi="Arial Nova Light" w:cs="Arial"/>
                <w:b/>
                <w:bCs/>
                <w:iCs/>
              </w:rPr>
              <w:t>NÉSTOR ENRIQUE RIVERA LÓPEZ</w:t>
            </w:r>
          </w:p>
        </w:tc>
        <w:tc>
          <w:tcPr>
            <w:tcW w:w="4414" w:type="dxa"/>
          </w:tcPr>
          <w:p w14:paraId="78AF8931" w14:textId="77777777" w:rsidR="00BA5F87" w:rsidRPr="00BA5F87" w:rsidRDefault="00BA5F87" w:rsidP="00723CDD">
            <w:pPr>
              <w:spacing w:line="360" w:lineRule="auto"/>
              <w:ind w:right="675"/>
              <w:jc w:val="center"/>
              <w:rPr>
                <w:rFonts w:ascii="Arial Nova Light" w:hAnsi="Arial Nova Light" w:cs="Arial"/>
                <w:b/>
                <w:bCs/>
                <w:iCs/>
              </w:rPr>
            </w:pPr>
            <w:r w:rsidRPr="00BA5F87">
              <w:rPr>
                <w:rFonts w:ascii="Arial Nova Light" w:hAnsi="Arial Nova Light" w:cs="Arial"/>
                <w:b/>
                <w:bCs/>
                <w:iCs/>
              </w:rPr>
              <w:t>MARÍA DEL CARMEN RAMÍREZ ZUÑIGA</w:t>
            </w:r>
          </w:p>
        </w:tc>
      </w:tr>
    </w:tbl>
    <w:p w14:paraId="57F33CCE" w14:textId="77777777" w:rsidR="00B40EDA" w:rsidRPr="00BA5F87" w:rsidRDefault="00B40EDA" w:rsidP="00B40EDA">
      <w:pPr>
        <w:spacing w:line="360" w:lineRule="auto"/>
        <w:ind w:firstLine="708"/>
        <w:jc w:val="both"/>
        <w:rPr>
          <w:rFonts w:ascii="Arial Nova Light" w:eastAsia="Times New Roman" w:hAnsi="Arial Nova Light" w:cs="Arial"/>
          <w:bCs/>
          <w:sz w:val="24"/>
          <w:szCs w:val="24"/>
          <w:lang w:eastAsia="es-MX"/>
        </w:rPr>
      </w:pPr>
    </w:p>
    <w:p w14:paraId="29707D2F" w14:textId="77777777" w:rsidR="00B40EDA" w:rsidRPr="00BA5F87" w:rsidRDefault="00B40EDA" w:rsidP="00B40EDA">
      <w:pPr>
        <w:rPr>
          <w:rFonts w:ascii="Arial Nova Light" w:hAnsi="Arial Nova Light" w:cs="Arial"/>
          <w:sz w:val="24"/>
          <w:szCs w:val="24"/>
        </w:rPr>
      </w:pPr>
    </w:p>
    <w:p w14:paraId="5B7F3F73" w14:textId="77777777" w:rsidR="00B40EDA" w:rsidRPr="00BA5F87" w:rsidRDefault="00B40EDA" w:rsidP="00B40EDA">
      <w:pPr>
        <w:rPr>
          <w:rFonts w:ascii="Arial Nova Light" w:hAnsi="Arial Nova Light" w:cs="Arial"/>
          <w:sz w:val="24"/>
          <w:szCs w:val="24"/>
        </w:rPr>
      </w:pPr>
    </w:p>
    <w:p w14:paraId="3BB214A4" w14:textId="77777777" w:rsidR="00B40EDA" w:rsidRPr="00BA5F87" w:rsidRDefault="00B40EDA" w:rsidP="00B40EDA">
      <w:pPr>
        <w:spacing w:line="360" w:lineRule="auto"/>
        <w:ind w:firstLine="708"/>
        <w:jc w:val="both"/>
        <w:rPr>
          <w:rFonts w:ascii="Arial Nova Light" w:hAnsi="Arial Nova Light"/>
          <w:sz w:val="24"/>
          <w:szCs w:val="24"/>
        </w:rPr>
      </w:pPr>
    </w:p>
    <w:p w14:paraId="39CEA6B4" w14:textId="77777777" w:rsidR="00B40EDA" w:rsidRPr="00BA5F87" w:rsidRDefault="00B40EDA" w:rsidP="00B40EDA">
      <w:pPr>
        <w:rPr>
          <w:rFonts w:ascii="Arial Nova Light" w:hAnsi="Arial Nova Light"/>
        </w:rPr>
      </w:pPr>
    </w:p>
    <w:p w14:paraId="47DE1A09" w14:textId="77777777" w:rsidR="00B40EDA" w:rsidRPr="00BA5F87" w:rsidRDefault="00B40EDA" w:rsidP="00B40EDA">
      <w:pPr>
        <w:rPr>
          <w:rFonts w:ascii="Arial Nova Light" w:hAnsi="Arial Nova Light"/>
        </w:rPr>
      </w:pPr>
    </w:p>
    <w:p w14:paraId="2E99B286" w14:textId="77777777" w:rsidR="00B40EDA" w:rsidRPr="00BA5F87" w:rsidRDefault="00B40EDA" w:rsidP="00B40EDA">
      <w:pPr>
        <w:rPr>
          <w:rFonts w:ascii="Arial Nova Light" w:hAnsi="Arial Nova Light"/>
        </w:rPr>
      </w:pPr>
    </w:p>
    <w:p w14:paraId="59627DB1" w14:textId="77777777" w:rsidR="00B40EDA" w:rsidRPr="00BA5F87" w:rsidRDefault="00B40EDA" w:rsidP="00B40EDA">
      <w:pPr>
        <w:rPr>
          <w:rFonts w:ascii="Arial Nova Light" w:hAnsi="Arial Nova Light"/>
        </w:rPr>
      </w:pPr>
    </w:p>
    <w:p w14:paraId="327CE64A" w14:textId="77777777" w:rsidR="00B40EDA" w:rsidRPr="00BA5F87" w:rsidRDefault="00B40EDA" w:rsidP="00B40EDA">
      <w:pPr>
        <w:rPr>
          <w:rFonts w:ascii="Arial Nova Light" w:hAnsi="Arial Nova Light"/>
        </w:rPr>
      </w:pPr>
    </w:p>
    <w:p w14:paraId="7C9B6970" w14:textId="77777777" w:rsidR="00B40EDA" w:rsidRPr="00BA5F87" w:rsidRDefault="00B40EDA" w:rsidP="00B40EDA">
      <w:pPr>
        <w:rPr>
          <w:rFonts w:ascii="Arial Nova Light" w:hAnsi="Arial Nova Light"/>
        </w:rPr>
      </w:pPr>
    </w:p>
    <w:p w14:paraId="4380ADD6" w14:textId="77777777" w:rsidR="00FB489B" w:rsidRPr="00BA5F87" w:rsidRDefault="00FB489B">
      <w:pPr>
        <w:rPr>
          <w:rFonts w:ascii="Arial Nova Light" w:hAnsi="Arial Nova Light"/>
        </w:rPr>
      </w:pPr>
    </w:p>
    <w:sectPr w:rsidR="00FB489B" w:rsidRPr="00BA5F87" w:rsidSect="007C1E2C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48489" w14:textId="77777777" w:rsidR="0017763E" w:rsidRDefault="0017763E">
      <w:pPr>
        <w:spacing w:after="0" w:line="240" w:lineRule="auto"/>
      </w:pPr>
      <w:r>
        <w:separator/>
      </w:r>
    </w:p>
  </w:endnote>
  <w:endnote w:type="continuationSeparator" w:id="0">
    <w:p w14:paraId="0FA9D749" w14:textId="77777777" w:rsidR="0017763E" w:rsidRDefault="0017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603AD" w14:textId="77777777" w:rsidR="008A0F58" w:rsidRDefault="008A0F58">
    <w:pPr>
      <w:pStyle w:val="Piedepgina"/>
      <w:jc w:val="right"/>
    </w:pPr>
  </w:p>
  <w:p w14:paraId="7267F0CA" w14:textId="77777777" w:rsidR="008A0F58" w:rsidRDefault="008A0F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6ADC6" w14:textId="77777777" w:rsidR="0017763E" w:rsidRDefault="0017763E">
      <w:pPr>
        <w:spacing w:after="0" w:line="240" w:lineRule="auto"/>
      </w:pPr>
      <w:r>
        <w:separator/>
      </w:r>
    </w:p>
  </w:footnote>
  <w:footnote w:type="continuationSeparator" w:id="0">
    <w:p w14:paraId="085F6AB2" w14:textId="77777777" w:rsidR="0017763E" w:rsidRDefault="00177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F325" w14:textId="77777777" w:rsidR="008A0F58" w:rsidRDefault="00E3568A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6800642" wp14:editId="787CD39C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7CF0C5E" wp14:editId="0D1A665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60F0372" w14:textId="77777777" w:rsidR="008A0F58" w:rsidRDefault="00E3568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3452E0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7CF0C5E" id="Rectángulo 2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360F0372" w14:textId="77777777" w:rsidR="008A0F58" w:rsidRDefault="00E3568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3452E0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759E8B75" w14:textId="77777777" w:rsidR="008A0F58" w:rsidRDefault="008A0F58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5E591079" w14:textId="77777777" w:rsidR="008A0F58" w:rsidRDefault="008A0F58" w:rsidP="002C6B6D">
    <w:pPr>
      <w:pStyle w:val="Encabezado"/>
      <w:tabs>
        <w:tab w:val="left" w:pos="5103"/>
      </w:tabs>
      <w:jc w:val="right"/>
      <w:rPr>
        <w:rFonts w:ascii="Century Gothic" w:hAnsi="Century Gothic"/>
      </w:rPr>
    </w:pPr>
  </w:p>
  <w:p w14:paraId="19D9CD4C" w14:textId="77777777" w:rsidR="008A0F58" w:rsidRDefault="00E3568A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53A5A032" w14:textId="77777777" w:rsidR="008A0F58" w:rsidRPr="00A46BD3" w:rsidRDefault="00E3568A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FF71DD" w14:textId="77777777" w:rsidR="008A0F58" w:rsidRDefault="00E3568A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</w:t>
    </w:r>
    <w:r>
      <w:rPr>
        <w:rFonts w:ascii="Century Gothic" w:hAnsi="Century Gothic"/>
        <w:b/>
      </w:rPr>
      <w:t xml:space="preserve">                               </w:t>
    </w:r>
  </w:p>
  <w:p w14:paraId="49BFDAA4" w14:textId="77777777" w:rsidR="008A0F58" w:rsidRDefault="008A0F58" w:rsidP="00286141">
    <w:pPr>
      <w:pStyle w:val="Encabezado"/>
      <w:jc w:val="right"/>
      <w:rPr>
        <w:rFonts w:ascii="Century Gothic" w:hAnsi="Century Gothic"/>
      </w:rPr>
    </w:pPr>
  </w:p>
  <w:p w14:paraId="6033979F" w14:textId="77777777" w:rsidR="008A0F58" w:rsidRDefault="008A0F58" w:rsidP="00286141">
    <w:pPr>
      <w:pStyle w:val="Encabezado"/>
      <w:jc w:val="right"/>
      <w:rPr>
        <w:rFonts w:ascii="Century Gothic" w:hAnsi="Century Gothic"/>
      </w:rPr>
    </w:pPr>
  </w:p>
  <w:p w14:paraId="364CAAFE" w14:textId="77777777" w:rsidR="008A0F58" w:rsidRDefault="008A0F58" w:rsidP="00286141">
    <w:pPr>
      <w:pStyle w:val="Encabezado"/>
      <w:jc w:val="right"/>
      <w:rPr>
        <w:rFonts w:ascii="Century Gothic" w:hAnsi="Century Gothic"/>
      </w:rPr>
    </w:pPr>
  </w:p>
  <w:p w14:paraId="3648B242" w14:textId="77777777" w:rsidR="008A0F58" w:rsidRPr="00A46BD3" w:rsidRDefault="008A0F58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D2652"/>
    <w:multiLevelType w:val="hybridMultilevel"/>
    <w:tmpl w:val="5662660A"/>
    <w:lvl w:ilvl="0" w:tplc="B376436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5809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DA"/>
    <w:rsid w:val="00081776"/>
    <w:rsid w:val="001174EC"/>
    <w:rsid w:val="0017763E"/>
    <w:rsid w:val="001D39D0"/>
    <w:rsid w:val="001E47B7"/>
    <w:rsid w:val="004778BE"/>
    <w:rsid w:val="00536866"/>
    <w:rsid w:val="005445B3"/>
    <w:rsid w:val="006C7C2A"/>
    <w:rsid w:val="007C0167"/>
    <w:rsid w:val="008A0F58"/>
    <w:rsid w:val="00B40EDA"/>
    <w:rsid w:val="00B64024"/>
    <w:rsid w:val="00B71E68"/>
    <w:rsid w:val="00BA5F87"/>
    <w:rsid w:val="00BD79A3"/>
    <w:rsid w:val="00E3568A"/>
    <w:rsid w:val="00F6717F"/>
    <w:rsid w:val="00FB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BBF5D"/>
  <w15:chartTrackingRefBased/>
  <w15:docId w15:val="{E89F8968-6A5E-4B80-8ACE-7F421817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E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0E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ED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40E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ED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40EDA"/>
    <w:pPr>
      <w:ind w:left="720"/>
      <w:contextualSpacing/>
    </w:pPr>
  </w:style>
  <w:style w:type="table" w:styleId="Tablaconcuadrcula">
    <w:name w:val="Table Grid"/>
    <w:basedOn w:val="Tablanormal"/>
    <w:uiPriority w:val="39"/>
    <w:rsid w:val="00BA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Diana Flores</cp:lastModifiedBy>
  <cp:revision>4</cp:revision>
  <cp:lastPrinted>2024-03-19T04:47:00Z</cp:lastPrinted>
  <dcterms:created xsi:type="dcterms:W3CDTF">2024-03-18T20:17:00Z</dcterms:created>
  <dcterms:modified xsi:type="dcterms:W3CDTF">2024-03-19T04:47:00Z</dcterms:modified>
</cp:coreProperties>
</file>