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0CC36" w14:textId="2C982A08" w:rsidR="00AB117B" w:rsidRDefault="00000000">
      <w:pPr>
        <w:pBdr>
          <w:top w:val="nil"/>
          <w:left w:val="nil"/>
          <w:bottom w:val="nil"/>
          <w:right w:val="nil"/>
          <w:between w:val="nil"/>
        </w:pBdr>
        <w:spacing w:after="120"/>
        <w:ind w:left="4678"/>
        <w:jc w:val="both"/>
        <w:rPr>
          <w:rFonts w:ascii="Arial" w:eastAsia="Arial" w:hAnsi="Arial" w:cs="Arial"/>
          <w:b/>
          <w:color w:val="000000"/>
          <w:sz w:val="24"/>
          <w:szCs w:val="24"/>
        </w:rPr>
      </w:pPr>
      <w:bookmarkStart w:id="0" w:name="_heading=h.gjdgxs" w:colFirst="0" w:colLast="0"/>
      <w:bookmarkEnd w:id="0"/>
      <w:r>
        <w:rPr>
          <w:rFonts w:ascii="Arial" w:eastAsia="Arial" w:hAnsi="Arial" w:cs="Arial"/>
          <w:b/>
          <w:color w:val="000000"/>
          <w:sz w:val="24"/>
          <w:szCs w:val="24"/>
        </w:rPr>
        <w:t>ACUERDO</w:t>
      </w:r>
      <w:r w:rsidR="00F56AD4">
        <w:rPr>
          <w:rFonts w:ascii="Arial" w:eastAsia="Arial" w:hAnsi="Arial" w:cs="Arial"/>
          <w:b/>
          <w:color w:val="000000"/>
          <w:sz w:val="24"/>
          <w:szCs w:val="24"/>
        </w:rPr>
        <w:t xml:space="preserve"> </w:t>
      </w:r>
      <w:r>
        <w:rPr>
          <w:rFonts w:ascii="Arial" w:eastAsia="Arial" w:hAnsi="Arial" w:cs="Arial"/>
          <w:b/>
          <w:color w:val="000000"/>
          <w:sz w:val="24"/>
          <w:szCs w:val="24"/>
        </w:rPr>
        <w:t>PLENARIO DE REENCAUZAMIENTO DE VÍA.</w:t>
      </w:r>
    </w:p>
    <w:p w14:paraId="33B6E825" w14:textId="77777777" w:rsidR="00AB117B" w:rsidRDefault="00000000">
      <w:pPr>
        <w:pBdr>
          <w:top w:val="nil"/>
          <w:left w:val="nil"/>
          <w:bottom w:val="nil"/>
          <w:right w:val="nil"/>
          <w:between w:val="nil"/>
        </w:pBdr>
        <w:spacing w:after="120"/>
        <w:ind w:left="4678"/>
        <w:jc w:val="both"/>
        <w:rPr>
          <w:rFonts w:ascii="Arial" w:eastAsia="Arial" w:hAnsi="Arial" w:cs="Arial"/>
          <w:color w:val="000000"/>
          <w:sz w:val="24"/>
          <w:szCs w:val="24"/>
        </w:rPr>
      </w:pPr>
      <w:r>
        <w:rPr>
          <w:rFonts w:ascii="Arial" w:eastAsia="Arial" w:hAnsi="Arial" w:cs="Arial"/>
          <w:b/>
          <w:color w:val="000000"/>
          <w:sz w:val="24"/>
          <w:szCs w:val="24"/>
        </w:rPr>
        <w:t>EXPEDIENTES:</w:t>
      </w:r>
      <w:r>
        <w:rPr>
          <w:rFonts w:ascii="Arial" w:eastAsia="Arial" w:hAnsi="Arial" w:cs="Arial"/>
          <w:color w:val="000000"/>
          <w:sz w:val="24"/>
          <w:szCs w:val="24"/>
        </w:rPr>
        <w:t xml:space="preserve"> TEEA-RAP-003/2024.</w:t>
      </w:r>
    </w:p>
    <w:p w14:paraId="0AF49395" w14:textId="77777777" w:rsidR="00AB117B" w:rsidRDefault="00000000">
      <w:pPr>
        <w:pBdr>
          <w:top w:val="nil"/>
          <w:left w:val="nil"/>
          <w:bottom w:val="nil"/>
          <w:right w:val="nil"/>
          <w:between w:val="nil"/>
        </w:pBdr>
        <w:spacing w:after="120"/>
        <w:ind w:left="4678"/>
        <w:jc w:val="both"/>
        <w:rPr>
          <w:rFonts w:ascii="Arial" w:eastAsia="Arial" w:hAnsi="Arial" w:cs="Arial"/>
          <w:color w:val="000000"/>
          <w:sz w:val="24"/>
          <w:szCs w:val="24"/>
        </w:rPr>
      </w:pPr>
      <w:r>
        <w:rPr>
          <w:rFonts w:ascii="Arial" w:eastAsia="Arial" w:hAnsi="Arial" w:cs="Arial"/>
          <w:b/>
          <w:color w:val="000000"/>
          <w:sz w:val="24"/>
          <w:szCs w:val="24"/>
        </w:rPr>
        <w:t xml:space="preserve">RECURRENTE: </w:t>
      </w:r>
      <w:r>
        <w:rPr>
          <w:rFonts w:ascii="Arial" w:eastAsia="Arial" w:hAnsi="Arial" w:cs="Arial"/>
          <w:color w:val="000000"/>
          <w:sz w:val="24"/>
          <w:szCs w:val="24"/>
        </w:rPr>
        <w:t>GILBERTO GUTIÉRREZ LARA.</w:t>
      </w:r>
    </w:p>
    <w:p w14:paraId="63CE812F" w14:textId="77777777" w:rsidR="00AB117B" w:rsidRDefault="00000000">
      <w:pPr>
        <w:pBdr>
          <w:top w:val="nil"/>
          <w:left w:val="nil"/>
          <w:bottom w:val="nil"/>
          <w:right w:val="nil"/>
          <w:between w:val="nil"/>
        </w:pBdr>
        <w:spacing w:after="120"/>
        <w:ind w:left="4678"/>
        <w:jc w:val="both"/>
        <w:rPr>
          <w:rFonts w:ascii="Arial" w:eastAsia="Arial" w:hAnsi="Arial" w:cs="Arial"/>
          <w:color w:val="000000"/>
          <w:sz w:val="24"/>
          <w:szCs w:val="24"/>
        </w:rPr>
      </w:pPr>
      <w:r>
        <w:rPr>
          <w:rFonts w:ascii="Arial" w:eastAsia="Arial" w:hAnsi="Arial" w:cs="Arial"/>
          <w:b/>
          <w:color w:val="000000"/>
          <w:sz w:val="24"/>
          <w:szCs w:val="24"/>
        </w:rPr>
        <w:t xml:space="preserve">AUTORIDAD RESPONSABLE: </w:t>
      </w:r>
      <w:r>
        <w:rPr>
          <w:rFonts w:ascii="Arial" w:eastAsia="Arial" w:hAnsi="Arial" w:cs="Arial"/>
          <w:color w:val="000000"/>
          <w:sz w:val="24"/>
          <w:szCs w:val="24"/>
        </w:rPr>
        <w:t>CONSEJO MUNICIPAL ELECTORAL DE AGUASCALIENTES DEL INSTITUTO ESTATAL ELECTORAL.</w:t>
      </w:r>
    </w:p>
    <w:p w14:paraId="043EE1E9" w14:textId="77777777" w:rsidR="00AB117B" w:rsidRDefault="00000000">
      <w:pPr>
        <w:pBdr>
          <w:top w:val="nil"/>
          <w:left w:val="nil"/>
          <w:bottom w:val="nil"/>
          <w:right w:val="nil"/>
          <w:between w:val="nil"/>
        </w:pBdr>
        <w:spacing w:after="120"/>
        <w:ind w:left="4678"/>
        <w:jc w:val="both"/>
        <w:rPr>
          <w:rFonts w:ascii="Arial" w:eastAsia="Arial" w:hAnsi="Arial" w:cs="Arial"/>
          <w:color w:val="000000"/>
          <w:sz w:val="24"/>
          <w:szCs w:val="24"/>
        </w:rPr>
      </w:pPr>
      <w:r>
        <w:rPr>
          <w:rFonts w:ascii="Arial" w:eastAsia="Arial" w:hAnsi="Arial" w:cs="Arial"/>
          <w:b/>
          <w:color w:val="000000"/>
          <w:sz w:val="24"/>
          <w:szCs w:val="24"/>
        </w:rPr>
        <w:t xml:space="preserve">MAGISTRADA PONENTE: </w:t>
      </w:r>
      <w:r>
        <w:rPr>
          <w:rFonts w:ascii="Arial" w:eastAsia="Arial" w:hAnsi="Arial" w:cs="Arial"/>
          <w:color w:val="000000"/>
          <w:sz w:val="24"/>
          <w:szCs w:val="24"/>
        </w:rPr>
        <w:t>LAURA HORTENSIA LLAMAS HERNÁNDEZ.</w:t>
      </w:r>
    </w:p>
    <w:p w14:paraId="7B6D6874" w14:textId="6E75E197" w:rsidR="00AB117B" w:rsidRDefault="00000000">
      <w:pPr>
        <w:pBdr>
          <w:top w:val="nil"/>
          <w:left w:val="nil"/>
          <w:bottom w:val="nil"/>
          <w:right w:val="nil"/>
          <w:between w:val="nil"/>
        </w:pBdr>
        <w:spacing w:after="120"/>
        <w:ind w:left="4678"/>
        <w:jc w:val="both"/>
        <w:rPr>
          <w:rFonts w:ascii="Arial" w:eastAsia="Arial" w:hAnsi="Arial" w:cs="Arial"/>
          <w:color w:val="000000"/>
          <w:sz w:val="24"/>
          <w:szCs w:val="24"/>
        </w:rPr>
      </w:pPr>
      <w:r>
        <w:rPr>
          <w:rFonts w:ascii="Arial" w:eastAsia="Arial" w:hAnsi="Arial" w:cs="Arial"/>
          <w:b/>
          <w:color w:val="000000"/>
          <w:sz w:val="24"/>
          <w:szCs w:val="24"/>
        </w:rPr>
        <w:t>SECRETARIA</w:t>
      </w:r>
      <w:r w:rsidR="00036AC5">
        <w:rPr>
          <w:rFonts w:ascii="Arial" w:eastAsia="Arial" w:hAnsi="Arial" w:cs="Arial"/>
          <w:b/>
          <w:color w:val="000000"/>
          <w:sz w:val="24"/>
          <w:szCs w:val="24"/>
        </w:rPr>
        <w:t>:</w:t>
      </w:r>
      <w:r>
        <w:rPr>
          <w:rFonts w:ascii="Arial" w:eastAsia="Arial" w:hAnsi="Arial" w:cs="Arial"/>
          <w:b/>
          <w:color w:val="000000"/>
          <w:sz w:val="24"/>
          <w:szCs w:val="24"/>
          <w:vertAlign w:val="superscript"/>
        </w:rPr>
        <w:footnoteReference w:id="1"/>
      </w:r>
      <w:r>
        <w:rPr>
          <w:rFonts w:ascii="Arial" w:eastAsia="Arial" w:hAnsi="Arial" w:cs="Arial"/>
          <w:b/>
          <w:color w:val="000000"/>
          <w:sz w:val="24"/>
          <w:szCs w:val="24"/>
        </w:rPr>
        <w:t xml:space="preserve"> </w:t>
      </w:r>
      <w:r>
        <w:rPr>
          <w:rFonts w:ascii="Arial" w:eastAsia="Arial" w:hAnsi="Arial" w:cs="Arial"/>
          <w:color w:val="000000"/>
          <w:sz w:val="24"/>
          <w:szCs w:val="24"/>
        </w:rPr>
        <w:t>IVONNE AZUCENA ZAVALA SOTO.</w:t>
      </w:r>
    </w:p>
    <w:p w14:paraId="2F4D2EEA" w14:textId="77777777" w:rsidR="00AB117B" w:rsidRDefault="00000000">
      <w:pPr>
        <w:pBdr>
          <w:top w:val="nil"/>
          <w:left w:val="nil"/>
          <w:bottom w:val="nil"/>
          <w:right w:val="nil"/>
          <w:between w:val="nil"/>
        </w:pBdr>
        <w:spacing w:after="120"/>
        <w:ind w:left="4678"/>
        <w:jc w:val="both"/>
        <w:rPr>
          <w:rFonts w:ascii="Arial" w:eastAsia="Arial" w:hAnsi="Arial" w:cs="Arial"/>
          <w:color w:val="000000"/>
          <w:sz w:val="24"/>
          <w:szCs w:val="24"/>
        </w:rPr>
      </w:pPr>
      <w:r>
        <w:rPr>
          <w:rFonts w:ascii="Arial" w:eastAsia="Arial" w:hAnsi="Arial" w:cs="Arial"/>
          <w:b/>
          <w:color w:val="000000"/>
          <w:sz w:val="24"/>
          <w:szCs w:val="24"/>
        </w:rPr>
        <w:t>COLABORÓ:</w:t>
      </w:r>
      <w:r>
        <w:rPr>
          <w:rFonts w:ascii="Arial" w:eastAsia="Arial" w:hAnsi="Arial" w:cs="Arial"/>
          <w:color w:val="000000"/>
          <w:sz w:val="24"/>
          <w:szCs w:val="24"/>
        </w:rPr>
        <w:t xml:space="preserve"> LINDY MIROSLAVA GARCÍA ROCHA.</w:t>
      </w:r>
    </w:p>
    <w:p w14:paraId="3F0D9BC1" w14:textId="77777777" w:rsidR="00AB117B" w:rsidRDefault="00AB117B">
      <w:pPr>
        <w:pBdr>
          <w:top w:val="nil"/>
          <w:left w:val="nil"/>
          <w:bottom w:val="nil"/>
          <w:right w:val="nil"/>
          <w:between w:val="nil"/>
        </w:pBdr>
        <w:rPr>
          <w:color w:val="000000"/>
        </w:rPr>
      </w:pPr>
    </w:p>
    <w:p w14:paraId="081CFF4D" w14:textId="77777777" w:rsidR="00AB117B" w:rsidRDefault="00000000">
      <w:pPr>
        <w:pBdr>
          <w:top w:val="nil"/>
          <w:left w:val="nil"/>
          <w:bottom w:val="nil"/>
          <w:right w:val="nil"/>
          <w:between w:val="nil"/>
        </w:pBdr>
        <w:spacing w:line="360" w:lineRule="auto"/>
        <w:jc w:val="right"/>
        <w:rPr>
          <w:rFonts w:ascii="Arial" w:eastAsia="Arial" w:hAnsi="Arial" w:cs="Arial"/>
          <w:color w:val="000000"/>
          <w:sz w:val="24"/>
          <w:szCs w:val="24"/>
        </w:rPr>
      </w:pPr>
      <w:r>
        <w:rPr>
          <w:rFonts w:ascii="Arial" w:eastAsia="Arial" w:hAnsi="Arial" w:cs="Arial"/>
          <w:color w:val="000000"/>
          <w:sz w:val="24"/>
          <w:szCs w:val="24"/>
        </w:rPr>
        <w:t xml:space="preserve">Aguascalientes, Aguascalientes, a </w:t>
      </w:r>
      <w:r>
        <w:rPr>
          <w:rFonts w:ascii="Arial" w:eastAsia="Arial" w:hAnsi="Arial" w:cs="Arial"/>
          <w:sz w:val="24"/>
          <w:szCs w:val="24"/>
        </w:rPr>
        <w:t xml:space="preserve">29 </w:t>
      </w:r>
      <w:r>
        <w:rPr>
          <w:rFonts w:ascii="Arial" w:eastAsia="Arial" w:hAnsi="Arial" w:cs="Arial"/>
          <w:color w:val="000000"/>
          <w:sz w:val="24"/>
          <w:szCs w:val="24"/>
        </w:rPr>
        <w:t>de marzo de 2024.</w:t>
      </w:r>
    </w:p>
    <w:p w14:paraId="5B7AEBB0" w14:textId="77777777" w:rsidR="00AB117B" w:rsidRDefault="00AB117B">
      <w:pPr>
        <w:pBdr>
          <w:top w:val="nil"/>
          <w:left w:val="nil"/>
          <w:bottom w:val="nil"/>
          <w:right w:val="nil"/>
          <w:between w:val="nil"/>
        </w:pBdr>
        <w:rPr>
          <w:color w:val="000000"/>
        </w:rPr>
      </w:pPr>
    </w:p>
    <w:p w14:paraId="15B09A0E" w14:textId="7A4A26C3" w:rsidR="00AB117B" w:rsidRDefault="00000000">
      <w:pPr>
        <w:spacing w:after="240" w:line="360" w:lineRule="auto"/>
        <w:jc w:val="both"/>
        <w:rPr>
          <w:rFonts w:ascii="Arial" w:eastAsia="Arial" w:hAnsi="Arial" w:cs="Arial"/>
          <w:sz w:val="24"/>
          <w:szCs w:val="24"/>
        </w:rPr>
      </w:pPr>
      <w:r>
        <w:rPr>
          <w:rFonts w:ascii="Arial" w:eastAsia="Arial" w:hAnsi="Arial" w:cs="Arial"/>
          <w:b/>
          <w:sz w:val="24"/>
          <w:szCs w:val="24"/>
        </w:rPr>
        <w:t>Resolución del Tribunal Electoral</w:t>
      </w:r>
      <w:r>
        <w:rPr>
          <w:rFonts w:ascii="Arial" w:eastAsia="Arial" w:hAnsi="Arial" w:cs="Arial"/>
          <w:sz w:val="24"/>
          <w:szCs w:val="24"/>
        </w:rPr>
        <w:t xml:space="preserve"> que, </w:t>
      </w:r>
      <w:r>
        <w:rPr>
          <w:rFonts w:ascii="Arial" w:eastAsia="Arial" w:hAnsi="Arial" w:cs="Arial"/>
          <w:b/>
          <w:sz w:val="24"/>
          <w:szCs w:val="24"/>
        </w:rPr>
        <w:t>por una parte:</w:t>
      </w:r>
      <w:r>
        <w:rPr>
          <w:rFonts w:ascii="Arial" w:eastAsia="Arial" w:hAnsi="Arial" w:cs="Arial"/>
          <w:sz w:val="24"/>
          <w:szCs w:val="24"/>
        </w:rPr>
        <w:t xml:space="preserve"> </w:t>
      </w:r>
      <w:r>
        <w:rPr>
          <w:rFonts w:ascii="Arial" w:eastAsia="Arial" w:hAnsi="Arial" w:cs="Arial"/>
          <w:b/>
          <w:i/>
          <w:sz w:val="24"/>
          <w:szCs w:val="24"/>
        </w:rPr>
        <w:t xml:space="preserve">i) </w:t>
      </w:r>
      <w:r>
        <w:rPr>
          <w:rFonts w:ascii="Arial" w:eastAsia="Arial" w:hAnsi="Arial" w:cs="Arial"/>
          <w:sz w:val="24"/>
          <w:szCs w:val="24"/>
        </w:rPr>
        <w:t xml:space="preserve">determina la </w:t>
      </w:r>
      <w:r>
        <w:rPr>
          <w:rFonts w:ascii="Arial" w:eastAsia="Arial" w:hAnsi="Arial" w:cs="Arial"/>
          <w:b/>
          <w:sz w:val="24"/>
          <w:szCs w:val="24"/>
        </w:rPr>
        <w:t xml:space="preserve">improcedencia </w:t>
      </w:r>
      <w:r>
        <w:rPr>
          <w:rFonts w:ascii="Arial" w:eastAsia="Arial" w:hAnsi="Arial" w:cs="Arial"/>
          <w:sz w:val="24"/>
          <w:szCs w:val="24"/>
        </w:rPr>
        <w:t>del presente recurso de apelación, porque este Tribunal sólo puede revisar las controversias en las que se hayan agotado las instancias previas y, en el caso que nos ocupa, se advierte que el promovente controvierte un acuerdo emitido por el Consejo Municipal Electoral de Aguascalientes del Instituto Estatal Electoral del Estado de Aguascalientes, litis que debe conocerse, en primer término, por el Consejo General del Instituto Local a través del recurso de inconformidad</w:t>
      </w:r>
      <w:r w:rsidR="00CA0D86">
        <w:rPr>
          <w:rFonts w:ascii="Arial" w:eastAsia="Arial" w:hAnsi="Arial" w:cs="Arial"/>
          <w:sz w:val="24"/>
          <w:szCs w:val="24"/>
        </w:rPr>
        <w:t xml:space="preserve"> </w:t>
      </w:r>
      <w:r w:rsidRPr="00CA0D86">
        <w:rPr>
          <w:rFonts w:ascii="Arial" w:eastAsia="Arial" w:hAnsi="Arial" w:cs="Arial"/>
          <w:bCs/>
          <w:sz w:val="24"/>
          <w:szCs w:val="24"/>
        </w:rPr>
        <w:t>y</w:t>
      </w:r>
      <w:r w:rsidR="00CA0D86" w:rsidRPr="00CA0D86">
        <w:rPr>
          <w:rFonts w:ascii="Arial" w:eastAsia="Arial" w:hAnsi="Arial" w:cs="Arial"/>
          <w:bCs/>
          <w:sz w:val="24"/>
          <w:szCs w:val="24"/>
        </w:rPr>
        <w:t>,</w:t>
      </w:r>
      <w:r>
        <w:rPr>
          <w:rFonts w:ascii="Arial" w:eastAsia="Arial" w:hAnsi="Arial" w:cs="Arial"/>
          <w:b/>
          <w:sz w:val="24"/>
          <w:szCs w:val="24"/>
        </w:rPr>
        <w:t xml:space="preserve"> por otra</w:t>
      </w:r>
      <w:r w:rsidR="00CA0D86">
        <w:rPr>
          <w:rFonts w:ascii="Arial" w:eastAsia="Arial" w:hAnsi="Arial" w:cs="Arial"/>
          <w:b/>
          <w:sz w:val="24"/>
          <w:szCs w:val="24"/>
        </w:rPr>
        <w:t>;</w:t>
      </w:r>
      <w:r>
        <w:rPr>
          <w:rFonts w:ascii="Arial" w:eastAsia="Arial" w:hAnsi="Arial" w:cs="Arial"/>
          <w:b/>
          <w:i/>
          <w:sz w:val="24"/>
          <w:szCs w:val="24"/>
        </w:rPr>
        <w:t xml:space="preserve"> </w:t>
      </w:r>
      <w:proofErr w:type="spellStart"/>
      <w:r>
        <w:rPr>
          <w:rFonts w:ascii="Arial" w:eastAsia="Arial" w:hAnsi="Arial" w:cs="Arial"/>
          <w:b/>
          <w:i/>
          <w:sz w:val="24"/>
          <w:szCs w:val="24"/>
        </w:rPr>
        <w:t>ii</w:t>
      </w:r>
      <w:proofErr w:type="spellEnd"/>
      <w:r>
        <w:rPr>
          <w:rFonts w:ascii="Arial" w:eastAsia="Arial" w:hAnsi="Arial" w:cs="Arial"/>
          <w:b/>
          <w:i/>
          <w:sz w:val="24"/>
          <w:szCs w:val="24"/>
        </w:rPr>
        <w:t xml:space="preserve">) </w:t>
      </w:r>
      <w:r>
        <w:rPr>
          <w:rFonts w:ascii="Arial" w:eastAsia="Arial" w:hAnsi="Arial" w:cs="Arial"/>
          <w:b/>
          <w:sz w:val="24"/>
          <w:szCs w:val="24"/>
        </w:rPr>
        <w:t xml:space="preserve">reencauza la demanda </w:t>
      </w:r>
      <w:r>
        <w:rPr>
          <w:rFonts w:ascii="Arial" w:eastAsia="Arial" w:hAnsi="Arial" w:cs="Arial"/>
          <w:sz w:val="24"/>
          <w:szCs w:val="24"/>
        </w:rPr>
        <w:t xml:space="preserve">a la referida autoridad electoral a fin de que resuelva conforme a Derecho. </w:t>
      </w:r>
    </w:p>
    <w:p w14:paraId="3312B9C4" w14:textId="4C7669CE" w:rsidR="00AB117B" w:rsidRDefault="00742F72" w:rsidP="00CA0D86">
      <w:pPr>
        <w:keepNext/>
        <w:keepLines/>
        <w:ind w:right="532"/>
        <w:jc w:val="center"/>
        <w:rPr>
          <w:rFonts w:ascii="Arial" w:eastAsia="Arial" w:hAnsi="Arial" w:cs="Arial"/>
          <w:b/>
          <w:sz w:val="18"/>
          <w:szCs w:val="18"/>
        </w:rPr>
      </w:pPr>
      <w:r>
        <w:rPr>
          <w:rFonts w:ascii="Arial" w:eastAsia="Arial" w:hAnsi="Arial" w:cs="Arial"/>
          <w:b/>
          <w:sz w:val="18"/>
          <w:szCs w:val="18"/>
        </w:rPr>
        <w:t>ÍNDICE</w:t>
      </w:r>
    </w:p>
    <w:sdt>
      <w:sdtPr>
        <w:id w:val="1895619726"/>
        <w:docPartObj>
          <w:docPartGallery w:val="Table of Contents"/>
          <w:docPartUnique/>
        </w:docPartObj>
      </w:sdtPr>
      <w:sdtContent>
        <w:p w14:paraId="706D7442" w14:textId="77777777" w:rsidR="00AB117B" w:rsidRDefault="00000000">
          <w:pPr>
            <w:pBdr>
              <w:top w:val="nil"/>
              <w:left w:val="nil"/>
              <w:bottom w:val="nil"/>
              <w:right w:val="nil"/>
              <w:between w:val="nil"/>
            </w:pBdr>
            <w:tabs>
              <w:tab w:val="left" w:pos="440"/>
              <w:tab w:val="right" w:pos="8546"/>
            </w:tabs>
            <w:spacing w:line="276" w:lineRule="auto"/>
            <w:ind w:left="709"/>
            <w:jc w:val="both"/>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30j0zll">
            <w:r>
              <w:rPr>
                <w:rFonts w:ascii="Arial" w:eastAsia="Arial" w:hAnsi="Arial" w:cs="Arial"/>
                <w:b/>
                <w:color w:val="000000"/>
                <w:sz w:val="18"/>
                <w:szCs w:val="18"/>
              </w:rPr>
              <w:t>Glosario……………………………………………………………………………………………...……....</w:t>
            </w:r>
            <w:r w:rsidRPr="00CA0D86">
              <w:rPr>
                <w:rFonts w:ascii="Arial" w:eastAsia="Arial" w:hAnsi="Arial" w:cs="Arial"/>
                <w:bCs/>
                <w:color w:val="000000"/>
                <w:sz w:val="18"/>
                <w:szCs w:val="18"/>
              </w:rPr>
              <w:t>1</w:t>
            </w:r>
          </w:hyperlink>
        </w:p>
        <w:p w14:paraId="321202EF" w14:textId="77777777" w:rsidR="00AB117B" w:rsidRPr="00CA0D86" w:rsidRDefault="00000000">
          <w:pPr>
            <w:pBdr>
              <w:top w:val="nil"/>
              <w:left w:val="nil"/>
              <w:bottom w:val="nil"/>
              <w:right w:val="nil"/>
              <w:between w:val="nil"/>
            </w:pBdr>
            <w:tabs>
              <w:tab w:val="left" w:pos="440"/>
              <w:tab w:val="right" w:pos="8546"/>
            </w:tabs>
            <w:spacing w:line="276" w:lineRule="auto"/>
            <w:ind w:left="709"/>
            <w:jc w:val="both"/>
            <w:rPr>
              <w:rFonts w:ascii="Arial" w:eastAsia="Arial" w:hAnsi="Arial" w:cs="Arial"/>
              <w:bCs/>
              <w:color w:val="000000"/>
              <w:sz w:val="18"/>
              <w:szCs w:val="18"/>
            </w:rPr>
          </w:pPr>
          <w:r>
            <w:rPr>
              <w:rFonts w:ascii="Arial" w:eastAsia="Arial" w:hAnsi="Arial" w:cs="Arial"/>
              <w:b/>
              <w:color w:val="000000"/>
              <w:sz w:val="18"/>
              <w:szCs w:val="18"/>
            </w:rPr>
            <w:t>Antecedentes……………………………………………………………………………………...………..</w:t>
          </w:r>
          <w:r w:rsidRPr="00CA0D86">
            <w:rPr>
              <w:rFonts w:ascii="Arial" w:eastAsia="Arial" w:hAnsi="Arial" w:cs="Arial"/>
              <w:bCs/>
              <w:color w:val="000000"/>
              <w:sz w:val="18"/>
              <w:szCs w:val="18"/>
            </w:rPr>
            <w:t>2</w:t>
          </w:r>
        </w:p>
        <w:p w14:paraId="78076782" w14:textId="77777777" w:rsidR="00AB117B" w:rsidRDefault="00000000">
          <w:pPr>
            <w:jc w:val="both"/>
            <w:rPr>
              <w:rFonts w:ascii="Arial" w:eastAsia="Arial" w:hAnsi="Arial" w:cs="Arial"/>
              <w:b/>
              <w:sz w:val="18"/>
              <w:szCs w:val="18"/>
            </w:rPr>
          </w:pPr>
          <w:r>
            <w:tab/>
          </w:r>
          <w:r>
            <w:rPr>
              <w:rFonts w:ascii="Arial" w:eastAsia="Arial" w:hAnsi="Arial" w:cs="Arial"/>
              <w:b/>
              <w:sz w:val="18"/>
              <w:szCs w:val="18"/>
            </w:rPr>
            <w:t>Apartado preliminar. Actuación colegiada………………………………………………………........</w:t>
          </w:r>
          <w:r w:rsidRPr="00CA0D86">
            <w:rPr>
              <w:rFonts w:ascii="Arial" w:eastAsia="Arial" w:hAnsi="Arial" w:cs="Arial"/>
              <w:bCs/>
              <w:sz w:val="18"/>
              <w:szCs w:val="18"/>
            </w:rPr>
            <w:t>2</w:t>
          </w:r>
        </w:p>
        <w:p w14:paraId="4F1ADA84" w14:textId="77777777" w:rsidR="00AB117B" w:rsidRDefault="00000000">
          <w:pPr>
            <w:pBdr>
              <w:top w:val="nil"/>
              <w:left w:val="nil"/>
              <w:bottom w:val="nil"/>
              <w:right w:val="nil"/>
              <w:between w:val="nil"/>
            </w:pBdr>
            <w:tabs>
              <w:tab w:val="right" w:pos="8546"/>
            </w:tabs>
            <w:spacing w:line="276" w:lineRule="auto"/>
            <w:ind w:left="709" w:right="899"/>
            <w:jc w:val="both"/>
            <w:rPr>
              <w:rFonts w:ascii="Calibri" w:eastAsia="Calibri" w:hAnsi="Calibri" w:cs="Calibri"/>
              <w:b/>
              <w:color w:val="000000"/>
              <w:sz w:val="22"/>
              <w:szCs w:val="22"/>
            </w:rPr>
          </w:pPr>
          <w:r>
            <w:rPr>
              <w:rFonts w:ascii="Arial" w:eastAsia="Arial" w:hAnsi="Arial" w:cs="Arial"/>
              <w:b/>
              <w:color w:val="000000"/>
              <w:sz w:val="18"/>
              <w:szCs w:val="18"/>
            </w:rPr>
            <w:t>Apartado I. Decisión……………………………………………………………………………………….</w:t>
          </w:r>
          <w:r w:rsidRPr="00036AC5">
            <w:rPr>
              <w:rFonts w:ascii="Arial" w:eastAsia="Arial" w:hAnsi="Arial" w:cs="Arial"/>
              <w:bCs/>
              <w:color w:val="000000"/>
              <w:sz w:val="18"/>
              <w:szCs w:val="18"/>
            </w:rPr>
            <w:t>3</w:t>
          </w:r>
        </w:p>
        <w:p w14:paraId="543DD032" w14:textId="77777777" w:rsidR="00AB117B" w:rsidRDefault="00000000">
          <w:pPr>
            <w:pBdr>
              <w:top w:val="nil"/>
              <w:left w:val="nil"/>
              <w:bottom w:val="nil"/>
              <w:right w:val="nil"/>
              <w:between w:val="nil"/>
            </w:pBdr>
            <w:tabs>
              <w:tab w:val="right" w:pos="8546"/>
            </w:tabs>
            <w:spacing w:line="276" w:lineRule="auto"/>
            <w:ind w:left="709" w:right="899"/>
            <w:jc w:val="both"/>
            <w:rPr>
              <w:rFonts w:ascii="Calibri" w:eastAsia="Calibri" w:hAnsi="Calibri" w:cs="Calibri"/>
              <w:b/>
              <w:color w:val="000000"/>
              <w:sz w:val="22"/>
              <w:szCs w:val="22"/>
            </w:rPr>
          </w:pPr>
          <w:hyperlink w:anchor="_heading=h.tyjcwt">
            <w:r>
              <w:rPr>
                <w:rFonts w:ascii="Arial" w:eastAsia="Arial" w:hAnsi="Arial" w:cs="Arial"/>
                <w:b/>
                <w:color w:val="000000"/>
                <w:sz w:val="18"/>
                <w:szCs w:val="18"/>
              </w:rPr>
              <w:t>Apartado</w:t>
            </w:r>
          </w:hyperlink>
          <w:r>
            <w:rPr>
              <w:rFonts w:ascii="Arial" w:eastAsia="Arial" w:hAnsi="Arial" w:cs="Arial"/>
              <w:b/>
              <w:color w:val="000000"/>
              <w:sz w:val="18"/>
              <w:szCs w:val="18"/>
            </w:rPr>
            <w:t xml:space="preserve"> II. Justificación de la decisión de reencau</w:t>
          </w:r>
          <w:r>
            <w:rPr>
              <w:rFonts w:ascii="Arial" w:eastAsia="Arial" w:hAnsi="Arial" w:cs="Arial"/>
              <w:b/>
              <w:sz w:val="18"/>
              <w:szCs w:val="18"/>
            </w:rPr>
            <w:t>z</w:t>
          </w:r>
          <w:r>
            <w:rPr>
              <w:rFonts w:ascii="Arial" w:eastAsia="Arial" w:hAnsi="Arial" w:cs="Arial"/>
              <w:b/>
              <w:color w:val="000000"/>
              <w:sz w:val="18"/>
              <w:szCs w:val="18"/>
            </w:rPr>
            <w:t>amiento…………………………………….</w:t>
          </w:r>
          <w:r w:rsidRPr="00036AC5">
            <w:rPr>
              <w:rFonts w:ascii="Arial" w:eastAsia="Arial" w:hAnsi="Arial" w:cs="Arial"/>
              <w:bCs/>
              <w:color w:val="000000"/>
              <w:sz w:val="18"/>
              <w:szCs w:val="18"/>
            </w:rPr>
            <w:t>3</w:t>
          </w:r>
        </w:p>
        <w:p w14:paraId="6268EAA0" w14:textId="1DDBF684" w:rsidR="00AB117B" w:rsidRDefault="00000000">
          <w:pPr>
            <w:pBdr>
              <w:top w:val="nil"/>
              <w:left w:val="nil"/>
              <w:bottom w:val="nil"/>
              <w:right w:val="nil"/>
              <w:between w:val="nil"/>
            </w:pBdr>
            <w:tabs>
              <w:tab w:val="right" w:pos="9678"/>
            </w:tabs>
            <w:ind w:left="709" w:right="190"/>
            <w:jc w:val="both"/>
            <w:rPr>
              <w:rFonts w:ascii="Calibri" w:eastAsia="Calibri" w:hAnsi="Calibri" w:cs="Calibri"/>
              <w:b/>
              <w:color w:val="000000"/>
              <w:sz w:val="22"/>
              <w:szCs w:val="22"/>
            </w:rPr>
          </w:pPr>
          <w:hyperlink w:anchor="_heading=h.3dy6vkm">
            <w:r>
              <w:rPr>
                <w:rFonts w:ascii="Arial" w:eastAsia="Arial" w:hAnsi="Arial" w:cs="Arial"/>
                <w:color w:val="000000"/>
                <w:sz w:val="18"/>
                <w:szCs w:val="18"/>
              </w:rPr>
              <w:t>1. Marco jurídico sobre el derecho de acceso a una justicia pronta y expedita………….…...………</w:t>
            </w:r>
            <w:r w:rsidR="00742F72">
              <w:rPr>
                <w:rFonts w:ascii="Arial" w:eastAsia="Arial" w:hAnsi="Arial" w:cs="Arial"/>
                <w:color w:val="000000"/>
                <w:sz w:val="18"/>
                <w:szCs w:val="18"/>
              </w:rPr>
              <w:t>4</w:t>
            </w:r>
          </w:hyperlink>
        </w:p>
        <w:p w14:paraId="6DFDDB82" w14:textId="2CC2717E" w:rsidR="00AB117B" w:rsidRDefault="00000000">
          <w:pPr>
            <w:pBdr>
              <w:top w:val="nil"/>
              <w:left w:val="nil"/>
              <w:bottom w:val="nil"/>
              <w:right w:val="nil"/>
              <w:between w:val="nil"/>
            </w:pBdr>
            <w:tabs>
              <w:tab w:val="right" w:pos="9678"/>
            </w:tabs>
            <w:ind w:left="709" w:right="190"/>
            <w:jc w:val="both"/>
            <w:rPr>
              <w:rFonts w:ascii="Calibri" w:eastAsia="Calibri" w:hAnsi="Calibri" w:cs="Calibri"/>
              <w:color w:val="000000"/>
              <w:sz w:val="22"/>
              <w:szCs w:val="22"/>
            </w:rPr>
          </w:pPr>
          <w:r>
            <w:rPr>
              <w:rFonts w:ascii="Arial" w:eastAsia="Arial" w:hAnsi="Arial" w:cs="Arial"/>
              <w:color w:val="000000"/>
              <w:sz w:val="18"/>
              <w:szCs w:val="18"/>
            </w:rPr>
            <w:t>2. Caso concreto…………………………………………………………………………………….……….</w:t>
          </w:r>
          <w:r w:rsidR="00742F72">
            <w:rPr>
              <w:rFonts w:ascii="Arial" w:eastAsia="Arial" w:hAnsi="Arial" w:cs="Arial"/>
              <w:color w:val="000000"/>
              <w:sz w:val="18"/>
              <w:szCs w:val="18"/>
            </w:rPr>
            <w:t>5</w:t>
          </w:r>
        </w:p>
        <w:p w14:paraId="6FBC82B7" w14:textId="08949BCC" w:rsidR="00AB117B" w:rsidRPr="00742F72" w:rsidRDefault="00000000" w:rsidP="00742F72">
          <w:pPr>
            <w:pBdr>
              <w:top w:val="nil"/>
              <w:left w:val="nil"/>
              <w:bottom w:val="nil"/>
              <w:right w:val="nil"/>
              <w:between w:val="nil"/>
            </w:pBdr>
            <w:tabs>
              <w:tab w:val="right" w:pos="9678"/>
            </w:tabs>
            <w:ind w:left="709" w:right="190"/>
            <w:jc w:val="both"/>
            <w:rPr>
              <w:rFonts w:ascii="Arial" w:eastAsia="Arial" w:hAnsi="Arial" w:cs="Arial"/>
              <w:color w:val="000000"/>
              <w:sz w:val="18"/>
              <w:szCs w:val="18"/>
            </w:rPr>
          </w:pPr>
          <w:hyperlink w:anchor="_heading=h.2s8eyo1">
            <w:r>
              <w:rPr>
                <w:rFonts w:ascii="Arial" w:eastAsia="Arial" w:hAnsi="Arial" w:cs="Arial"/>
                <w:b/>
                <w:color w:val="000000"/>
                <w:sz w:val="18"/>
                <w:szCs w:val="18"/>
              </w:rPr>
              <w:t>3.</w:t>
            </w:r>
          </w:hyperlink>
          <w:r>
            <w:rPr>
              <w:rFonts w:ascii="Arial" w:eastAsia="Arial" w:hAnsi="Arial" w:cs="Arial"/>
              <w:color w:val="000000"/>
              <w:sz w:val="18"/>
              <w:szCs w:val="18"/>
            </w:rPr>
            <w:t xml:space="preserve"> Valoración………………………………………………………………………………………………….</w:t>
          </w:r>
          <w:r w:rsidR="00742F72">
            <w:rPr>
              <w:rFonts w:ascii="Arial" w:eastAsia="Arial" w:hAnsi="Arial" w:cs="Arial"/>
              <w:color w:val="000000"/>
              <w:sz w:val="18"/>
              <w:szCs w:val="18"/>
            </w:rPr>
            <w:t>5</w:t>
          </w:r>
        </w:p>
        <w:p w14:paraId="2DEF906E" w14:textId="0132ADC4" w:rsidR="00AB117B" w:rsidRDefault="00000000">
          <w:pPr>
            <w:pBdr>
              <w:top w:val="nil"/>
              <w:left w:val="nil"/>
              <w:bottom w:val="nil"/>
              <w:right w:val="nil"/>
              <w:between w:val="nil"/>
            </w:pBdr>
            <w:tabs>
              <w:tab w:val="left" w:pos="440"/>
              <w:tab w:val="right" w:pos="8546"/>
            </w:tabs>
            <w:ind w:left="709"/>
            <w:jc w:val="both"/>
            <w:rPr>
              <w:rFonts w:ascii="Calibri" w:eastAsia="Calibri" w:hAnsi="Calibri" w:cs="Calibri"/>
              <w:color w:val="000000"/>
              <w:sz w:val="22"/>
              <w:szCs w:val="22"/>
            </w:rPr>
          </w:pPr>
          <w:hyperlink w:anchor="_heading=h.17dp8vu">
            <w:r>
              <w:rPr>
                <w:rFonts w:ascii="Arial" w:eastAsia="Arial" w:hAnsi="Arial" w:cs="Arial"/>
                <w:b/>
                <w:color w:val="000000"/>
                <w:sz w:val="18"/>
                <w:szCs w:val="18"/>
              </w:rPr>
              <w:t>Acuerda………………………………………………………………………………………….…………...</w:t>
            </w:r>
            <w:r w:rsidR="00742F72" w:rsidRPr="00CA0D86">
              <w:rPr>
                <w:rFonts w:ascii="Arial" w:eastAsia="Arial" w:hAnsi="Arial" w:cs="Arial"/>
                <w:bCs/>
                <w:color w:val="000000"/>
                <w:sz w:val="18"/>
                <w:szCs w:val="18"/>
              </w:rPr>
              <w:t>6</w:t>
            </w:r>
          </w:hyperlink>
        </w:p>
        <w:p w14:paraId="5A849FCE" w14:textId="77777777" w:rsidR="00AB117B" w:rsidRDefault="00000000">
          <w:pPr>
            <w:tabs>
              <w:tab w:val="right" w:pos="8222"/>
              <w:tab w:val="right" w:pos="8329"/>
            </w:tabs>
            <w:ind w:right="190"/>
            <w:jc w:val="both"/>
            <w:rPr>
              <w:rFonts w:ascii="Arial" w:eastAsia="Arial" w:hAnsi="Arial" w:cs="Arial"/>
              <w:b/>
              <w:sz w:val="24"/>
              <w:szCs w:val="24"/>
            </w:rPr>
          </w:pPr>
          <w:r>
            <w:fldChar w:fldCharType="end"/>
          </w:r>
        </w:p>
      </w:sdtContent>
    </w:sdt>
    <w:p w14:paraId="2CF3857E" w14:textId="77777777" w:rsidR="00AB117B" w:rsidRDefault="00000000" w:rsidP="00CA0D86">
      <w:pPr>
        <w:pStyle w:val="Ttulo1"/>
        <w:tabs>
          <w:tab w:val="left" w:pos="284"/>
          <w:tab w:val="left" w:pos="9214"/>
        </w:tabs>
        <w:spacing w:before="0" w:after="0" w:line="240" w:lineRule="auto"/>
        <w:ind w:right="49"/>
        <w:jc w:val="center"/>
        <w:rPr>
          <w:sz w:val="18"/>
          <w:szCs w:val="18"/>
        </w:rPr>
      </w:pPr>
      <w:bookmarkStart w:id="1" w:name="_heading=h.30j0zll" w:colFirst="0" w:colLast="0"/>
      <w:bookmarkEnd w:id="1"/>
      <w:r>
        <w:rPr>
          <w:sz w:val="18"/>
          <w:szCs w:val="18"/>
        </w:rPr>
        <w:t>Glosario</w:t>
      </w:r>
    </w:p>
    <w:p w14:paraId="1554FC95" w14:textId="77777777" w:rsidR="00AB117B" w:rsidRDefault="00AB117B"/>
    <w:tbl>
      <w:tblPr>
        <w:tblStyle w:val="a"/>
        <w:tblW w:w="7513" w:type="dxa"/>
        <w:jc w:val="center"/>
        <w:tblInd w:w="0" w:type="dxa"/>
        <w:tblLayout w:type="fixed"/>
        <w:tblLook w:val="0000" w:firstRow="0" w:lastRow="0" w:firstColumn="0" w:lastColumn="0" w:noHBand="0" w:noVBand="0"/>
      </w:tblPr>
      <w:tblGrid>
        <w:gridCol w:w="2573"/>
        <w:gridCol w:w="4940"/>
      </w:tblGrid>
      <w:tr w:rsidR="00AB117B" w14:paraId="034DC77B" w14:textId="77777777">
        <w:trPr>
          <w:trHeight w:val="66"/>
          <w:jc w:val="center"/>
        </w:trPr>
        <w:tc>
          <w:tcPr>
            <w:tcW w:w="2573" w:type="dxa"/>
          </w:tcPr>
          <w:p w14:paraId="786A9061" w14:textId="77777777" w:rsidR="00AB117B" w:rsidRDefault="00000000">
            <w:pPr>
              <w:tabs>
                <w:tab w:val="left" w:pos="284"/>
                <w:tab w:val="left" w:pos="9214"/>
              </w:tabs>
              <w:ind w:right="49"/>
              <w:jc w:val="both"/>
              <w:rPr>
                <w:rFonts w:ascii="Arial" w:eastAsia="Arial" w:hAnsi="Arial" w:cs="Arial"/>
                <w:b/>
                <w:sz w:val="18"/>
                <w:szCs w:val="18"/>
              </w:rPr>
            </w:pPr>
            <w:r>
              <w:rPr>
                <w:rFonts w:ascii="Arial" w:eastAsia="Arial" w:hAnsi="Arial" w:cs="Arial"/>
                <w:b/>
                <w:sz w:val="18"/>
                <w:szCs w:val="18"/>
              </w:rPr>
              <w:t>Código Electoral:</w:t>
            </w:r>
          </w:p>
          <w:p w14:paraId="2B31D88B" w14:textId="77777777" w:rsidR="00AB117B" w:rsidRDefault="00000000">
            <w:pPr>
              <w:tabs>
                <w:tab w:val="left" w:pos="284"/>
                <w:tab w:val="left" w:pos="9214"/>
              </w:tabs>
              <w:ind w:right="49"/>
              <w:jc w:val="both"/>
              <w:rPr>
                <w:rFonts w:ascii="Arial" w:eastAsia="Arial" w:hAnsi="Arial" w:cs="Arial"/>
                <w:b/>
                <w:sz w:val="18"/>
                <w:szCs w:val="18"/>
              </w:rPr>
            </w:pPr>
            <w:r>
              <w:rPr>
                <w:rFonts w:ascii="Arial" w:eastAsia="Arial" w:hAnsi="Arial" w:cs="Arial"/>
                <w:b/>
                <w:sz w:val="18"/>
                <w:szCs w:val="18"/>
              </w:rPr>
              <w:t>Constitución General:</w:t>
            </w:r>
          </w:p>
          <w:p w14:paraId="324D175A" w14:textId="77777777" w:rsidR="00AB117B" w:rsidRDefault="00000000">
            <w:pPr>
              <w:tabs>
                <w:tab w:val="left" w:pos="284"/>
                <w:tab w:val="left" w:pos="9214"/>
              </w:tabs>
              <w:ind w:right="49"/>
              <w:jc w:val="both"/>
              <w:rPr>
                <w:rFonts w:ascii="Arial" w:eastAsia="Arial" w:hAnsi="Arial" w:cs="Arial"/>
                <w:b/>
                <w:sz w:val="18"/>
                <w:szCs w:val="18"/>
              </w:rPr>
            </w:pPr>
            <w:r>
              <w:rPr>
                <w:rFonts w:ascii="Arial" w:eastAsia="Arial" w:hAnsi="Arial" w:cs="Arial"/>
                <w:b/>
                <w:sz w:val="18"/>
                <w:szCs w:val="18"/>
              </w:rPr>
              <w:t>Consejo Municipal:</w:t>
            </w:r>
          </w:p>
          <w:p w14:paraId="52859CC7" w14:textId="77777777" w:rsidR="00AB117B" w:rsidRDefault="00AB117B">
            <w:pPr>
              <w:tabs>
                <w:tab w:val="left" w:pos="284"/>
                <w:tab w:val="left" w:pos="9214"/>
              </w:tabs>
              <w:ind w:right="49"/>
              <w:jc w:val="both"/>
              <w:rPr>
                <w:rFonts w:ascii="Arial" w:eastAsia="Arial" w:hAnsi="Arial" w:cs="Arial"/>
                <w:b/>
                <w:sz w:val="18"/>
                <w:szCs w:val="18"/>
              </w:rPr>
            </w:pPr>
          </w:p>
          <w:p w14:paraId="6ADC6A43" w14:textId="77777777" w:rsidR="00AB117B" w:rsidRDefault="00000000">
            <w:pPr>
              <w:tabs>
                <w:tab w:val="left" w:pos="284"/>
                <w:tab w:val="left" w:pos="9214"/>
              </w:tabs>
              <w:ind w:right="49"/>
              <w:jc w:val="both"/>
              <w:rPr>
                <w:rFonts w:ascii="Arial" w:eastAsia="Arial" w:hAnsi="Arial" w:cs="Arial"/>
                <w:b/>
                <w:sz w:val="18"/>
                <w:szCs w:val="18"/>
              </w:rPr>
            </w:pPr>
            <w:r>
              <w:rPr>
                <w:rFonts w:ascii="Arial" w:eastAsia="Arial" w:hAnsi="Arial" w:cs="Arial"/>
                <w:b/>
                <w:sz w:val="18"/>
                <w:szCs w:val="18"/>
              </w:rPr>
              <w:t>PVEM:</w:t>
            </w:r>
          </w:p>
          <w:p w14:paraId="24E582BB" w14:textId="77777777" w:rsidR="00AB117B" w:rsidRDefault="00000000">
            <w:pPr>
              <w:tabs>
                <w:tab w:val="left" w:pos="284"/>
                <w:tab w:val="left" w:pos="9214"/>
              </w:tabs>
              <w:ind w:right="49"/>
              <w:jc w:val="both"/>
              <w:rPr>
                <w:rFonts w:ascii="Arial" w:eastAsia="Arial" w:hAnsi="Arial" w:cs="Arial"/>
                <w:b/>
                <w:sz w:val="18"/>
                <w:szCs w:val="18"/>
              </w:rPr>
            </w:pPr>
            <w:r>
              <w:rPr>
                <w:rFonts w:ascii="Arial" w:eastAsia="Arial" w:hAnsi="Arial" w:cs="Arial"/>
                <w:b/>
                <w:sz w:val="18"/>
                <w:szCs w:val="18"/>
              </w:rPr>
              <w:t xml:space="preserve">Sala Superior: </w:t>
            </w:r>
          </w:p>
        </w:tc>
        <w:tc>
          <w:tcPr>
            <w:tcW w:w="4940" w:type="dxa"/>
          </w:tcPr>
          <w:p w14:paraId="13D4F31D" w14:textId="77777777" w:rsidR="00AB117B" w:rsidRDefault="00000000">
            <w:pPr>
              <w:tabs>
                <w:tab w:val="left" w:pos="284"/>
                <w:tab w:val="left" w:pos="9214"/>
              </w:tabs>
              <w:ind w:right="49"/>
              <w:jc w:val="both"/>
              <w:rPr>
                <w:rFonts w:ascii="Arial" w:eastAsia="Arial" w:hAnsi="Arial" w:cs="Arial"/>
                <w:sz w:val="18"/>
                <w:szCs w:val="18"/>
              </w:rPr>
            </w:pPr>
            <w:r>
              <w:rPr>
                <w:rFonts w:ascii="Arial" w:eastAsia="Arial" w:hAnsi="Arial" w:cs="Arial"/>
                <w:sz w:val="18"/>
                <w:szCs w:val="18"/>
              </w:rPr>
              <w:t>Código Electoral del Estado de Aguascalientes.</w:t>
            </w:r>
          </w:p>
          <w:p w14:paraId="6B7F5555" w14:textId="77777777" w:rsidR="00AB117B" w:rsidRDefault="00000000">
            <w:pPr>
              <w:tabs>
                <w:tab w:val="left" w:pos="284"/>
                <w:tab w:val="left" w:pos="9214"/>
              </w:tabs>
              <w:ind w:right="49"/>
              <w:jc w:val="both"/>
              <w:rPr>
                <w:rFonts w:ascii="Arial" w:eastAsia="Arial" w:hAnsi="Arial" w:cs="Arial"/>
                <w:sz w:val="18"/>
                <w:szCs w:val="18"/>
              </w:rPr>
            </w:pPr>
            <w:r>
              <w:rPr>
                <w:rFonts w:ascii="Arial" w:eastAsia="Arial" w:hAnsi="Arial" w:cs="Arial"/>
                <w:sz w:val="18"/>
                <w:szCs w:val="18"/>
              </w:rPr>
              <w:t>Constitución Política de los Estados Unidos Mexicanos.</w:t>
            </w:r>
          </w:p>
          <w:p w14:paraId="0EF987C2" w14:textId="77777777" w:rsidR="00AB117B" w:rsidRDefault="00000000">
            <w:pPr>
              <w:tabs>
                <w:tab w:val="left" w:pos="284"/>
                <w:tab w:val="left" w:pos="9214"/>
              </w:tabs>
              <w:ind w:right="49"/>
              <w:jc w:val="both"/>
              <w:rPr>
                <w:rFonts w:ascii="Arial" w:eastAsia="Arial" w:hAnsi="Arial" w:cs="Arial"/>
                <w:sz w:val="18"/>
                <w:szCs w:val="18"/>
              </w:rPr>
            </w:pPr>
            <w:r>
              <w:rPr>
                <w:rFonts w:ascii="Arial" w:eastAsia="Arial" w:hAnsi="Arial" w:cs="Arial"/>
                <w:sz w:val="18"/>
                <w:szCs w:val="18"/>
              </w:rPr>
              <w:t>Consejo Municipal Electoral de Aguascalientes del Instituto Estatal Electoral.</w:t>
            </w:r>
          </w:p>
          <w:p w14:paraId="15D9C3EB" w14:textId="77777777" w:rsidR="00AB117B" w:rsidRDefault="00000000">
            <w:pPr>
              <w:tabs>
                <w:tab w:val="left" w:pos="284"/>
                <w:tab w:val="left" w:pos="9214"/>
              </w:tabs>
              <w:ind w:right="49"/>
              <w:jc w:val="both"/>
              <w:rPr>
                <w:rFonts w:ascii="Arial" w:eastAsia="Arial" w:hAnsi="Arial" w:cs="Arial"/>
                <w:sz w:val="18"/>
                <w:szCs w:val="18"/>
              </w:rPr>
            </w:pPr>
            <w:r>
              <w:rPr>
                <w:rFonts w:ascii="Arial" w:eastAsia="Arial" w:hAnsi="Arial" w:cs="Arial"/>
                <w:sz w:val="18"/>
                <w:szCs w:val="18"/>
              </w:rPr>
              <w:t xml:space="preserve">Partido Verde Ecologista de México. </w:t>
            </w:r>
          </w:p>
          <w:p w14:paraId="5E3DC8D0" w14:textId="77777777" w:rsidR="00AB117B" w:rsidRDefault="00000000">
            <w:pPr>
              <w:tabs>
                <w:tab w:val="left" w:pos="284"/>
                <w:tab w:val="left" w:pos="9214"/>
              </w:tabs>
              <w:ind w:right="49"/>
              <w:jc w:val="both"/>
              <w:rPr>
                <w:rFonts w:ascii="Arial" w:eastAsia="Arial" w:hAnsi="Arial" w:cs="Arial"/>
                <w:sz w:val="18"/>
                <w:szCs w:val="18"/>
              </w:rPr>
            </w:pPr>
            <w:r>
              <w:rPr>
                <w:rFonts w:ascii="Arial" w:eastAsia="Arial" w:hAnsi="Arial" w:cs="Arial"/>
                <w:sz w:val="18"/>
                <w:szCs w:val="18"/>
              </w:rPr>
              <w:t xml:space="preserve">Sala Superior del Tribunal Electoral del Poder Judicial de la Federación. </w:t>
            </w:r>
          </w:p>
        </w:tc>
      </w:tr>
    </w:tbl>
    <w:p w14:paraId="6452272B" w14:textId="77777777" w:rsidR="00742F72" w:rsidRPr="00CA0D86" w:rsidRDefault="00742F72" w:rsidP="00742F72">
      <w:pPr>
        <w:pStyle w:val="Ttulo1"/>
        <w:spacing w:before="0" w:after="240" w:afterAutospacing="0"/>
        <w:jc w:val="left"/>
        <w:rPr>
          <w:sz w:val="2"/>
          <w:szCs w:val="2"/>
        </w:rPr>
      </w:pPr>
      <w:bookmarkStart w:id="2" w:name="_heading=h.1fob9te" w:colFirst="0" w:colLast="0"/>
      <w:bookmarkEnd w:id="2"/>
    </w:p>
    <w:p w14:paraId="7A1F18F3" w14:textId="77777777" w:rsidR="00F56AD4" w:rsidRDefault="00F56AD4" w:rsidP="00742F72">
      <w:pPr>
        <w:pBdr>
          <w:top w:val="nil"/>
          <w:left w:val="nil"/>
          <w:bottom w:val="nil"/>
          <w:right w:val="nil"/>
          <w:between w:val="nil"/>
        </w:pBdr>
        <w:tabs>
          <w:tab w:val="left" w:pos="284"/>
        </w:tabs>
        <w:spacing w:after="240" w:line="360" w:lineRule="auto"/>
        <w:jc w:val="both"/>
        <w:rPr>
          <w:rFonts w:ascii="Arial" w:eastAsia="Arial" w:hAnsi="Arial" w:cs="Arial"/>
          <w:b/>
          <w:color w:val="000000"/>
          <w:sz w:val="24"/>
          <w:szCs w:val="24"/>
        </w:rPr>
      </w:pPr>
    </w:p>
    <w:p w14:paraId="392B8E8D" w14:textId="386A7E98" w:rsidR="00F56AD4" w:rsidRDefault="00F56AD4" w:rsidP="00742F72">
      <w:pPr>
        <w:pBdr>
          <w:top w:val="nil"/>
          <w:left w:val="nil"/>
          <w:bottom w:val="nil"/>
          <w:right w:val="nil"/>
          <w:between w:val="nil"/>
        </w:pBdr>
        <w:tabs>
          <w:tab w:val="left" w:pos="284"/>
        </w:tabs>
        <w:spacing w:after="240"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I. Antecedentes</w:t>
      </w:r>
      <w:r w:rsidRPr="00F56AD4">
        <w:rPr>
          <w:rFonts w:ascii="Arial" w:hAnsi="Arial" w:cs="Arial"/>
          <w:vertAlign w:val="superscript"/>
        </w:rPr>
        <w:footnoteReference w:id="2"/>
      </w:r>
    </w:p>
    <w:p w14:paraId="0A890B4F" w14:textId="30FCC066" w:rsidR="00AB117B" w:rsidRPr="00742F72" w:rsidRDefault="00000000" w:rsidP="00742F72">
      <w:pPr>
        <w:pBdr>
          <w:top w:val="nil"/>
          <w:left w:val="nil"/>
          <w:bottom w:val="nil"/>
          <w:right w:val="nil"/>
          <w:between w:val="nil"/>
        </w:pBdr>
        <w:tabs>
          <w:tab w:val="left" w:pos="284"/>
        </w:tabs>
        <w:spacing w:after="240" w:line="360" w:lineRule="auto"/>
        <w:jc w:val="both"/>
        <w:rPr>
          <w:rFonts w:ascii="Arial" w:eastAsia="Arial" w:hAnsi="Arial" w:cs="Arial"/>
          <w:color w:val="000000"/>
          <w:sz w:val="24"/>
          <w:szCs w:val="24"/>
        </w:rPr>
      </w:pPr>
      <w:r>
        <w:rPr>
          <w:rFonts w:ascii="Arial" w:eastAsia="Arial" w:hAnsi="Arial" w:cs="Arial"/>
          <w:b/>
          <w:color w:val="000000"/>
          <w:sz w:val="24"/>
          <w:szCs w:val="24"/>
        </w:rPr>
        <w:t>1. Presentación d</w:t>
      </w:r>
      <w:r w:rsidR="00036AC5">
        <w:rPr>
          <w:rFonts w:ascii="Arial" w:eastAsia="Arial" w:hAnsi="Arial" w:cs="Arial"/>
          <w:b/>
          <w:color w:val="000000"/>
          <w:sz w:val="24"/>
          <w:szCs w:val="24"/>
        </w:rPr>
        <w:t>el</w:t>
      </w:r>
      <w:r>
        <w:rPr>
          <w:rFonts w:ascii="Arial" w:eastAsia="Arial" w:hAnsi="Arial" w:cs="Arial"/>
          <w:b/>
          <w:color w:val="000000"/>
          <w:sz w:val="24"/>
          <w:szCs w:val="24"/>
        </w:rPr>
        <w:t xml:space="preserve"> escrito de demanda. </w:t>
      </w:r>
      <w:r>
        <w:rPr>
          <w:rFonts w:ascii="Arial" w:eastAsia="Arial" w:hAnsi="Arial" w:cs="Arial"/>
          <w:color w:val="000000"/>
          <w:sz w:val="24"/>
          <w:szCs w:val="24"/>
        </w:rPr>
        <w:t xml:space="preserve">El 29 de marzo, el ciudadano Gilberto Gutiérrez Lara, en su carácter de </w:t>
      </w:r>
      <w:proofErr w:type="gramStart"/>
      <w:r>
        <w:rPr>
          <w:rFonts w:ascii="Arial" w:eastAsia="Arial" w:hAnsi="Arial" w:cs="Arial"/>
          <w:sz w:val="24"/>
          <w:szCs w:val="24"/>
        </w:rPr>
        <w:t>P</w:t>
      </w:r>
      <w:r>
        <w:rPr>
          <w:rFonts w:ascii="Arial" w:eastAsia="Arial" w:hAnsi="Arial" w:cs="Arial"/>
          <w:color w:val="000000"/>
          <w:sz w:val="24"/>
          <w:szCs w:val="24"/>
        </w:rPr>
        <w:t>residente</w:t>
      </w:r>
      <w:proofErr w:type="gramEnd"/>
      <w:r>
        <w:rPr>
          <w:rFonts w:ascii="Arial" w:eastAsia="Arial" w:hAnsi="Arial" w:cs="Arial"/>
          <w:color w:val="000000"/>
          <w:sz w:val="24"/>
          <w:szCs w:val="24"/>
        </w:rPr>
        <w:t xml:space="preserve"> del Comité Directivo </w:t>
      </w:r>
      <w:r>
        <w:rPr>
          <w:rFonts w:ascii="Arial" w:eastAsia="Arial" w:hAnsi="Arial" w:cs="Arial"/>
          <w:sz w:val="24"/>
          <w:szCs w:val="24"/>
        </w:rPr>
        <w:t>E</w:t>
      </w:r>
      <w:r>
        <w:rPr>
          <w:rFonts w:ascii="Arial" w:eastAsia="Arial" w:hAnsi="Arial" w:cs="Arial"/>
          <w:color w:val="000000"/>
          <w:sz w:val="24"/>
          <w:szCs w:val="24"/>
        </w:rPr>
        <w:t xml:space="preserve">statal de Morena, </w:t>
      </w:r>
      <w:r>
        <w:rPr>
          <w:rFonts w:ascii="Arial" w:eastAsia="Arial" w:hAnsi="Arial" w:cs="Arial"/>
          <w:sz w:val="24"/>
          <w:szCs w:val="24"/>
        </w:rPr>
        <w:t>impugnó la resolución</w:t>
      </w:r>
      <w:r>
        <w:rPr>
          <w:rFonts w:ascii="Arial" w:eastAsia="Arial" w:hAnsi="Arial" w:cs="Arial"/>
          <w:color w:val="000000"/>
          <w:sz w:val="24"/>
          <w:szCs w:val="24"/>
        </w:rPr>
        <w:t xml:space="preserve"> (CME-AGS-R-04/24) emitid</w:t>
      </w:r>
      <w:r>
        <w:rPr>
          <w:rFonts w:ascii="Arial" w:eastAsia="Arial" w:hAnsi="Arial" w:cs="Arial"/>
          <w:sz w:val="24"/>
          <w:szCs w:val="24"/>
        </w:rPr>
        <w:t>a</w:t>
      </w:r>
      <w:r>
        <w:rPr>
          <w:rFonts w:ascii="Arial" w:eastAsia="Arial" w:hAnsi="Arial" w:cs="Arial"/>
          <w:color w:val="000000"/>
          <w:sz w:val="24"/>
          <w:szCs w:val="24"/>
        </w:rPr>
        <w:t xml:space="preserve"> por el Consejo Municipal Electoral de Aguascalientes del Instituto Estatal Electoral de </w:t>
      </w:r>
      <w:r>
        <w:rPr>
          <w:rFonts w:ascii="Arial" w:eastAsia="Arial" w:hAnsi="Arial" w:cs="Arial"/>
          <w:sz w:val="24"/>
          <w:szCs w:val="24"/>
        </w:rPr>
        <w:t>Aguascalientes</w:t>
      </w:r>
      <w:r>
        <w:rPr>
          <w:rFonts w:ascii="Arial" w:eastAsia="Arial" w:hAnsi="Arial" w:cs="Arial"/>
          <w:color w:val="000000"/>
          <w:sz w:val="24"/>
          <w:szCs w:val="24"/>
        </w:rPr>
        <w:t xml:space="preserve">, en el cual se atendió el registro de solicitudes relativas a las candidaturas de la </w:t>
      </w:r>
      <w:r>
        <w:rPr>
          <w:rFonts w:ascii="Arial" w:eastAsia="Arial" w:hAnsi="Arial" w:cs="Arial"/>
          <w:sz w:val="24"/>
          <w:szCs w:val="24"/>
        </w:rPr>
        <w:t>pl</w:t>
      </w:r>
      <w:r>
        <w:rPr>
          <w:rFonts w:ascii="Arial" w:eastAsia="Arial" w:hAnsi="Arial" w:cs="Arial"/>
          <w:color w:val="000000"/>
          <w:sz w:val="24"/>
          <w:szCs w:val="24"/>
        </w:rPr>
        <w:t xml:space="preserve">anilla del </w:t>
      </w:r>
      <w:r>
        <w:rPr>
          <w:rFonts w:ascii="Arial" w:eastAsia="Arial" w:hAnsi="Arial" w:cs="Arial"/>
          <w:sz w:val="24"/>
          <w:szCs w:val="24"/>
        </w:rPr>
        <w:t>referido</w:t>
      </w:r>
      <w:r>
        <w:rPr>
          <w:rFonts w:ascii="Arial" w:eastAsia="Arial" w:hAnsi="Arial" w:cs="Arial"/>
          <w:color w:val="000000"/>
          <w:sz w:val="24"/>
          <w:szCs w:val="24"/>
        </w:rPr>
        <w:t xml:space="preserve"> Ayuntamiento por el principio de mayoría relativa, presentada por el </w:t>
      </w:r>
      <w:r>
        <w:rPr>
          <w:rFonts w:ascii="Arial" w:eastAsia="Arial" w:hAnsi="Arial" w:cs="Arial"/>
          <w:sz w:val="24"/>
          <w:szCs w:val="24"/>
        </w:rPr>
        <w:t>PVEM</w:t>
      </w:r>
      <w:r>
        <w:rPr>
          <w:rFonts w:ascii="Arial" w:eastAsia="Arial" w:hAnsi="Arial" w:cs="Arial"/>
          <w:color w:val="000000"/>
          <w:sz w:val="24"/>
          <w:szCs w:val="24"/>
        </w:rPr>
        <w:t xml:space="preserve">. </w:t>
      </w:r>
    </w:p>
    <w:p w14:paraId="325A8CD5" w14:textId="7756D574" w:rsidR="00AB117B" w:rsidRPr="00742F72" w:rsidRDefault="00000000" w:rsidP="00742F72">
      <w:pPr>
        <w:pBdr>
          <w:top w:val="nil"/>
          <w:left w:val="nil"/>
          <w:bottom w:val="nil"/>
          <w:right w:val="nil"/>
          <w:between w:val="nil"/>
        </w:pBdr>
        <w:tabs>
          <w:tab w:val="left" w:pos="284"/>
        </w:tabs>
        <w:spacing w:after="240" w:line="360" w:lineRule="auto"/>
        <w:jc w:val="both"/>
        <w:rPr>
          <w:rFonts w:ascii="Arial" w:eastAsia="Arial" w:hAnsi="Arial" w:cs="Arial"/>
          <w:color w:val="000000"/>
          <w:sz w:val="24"/>
          <w:szCs w:val="24"/>
        </w:rPr>
      </w:pPr>
      <w:r>
        <w:rPr>
          <w:rFonts w:ascii="Arial" w:eastAsia="Arial" w:hAnsi="Arial" w:cs="Arial"/>
          <w:color w:val="000000"/>
          <w:sz w:val="24"/>
          <w:szCs w:val="24"/>
        </w:rPr>
        <w:t>Ello, al considerar, esencialmente, que el Consejo Municipal, no respetó la obligación en materia de cuotas exigidas por la autoridad administrativa, dado que, no se postuló la candidatura con identidad indígena, ni se cumplió con la fórmula de discapacidad y con ello, vulneró los principios de legalidad</w:t>
      </w:r>
      <w:r>
        <w:rPr>
          <w:rFonts w:ascii="Arial" w:eastAsia="Arial" w:hAnsi="Arial" w:cs="Arial"/>
          <w:sz w:val="24"/>
          <w:szCs w:val="24"/>
        </w:rPr>
        <w:t xml:space="preserve"> y </w:t>
      </w:r>
      <w:r>
        <w:rPr>
          <w:rFonts w:ascii="Arial" w:eastAsia="Arial" w:hAnsi="Arial" w:cs="Arial"/>
          <w:color w:val="000000"/>
          <w:sz w:val="24"/>
          <w:szCs w:val="24"/>
        </w:rPr>
        <w:t xml:space="preserve">equidad en la contienda, ya que </w:t>
      </w:r>
      <w:r>
        <w:rPr>
          <w:rFonts w:ascii="Arial" w:eastAsia="Arial" w:hAnsi="Arial" w:cs="Arial"/>
          <w:sz w:val="24"/>
          <w:szCs w:val="24"/>
        </w:rPr>
        <w:t>la autoridad responsable</w:t>
      </w:r>
      <w:r>
        <w:rPr>
          <w:rFonts w:ascii="Arial" w:eastAsia="Arial" w:hAnsi="Arial" w:cs="Arial"/>
          <w:color w:val="000000"/>
          <w:sz w:val="24"/>
          <w:szCs w:val="24"/>
        </w:rPr>
        <w:t xml:space="preserve"> eximió al PVEM en el cumplimiento de </w:t>
      </w:r>
      <w:r>
        <w:rPr>
          <w:rFonts w:ascii="Arial" w:eastAsia="Arial" w:hAnsi="Arial" w:cs="Arial"/>
          <w:sz w:val="24"/>
          <w:szCs w:val="24"/>
        </w:rPr>
        <w:t xml:space="preserve">tales </w:t>
      </w:r>
      <w:r>
        <w:rPr>
          <w:rFonts w:ascii="Arial" w:eastAsia="Arial" w:hAnsi="Arial" w:cs="Arial"/>
          <w:color w:val="000000"/>
          <w:sz w:val="24"/>
          <w:szCs w:val="24"/>
        </w:rPr>
        <w:t xml:space="preserve">requisitos. </w:t>
      </w:r>
    </w:p>
    <w:p w14:paraId="72F43694" w14:textId="76AB4660" w:rsidR="00AB117B" w:rsidRPr="00742F72" w:rsidRDefault="00000000" w:rsidP="00742F72">
      <w:pPr>
        <w:widowControl w:val="0"/>
        <w:tabs>
          <w:tab w:val="left" w:pos="426"/>
        </w:tabs>
        <w:spacing w:after="240" w:line="360" w:lineRule="auto"/>
        <w:jc w:val="both"/>
        <w:rPr>
          <w:rFonts w:ascii="Arial" w:eastAsia="Arial" w:hAnsi="Arial" w:cs="Arial"/>
          <w:sz w:val="24"/>
          <w:szCs w:val="24"/>
        </w:rPr>
      </w:pPr>
      <w:r>
        <w:rPr>
          <w:rFonts w:ascii="Arial" w:eastAsia="Arial" w:hAnsi="Arial" w:cs="Arial"/>
          <w:b/>
          <w:sz w:val="24"/>
          <w:szCs w:val="24"/>
        </w:rPr>
        <w:t>2. Recurso de apelación.</w:t>
      </w:r>
      <w:r>
        <w:rPr>
          <w:rFonts w:ascii="Arial" w:eastAsia="Arial" w:hAnsi="Arial" w:cs="Arial"/>
          <w:sz w:val="24"/>
          <w:szCs w:val="24"/>
        </w:rPr>
        <w:t xml:space="preserve"> El mismo día, se registró tal escrito con el número de expediente TEEA-RAP-003/2024, mismo que fue turnado a la Ponencia de la Magistrada Laura Hortensia Llamas Hernández, quien en su oportunidad los radicó. </w:t>
      </w:r>
    </w:p>
    <w:p w14:paraId="048EFA16" w14:textId="6900991F" w:rsidR="00AB117B" w:rsidRPr="00742F72" w:rsidRDefault="00000000" w:rsidP="00742F72">
      <w:pPr>
        <w:pBdr>
          <w:top w:val="nil"/>
          <w:left w:val="nil"/>
          <w:bottom w:val="nil"/>
          <w:right w:val="nil"/>
          <w:between w:val="nil"/>
        </w:pBdr>
        <w:spacing w:after="240"/>
        <w:rPr>
          <w:rFonts w:ascii="Arial" w:eastAsia="Arial" w:hAnsi="Arial" w:cs="Arial"/>
          <w:b/>
          <w:color w:val="000000"/>
          <w:sz w:val="24"/>
          <w:szCs w:val="24"/>
        </w:rPr>
      </w:pPr>
      <w:r>
        <w:rPr>
          <w:rFonts w:ascii="Arial" w:eastAsia="Arial" w:hAnsi="Arial" w:cs="Arial"/>
          <w:b/>
          <w:color w:val="000000"/>
          <w:sz w:val="24"/>
          <w:szCs w:val="24"/>
          <w:u w:val="single"/>
        </w:rPr>
        <w:t>Apartado preliminar.</w:t>
      </w:r>
      <w:r>
        <w:rPr>
          <w:rFonts w:ascii="Arial" w:eastAsia="Arial" w:hAnsi="Arial" w:cs="Arial"/>
          <w:b/>
          <w:color w:val="000000"/>
          <w:sz w:val="24"/>
          <w:szCs w:val="24"/>
        </w:rPr>
        <w:t xml:space="preserve"> Actuación colegiada </w:t>
      </w:r>
    </w:p>
    <w:p w14:paraId="79FE4A5B" w14:textId="4F9748D0" w:rsidR="00AB117B" w:rsidRPr="00742F72" w:rsidRDefault="00000000" w:rsidP="00742F72">
      <w:pPr>
        <w:pBdr>
          <w:top w:val="nil"/>
          <w:left w:val="nil"/>
          <w:bottom w:val="nil"/>
          <w:right w:val="nil"/>
          <w:between w:val="nil"/>
        </w:pBdr>
        <w:spacing w:after="240" w:line="360" w:lineRule="auto"/>
        <w:jc w:val="both"/>
        <w:rPr>
          <w:rFonts w:ascii="Arial" w:eastAsia="Arial" w:hAnsi="Arial" w:cs="Arial"/>
          <w:i/>
          <w:color w:val="000000"/>
          <w:sz w:val="24"/>
          <w:szCs w:val="24"/>
        </w:rPr>
      </w:pPr>
      <w:r>
        <w:rPr>
          <w:rFonts w:ascii="Arial" w:eastAsia="Arial" w:hAnsi="Arial" w:cs="Arial"/>
          <w:color w:val="000000"/>
          <w:sz w:val="24"/>
          <w:szCs w:val="24"/>
        </w:rPr>
        <w:t>La materia del presente acuerdo plenario corresponde al conocimiento del Pleno de este Tribunal Electoral, ya que se encuentra relacionada con la modificación en la sustanciación del medio de impugnación, en términos de la jurisprudencia 11/99, de rubro: “</w:t>
      </w:r>
      <w:r>
        <w:rPr>
          <w:rFonts w:ascii="Arial" w:eastAsia="Arial" w:hAnsi="Arial" w:cs="Arial"/>
          <w:i/>
          <w:color w:val="000000"/>
          <w:sz w:val="24"/>
          <w:szCs w:val="24"/>
        </w:rPr>
        <w:t>MEDIOS DE IMPUGNACIÓN. LAS RESOLUCIONES O ACTUACIONES QUE IMPLIQUEN UNA MODIFICACIÓN EN LA SUSTANCIACIÓN DEL PROCEDIMIENTO ORDINARIO, SON COMPETENCIA DE LA SALA SUPERIOR Y NO DEL MAGISTRADO INSTRUCTOR”</w:t>
      </w:r>
      <w:r>
        <w:rPr>
          <w:rFonts w:ascii="Arial" w:eastAsia="Arial" w:hAnsi="Arial" w:cs="Arial"/>
          <w:i/>
          <w:color w:val="000000"/>
          <w:sz w:val="24"/>
          <w:szCs w:val="24"/>
          <w:vertAlign w:val="superscript"/>
        </w:rPr>
        <w:footnoteReference w:id="3"/>
      </w:r>
      <w:r>
        <w:rPr>
          <w:rFonts w:ascii="Arial" w:eastAsia="Arial" w:hAnsi="Arial" w:cs="Arial"/>
          <w:i/>
          <w:color w:val="000000"/>
          <w:sz w:val="24"/>
          <w:szCs w:val="24"/>
        </w:rPr>
        <w:t>.</w:t>
      </w:r>
    </w:p>
    <w:p w14:paraId="31538C87" w14:textId="6A0F4B58" w:rsidR="00742F72" w:rsidRPr="00742F72" w:rsidRDefault="00000000" w:rsidP="00742F72">
      <w:pPr>
        <w:pBdr>
          <w:top w:val="nil"/>
          <w:left w:val="nil"/>
          <w:bottom w:val="nil"/>
          <w:right w:val="nil"/>
          <w:between w:val="nil"/>
        </w:pBdr>
        <w:spacing w:after="240" w:line="360" w:lineRule="auto"/>
        <w:jc w:val="both"/>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 xml:space="preserve">Lo anterior, porque en el presente asunto se trata de determinar cuál es la vía idónea en la que debe sustanciarse la demanda presentada por </w:t>
      </w:r>
      <w:r>
        <w:rPr>
          <w:rFonts w:ascii="Arial" w:eastAsia="Arial" w:hAnsi="Arial" w:cs="Arial"/>
          <w:sz w:val="24"/>
          <w:szCs w:val="24"/>
        </w:rPr>
        <w:t xml:space="preserve">el recurrente </w:t>
      </w:r>
      <w:r>
        <w:rPr>
          <w:rFonts w:ascii="Arial" w:eastAsia="Arial" w:hAnsi="Arial" w:cs="Arial"/>
          <w:color w:val="000000"/>
          <w:sz w:val="24"/>
          <w:szCs w:val="24"/>
        </w:rPr>
        <w:t xml:space="preserve">en la cual aduce una vulneración a </w:t>
      </w:r>
      <w:r>
        <w:rPr>
          <w:rFonts w:ascii="Arial" w:eastAsia="Arial" w:hAnsi="Arial" w:cs="Arial"/>
          <w:sz w:val="24"/>
          <w:szCs w:val="24"/>
        </w:rPr>
        <w:t xml:space="preserve">los principios de legalidad y equidad en la contienda, derivada de la resolución (CME-AGS-R-04/24) emitida por el Consejo Municipal Electoral de Aguascalientes del Instituto Estatal Electoral de Aguascalientes </w:t>
      </w:r>
      <w:r>
        <w:rPr>
          <w:rFonts w:ascii="Arial" w:eastAsia="Arial" w:hAnsi="Arial" w:cs="Arial"/>
          <w:color w:val="000000"/>
          <w:sz w:val="24"/>
          <w:szCs w:val="24"/>
        </w:rPr>
        <w:t xml:space="preserve"> y, por ende, no constituye una cuestión de mero trámite que pueda emitirse por parte de la ponencia instructora del asunto.</w:t>
      </w:r>
      <w:bookmarkStart w:id="4" w:name="_heading=h.2et92p0" w:colFirst="0" w:colLast="0"/>
      <w:bookmarkEnd w:id="4"/>
    </w:p>
    <w:p w14:paraId="55AE50BF" w14:textId="7648A3F2" w:rsidR="00742F72" w:rsidRPr="00742F72" w:rsidRDefault="00000000" w:rsidP="00742F72">
      <w:pPr>
        <w:pStyle w:val="Ttulo2"/>
        <w:spacing w:before="0" w:after="240" w:line="360" w:lineRule="auto"/>
        <w:rPr>
          <w:rFonts w:ascii="Arial" w:eastAsia="Arial" w:hAnsi="Arial" w:cs="Arial"/>
          <w:b w:val="0"/>
          <w:color w:val="000000"/>
          <w:sz w:val="24"/>
          <w:szCs w:val="24"/>
        </w:rPr>
      </w:pPr>
      <w:r>
        <w:rPr>
          <w:rFonts w:ascii="Arial" w:eastAsia="Arial" w:hAnsi="Arial" w:cs="Arial"/>
          <w:color w:val="000000"/>
          <w:sz w:val="24"/>
          <w:szCs w:val="24"/>
          <w:u w:val="single"/>
        </w:rPr>
        <w:t>Apartado I.</w:t>
      </w:r>
      <w:r>
        <w:rPr>
          <w:rFonts w:ascii="Arial" w:eastAsia="Arial" w:hAnsi="Arial" w:cs="Arial"/>
          <w:color w:val="000000"/>
          <w:sz w:val="24"/>
          <w:szCs w:val="24"/>
        </w:rPr>
        <w:t xml:space="preserve"> Decisión</w:t>
      </w:r>
    </w:p>
    <w:p w14:paraId="40809412" w14:textId="5194D4A3" w:rsidR="00AB117B" w:rsidRDefault="00000000" w:rsidP="00742F72">
      <w:pPr>
        <w:spacing w:after="240" w:line="360" w:lineRule="auto"/>
        <w:jc w:val="both"/>
        <w:rPr>
          <w:rFonts w:ascii="Arial" w:eastAsia="Arial" w:hAnsi="Arial" w:cs="Arial"/>
          <w:color w:val="000000"/>
          <w:sz w:val="24"/>
          <w:szCs w:val="24"/>
        </w:rPr>
      </w:pPr>
      <w:r>
        <w:rPr>
          <w:rFonts w:ascii="Arial" w:eastAsia="Arial" w:hAnsi="Arial" w:cs="Arial"/>
          <w:sz w:val="24"/>
          <w:szCs w:val="24"/>
        </w:rPr>
        <w:t xml:space="preserve">Este Tribunal considera que el presente recurso de apelación </w:t>
      </w:r>
      <w:r>
        <w:rPr>
          <w:rFonts w:ascii="Arial" w:eastAsia="Arial" w:hAnsi="Arial" w:cs="Arial"/>
          <w:b/>
          <w:sz w:val="24"/>
          <w:szCs w:val="24"/>
        </w:rPr>
        <w:t xml:space="preserve">es improcedente </w:t>
      </w:r>
      <w:r>
        <w:rPr>
          <w:rFonts w:ascii="Arial" w:eastAsia="Arial" w:hAnsi="Arial" w:cs="Arial"/>
          <w:sz w:val="24"/>
          <w:szCs w:val="24"/>
        </w:rPr>
        <w:t xml:space="preserve">porque este Órgano Jurisdiccional sólo puede revisar las controversias en las que se hayan agotado las </w:t>
      </w:r>
      <w:r>
        <w:rPr>
          <w:rFonts w:ascii="Arial" w:eastAsia="Arial" w:hAnsi="Arial" w:cs="Arial"/>
          <w:sz w:val="24"/>
          <w:szCs w:val="24"/>
        </w:rPr>
        <w:lastRenderedPageBreak/>
        <w:t xml:space="preserve">instancias previas y, en el caso, se advierte que el promovente controvierte un acuerdo emitido por el Consejo Municipal Electoral de Aguascalientes del Instituto Estatal Electoral del Estado de Aguascalientes, por lo tanto, </w:t>
      </w:r>
      <w:r>
        <w:rPr>
          <w:rFonts w:ascii="Arial" w:eastAsia="Arial" w:hAnsi="Arial" w:cs="Arial"/>
          <w:b/>
          <w:sz w:val="24"/>
          <w:szCs w:val="24"/>
        </w:rPr>
        <w:t>debe reencauzarse</w:t>
      </w:r>
      <w:r>
        <w:rPr>
          <w:rFonts w:ascii="Arial" w:eastAsia="Arial" w:hAnsi="Arial" w:cs="Arial"/>
          <w:sz w:val="24"/>
          <w:szCs w:val="24"/>
        </w:rPr>
        <w:t xml:space="preserve"> el presente medio a un recurso de inconformidad, al considerar que es la vía idónea para resolver la presente controversia.</w:t>
      </w:r>
    </w:p>
    <w:p w14:paraId="399F6EFE" w14:textId="5A9C4DBA" w:rsidR="00AB117B" w:rsidRPr="00742F72" w:rsidRDefault="00000000" w:rsidP="00742F72">
      <w:pPr>
        <w:pStyle w:val="Ttulo2"/>
        <w:spacing w:before="0" w:after="240" w:line="360" w:lineRule="auto"/>
        <w:rPr>
          <w:rFonts w:ascii="Arial" w:eastAsia="Arial" w:hAnsi="Arial" w:cs="Arial"/>
          <w:b w:val="0"/>
          <w:color w:val="000000"/>
          <w:sz w:val="24"/>
          <w:szCs w:val="24"/>
        </w:rPr>
      </w:pPr>
      <w:bookmarkStart w:id="5" w:name="_heading=h.tyjcwt" w:colFirst="0" w:colLast="0"/>
      <w:bookmarkEnd w:id="5"/>
      <w:r>
        <w:rPr>
          <w:rFonts w:ascii="Arial" w:eastAsia="Arial" w:hAnsi="Arial" w:cs="Arial"/>
          <w:color w:val="000000"/>
          <w:sz w:val="24"/>
          <w:szCs w:val="24"/>
          <w:u w:val="single"/>
        </w:rPr>
        <w:t>Apartado II.</w:t>
      </w:r>
      <w:r>
        <w:rPr>
          <w:rFonts w:ascii="Arial" w:eastAsia="Arial" w:hAnsi="Arial" w:cs="Arial"/>
          <w:color w:val="000000"/>
          <w:sz w:val="24"/>
          <w:szCs w:val="24"/>
        </w:rPr>
        <w:t xml:space="preserve"> Justificación de la decisión de reencauzamiento</w:t>
      </w:r>
    </w:p>
    <w:p w14:paraId="0F732CED" w14:textId="395EB8DB" w:rsidR="00AB117B" w:rsidRPr="00742F72" w:rsidRDefault="00000000" w:rsidP="00742F72">
      <w:pPr>
        <w:pStyle w:val="Ttulo3"/>
        <w:spacing w:before="0" w:after="240" w:line="360" w:lineRule="auto"/>
        <w:jc w:val="both"/>
        <w:rPr>
          <w:rFonts w:ascii="Arial" w:eastAsia="Arial" w:hAnsi="Arial" w:cs="Arial"/>
          <w:b/>
          <w:color w:val="000000"/>
        </w:rPr>
      </w:pPr>
      <w:bookmarkStart w:id="6" w:name="_heading=h.3dy6vkm" w:colFirst="0" w:colLast="0"/>
      <w:bookmarkEnd w:id="6"/>
      <w:r>
        <w:rPr>
          <w:rFonts w:ascii="Arial" w:eastAsia="Arial" w:hAnsi="Arial" w:cs="Arial"/>
          <w:b/>
          <w:color w:val="000000"/>
        </w:rPr>
        <w:t xml:space="preserve">1. Marco jurídico sobre el acceso efectivo a la justicia pronta y expedita </w:t>
      </w:r>
    </w:p>
    <w:p w14:paraId="2221AFE9" w14:textId="01E66CB3" w:rsidR="00AB117B" w:rsidRPr="00742F72" w:rsidRDefault="00000000" w:rsidP="00742F72">
      <w:pPr>
        <w:spacing w:after="240" w:line="360" w:lineRule="auto"/>
        <w:jc w:val="both"/>
        <w:rPr>
          <w:rFonts w:ascii="Arial" w:eastAsia="Arial" w:hAnsi="Arial" w:cs="Arial"/>
          <w:sz w:val="24"/>
          <w:szCs w:val="24"/>
        </w:rPr>
      </w:pPr>
      <w:bookmarkStart w:id="7" w:name="_heading=h.1t3h5sf" w:colFirst="0" w:colLast="0"/>
      <w:bookmarkEnd w:id="7"/>
      <w:r>
        <w:rPr>
          <w:rFonts w:ascii="Arial" w:eastAsia="Arial" w:hAnsi="Arial" w:cs="Arial"/>
          <w:sz w:val="24"/>
          <w:szCs w:val="24"/>
        </w:rPr>
        <w:t>El artículo 17, párrafo segundo de la Constitución General</w:t>
      </w:r>
      <w:r>
        <w:rPr>
          <w:rFonts w:ascii="Arial" w:eastAsia="Arial" w:hAnsi="Arial" w:cs="Arial"/>
          <w:sz w:val="24"/>
          <w:szCs w:val="24"/>
          <w:vertAlign w:val="superscript"/>
        </w:rPr>
        <w:footnoteReference w:id="4"/>
      </w:r>
      <w:r>
        <w:rPr>
          <w:rFonts w:ascii="Arial" w:eastAsia="Arial" w:hAnsi="Arial" w:cs="Arial"/>
          <w:sz w:val="24"/>
          <w:szCs w:val="24"/>
        </w:rPr>
        <w:t xml:space="preserve">, tutela el derecho de la ciudadanía de </w:t>
      </w:r>
      <w:r>
        <w:rPr>
          <w:rFonts w:ascii="Arial" w:eastAsia="Arial" w:hAnsi="Arial" w:cs="Arial"/>
          <w:b/>
          <w:sz w:val="24"/>
          <w:szCs w:val="24"/>
        </w:rPr>
        <w:t>acceder a una justicia pronta y expedita</w:t>
      </w:r>
      <w:r>
        <w:rPr>
          <w:rFonts w:ascii="Arial" w:eastAsia="Arial" w:hAnsi="Arial" w:cs="Arial"/>
          <w:sz w:val="24"/>
          <w:szCs w:val="24"/>
        </w:rPr>
        <w:t>, administrada por tribunales jurisdiccionales que tienen el deber de actuar de manera completa e imparcial, dentro de los términos y plazos que fijen la ley.</w:t>
      </w:r>
    </w:p>
    <w:p w14:paraId="4BB03ED1" w14:textId="7FE4B8E9" w:rsidR="00AB117B" w:rsidRPr="00742F72"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En tal sentido, la Sala Superior</w:t>
      </w:r>
      <w:r>
        <w:rPr>
          <w:rFonts w:ascii="Arial" w:eastAsia="Arial" w:hAnsi="Arial" w:cs="Arial"/>
          <w:sz w:val="24"/>
          <w:szCs w:val="24"/>
          <w:vertAlign w:val="superscript"/>
        </w:rPr>
        <w:footnoteReference w:id="5"/>
      </w:r>
      <w:r>
        <w:rPr>
          <w:rFonts w:ascii="Arial" w:eastAsia="Arial" w:hAnsi="Arial" w:cs="Arial"/>
          <w:sz w:val="24"/>
          <w:szCs w:val="24"/>
        </w:rPr>
        <w:t xml:space="preserve"> ha sostenido que, con el objetivo de garantizar tal prerrogativa, cuando de la lectura del medio de impugnación se adviertan planteamientos encaminados a cuestionar presuntas violaciones a derechos político-electorales, ante la incorrecta identificación del tipo de medio de impugnación, estos </w:t>
      </w:r>
      <w:r>
        <w:rPr>
          <w:rFonts w:ascii="Arial" w:eastAsia="Arial" w:hAnsi="Arial" w:cs="Arial"/>
          <w:b/>
          <w:sz w:val="24"/>
          <w:szCs w:val="24"/>
        </w:rPr>
        <w:t>deben reencauzarse a la vía que conforme a Derecho proceda</w:t>
      </w:r>
      <w:r>
        <w:rPr>
          <w:rFonts w:ascii="Arial" w:eastAsia="Arial" w:hAnsi="Arial" w:cs="Arial"/>
          <w:sz w:val="24"/>
          <w:szCs w:val="24"/>
        </w:rPr>
        <w:t xml:space="preserve">. </w:t>
      </w:r>
    </w:p>
    <w:p w14:paraId="56A75EDD" w14:textId="0496B118" w:rsidR="00AB117B"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Ahora bien, resulta importante precisar que el artículo 330 del Código Local,</w:t>
      </w:r>
      <w:r>
        <w:rPr>
          <w:rFonts w:ascii="Arial" w:eastAsia="Arial" w:hAnsi="Arial" w:cs="Arial"/>
          <w:sz w:val="24"/>
          <w:szCs w:val="24"/>
          <w:vertAlign w:val="superscript"/>
        </w:rPr>
        <w:footnoteReference w:id="6"/>
      </w:r>
      <w:r>
        <w:rPr>
          <w:rFonts w:ascii="Arial" w:eastAsia="Arial" w:hAnsi="Arial" w:cs="Arial"/>
          <w:sz w:val="24"/>
          <w:szCs w:val="24"/>
        </w:rPr>
        <w:t xml:space="preserve"> prevé que el </w:t>
      </w:r>
      <w:r>
        <w:rPr>
          <w:rFonts w:ascii="Arial" w:eastAsia="Arial" w:hAnsi="Arial" w:cs="Arial"/>
          <w:b/>
          <w:sz w:val="24"/>
          <w:szCs w:val="24"/>
        </w:rPr>
        <w:t>recurso de inconformidad</w:t>
      </w:r>
      <w:r>
        <w:rPr>
          <w:rFonts w:ascii="Arial" w:eastAsia="Arial" w:hAnsi="Arial" w:cs="Arial"/>
          <w:sz w:val="24"/>
          <w:szCs w:val="24"/>
        </w:rPr>
        <w:t xml:space="preserve"> será procedente cuando la persona afectada considere que los </w:t>
      </w:r>
      <w:r>
        <w:rPr>
          <w:rFonts w:ascii="Arial" w:eastAsia="Arial" w:hAnsi="Arial" w:cs="Arial"/>
          <w:b/>
          <w:sz w:val="24"/>
          <w:szCs w:val="24"/>
        </w:rPr>
        <w:t>actos o resoluciones emitidos por los Consejos Municipales o Distritales han vulnerado cualquiera de los derechos político-electorales</w:t>
      </w:r>
      <w:r>
        <w:rPr>
          <w:rFonts w:ascii="Arial" w:eastAsia="Arial" w:hAnsi="Arial" w:cs="Arial"/>
          <w:sz w:val="24"/>
          <w:szCs w:val="24"/>
        </w:rPr>
        <w:t xml:space="preserve"> contemplados en los ordenamientos en la materia. </w:t>
      </w:r>
    </w:p>
    <w:p w14:paraId="09D67E21" w14:textId="473A0E55" w:rsidR="00AB117B" w:rsidRPr="00742F72"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 xml:space="preserve">En tal sentido, cuando la autoridad electoral reciba un medio de impugnación en el que se controviertan actuaciones emitidas por los Consejos Municipales o Distritales y, además, se advierta que la vía intentada no es la correcta, es su </w:t>
      </w:r>
      <w:r>
        <w:rPr>
          <w:rFonts w:ascii="Arial" w:eastAsia="Arial" w:hAnsi="Arial" w:cs="Arial"/>
          <w:b/>
          <w:sz w:val="24"/>
          <w:szCs w:val="24"/>
          <w:u w:val="single"/>
        </w:rPr>
        <w:t>deber reencauzar el escrito a la vía que en Derecho corresponde</w:t>
      </w:r>
      <w:r>
        <w:rPr>
          <w:rFonts w:ascii="Arial" w:eastAsia="Arial" w:hAnsi="Arial" w:cs="Arial"/>
          <w:sz w:val="24"/>
          <w:szCs w:val="24"/>
        </w:rPr>
        <w:t>, en el caso, el recurso de inconformidad.</w:t>
      </w:r>
    </w:p>
    <w:p w14:paraId="4B70408E" w14:textId="77777777" w:rsidR="00742F72" w:rsidRPr="00CA0D86" w:rsidRDefault="00742F72" w:rsidP="00742F72">
      <w:pPr>
        <w:pStyle w:val="Ttulo3"/>
        <w:tabs>
          <w:tab w:val="left" w:pos="142"/>
        </w:tabs>
        <w:spacing w:before="0" w:after="240" w:line="360" w:lineRule="auto"/>
        <w:jc w:val="both"/>
        <w:rPr>
          <w:rFonts w:ascii="Arial" w:eastAsia="Arial" w:hAnsi="Arial" w:cs="Arial"/>
          <w:b/>
          <w:color w:val="000000"/>
          <w:sz w:val="2"/>
          <w:szCs w:val="2"/>
        </w:rPr>
      </w:pPr>
    </w:p>
    <w:p w14:paraId="23B41A14" w14:textId="1B5C9FEE" w:rsidR="00AB117B" w:rsidRPr="00742F72" w:rsidRDefault="00000000" w:rsidP="00742F72">
      <w:pPr>
        <w:pStyle w:val="Ttulo3"/>
        <w:tabs>
          <w:tab w:val="left" w:pos="142"/>
        </w:tabs>
        <w:spacing w:before="0" w:after="240" w:line="360" w:lineRule="auto"/>
        <w:jc w:val="both"/>
        <w:rPr>
          <w:rFonts w:ascii="Arial" w:eastAsia="Arial" w:hAnsi="Arial" w:cs="Arial"/>
          <w:b/>
          <w:color w:val="000000"/>
        </w:rPr>
      </w:pPr>
      <w:r>
        <w:rPr>
          <w:rFonts w:ascii="Arial" w:eastAsia="Arial" w:hAnsi="Arial" w:cs="Arial"/>
          <w:b/>
          <w:color w:val="000000"/>
        </w:rPr>
        <w:t>2. Marco jurídico sobre el deber de agotar las instancias previas (principio de definitividad)</w:t>
      </w:r>
    </w:p>
    <w:p w14:paraId="2E2D6D4B" w14:textId="7C57CCDB" w:rsidR="00AB117B" w:rsidRPr="00742F72"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El artículo 99, párrafo cuarto, fracción V, de la Constitución General</w:t>
      </w:r>
      <w:r>
        <w:rPr>
          <w:rFonts w:ascii="Arial" w:eastAsia="Arial" w:hAnsi="Arial" w:cs="Arial"/>
          <w:sz w:val="24"/>
          <w:szCs w:val="24"/>
          <w:vertAlign w:val="superscript"/>
        </w:rPr>
        <w:footnoteReference w:id="7"/>
      </w:r>
      <w:r>
        <w:rPr>
          <w:rFonts w:ascii="Arial" w:eastAsia="Arial" w:hAnsi="Arial" w:cs="Arial"/>
          <w:sz w:val="24"/>
          <w:szCs w:val="24"/>
        </w:rPr>
        <w:t xml:space="preserve"> establece que los juicios o recursos deben cumplir con determinados requisitos. Uno de ellos es el </w:t>
      </w:r>
      <w:r>
        <w:rPr>
          <w:rFonts w:ascii="Arial" w:eastAsia="Arial" w:hAnsi="Arial" w:cs="Arial"/>
          <w:b/>
          <w:sz w:val="24"/>
          <w:szCs w:val="24"/>
        </w:rPr>
        <w:t>principio de definitividad</w:t>
      </w:r>
      <w:r>
        <w:rPr>
          <w:rFonts w:ascii="Arial" w:eastAsia="Arial" w:hAnsi="Arial" w:cs="Arial"/>
          <w:sz w:val="24"/>
          <w:szCs w:val="24"/>
        </w:rPr>
        <w:t xml:space="preserve">, que impone a las y los promoventes la carga de agotar las instancias de solución de conflictos previstas en sus normas internas, previo a acudir a la jurisdicción de un Tribunal. </w:t>
      </w:r>
    </w:p>
    <w:p w14:paraId="241910C5" w14:textId="4F5AE0B9" w:rsidR="00AB117B" w:rsidRPr="00742F72"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 xml:space="preserve">Por su parte, los artículos 10, primer párrafo, inciso d), de la Ley de Medios, así como el 304, fracción II, inciso e), del Código Electoral, imponen la regla general de que los medios de impugnación electorales </w:t>
      </w:r>
      <w:r>
        <w:rPr>
          <w:rFonts w:ascii="Arial" w:eastAsia="Arial" w:hAnsi="Arial" w:cs="Arial"/>
          <w:b/>
          <w:sz w:val="24"/>
          <w:szCs w:val="24"/>
        </w:rPr>
        <w:t>sólo serán procedentes cuando se agoten las instancias previas</w:t>
      </w:r>
      <w:r>
        <w:rPr>
          <w:rFonts w:ascii="Arial" w:eastAsia="Arial" w:hAnsi="Arial" w:cs="Arial"/>
          <w:sz w:val="24"/>
          <w:szCs w:val="24"/>
        </w:rPr>
        <w:t xml:space="preserve"> establecidas por las leyes federales, </w:t>
      </w:r>
      <w:r>
        <w:rPr>
          <w:rFonts w:ascii="Arial" w:eastAsia="Arial" w:hAnsi="Arial" w:cs="Arial"/>
          <w:b/>
          <w:sz w:val="24"/>
          <w:szCs w:val="24"/>
        </w:rPr>
        <w:t>locales</w:t>
      </w:r>
      <w:r>
        <w:rPr>
          <w:rFonts w:ascii="Arial" w:eastAsia="Arial" w:hAnsi="Arial" w:cs="Arial"/>
          <w:sz w:val="24"/>
          <w:szCs w:val="24"/>
        </w:rPr>
        <w:t xml:space="preserve"> y normas partidistas.</w:t>
      </w:r>
    </w:p>
    <w:p w14:paraId="099A572B" w14:textId="6C6BFA16" w:rsidR="00AB117B"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 xml:space="preserve">Lo anterior es así, porque las instancias, juicios o </w:t>
      </w:r>
      <w:r>
        <w:rPr>
          <w:rFonts w:ascii="Arial" w:eastAsia="Arial" w:hAnsi="Arial" w:cs="Arial"/>
          <w:b/>
          <w:sz w:val="24"/>
          <w:szCs w:val="24"/>
        </w:rPr>
        <w:t>recursos previos son instrumentos aptos para reparar las violaciones que afectan a la ciudadanía</w:t>
      </w:r>
      <w:r>
        <w:rPr>
          <w:rFonts w:ascii="Arial" w:eastAsia="Arial" w:hAnsi="Arial" w:cs="Arial"/>
          <w:sz w:val="24"/>
          <w:szCs w:val="24"/>
        </w:rPr>
        <w:t xml:space="preserve">. Así, este mecanismo primigenio genera la posibilidad de que quienes promueven obtengan una resolución que garantice la protección de los derechos político-electorales que se aducen vulnerados.  </w:t>
      </w:r>
    </w:p>
    <w:p w14:paraId="2CFADB9E" w14:textId="056618E1" w:rsidR="00AB117B" w:rsidRPr="00742F72"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Bajo tal lógica, el artículo 330 del Código Local,</w:t>
      </w:r>
      <w:r>
        <w:rPr>
          <w:rFonts w:ascii="Arial" w:eastAsia="Arial" w:hAnsi="Arial" w:cs="Arial"/>
          <w:sz w:val="24"/>
          <w:szCs w:val="24"/>
          <w:vertAlign w:val="superscript"/>
        </w:rPr>
        <w:footnoteReference w:id="8"/>
      </w:r>
      <w:r>
        <w:rPr>
          <w:rFonts w:ascii="Arial" w:eastAsia="Arial" w:hAnsi="Arial" w:cs="Arial"/>
          <w:sz w:val="24"/>
          <w:szCs w:val="24"/>
        </w:rPr>
        <w:t xml:space="preserve"> señala que </w:t>
      </w:r>
      <w:r>
        <w:rPr>
          <w:rFonts w:ascii="Arial" w:eastAsia="Arial" w:hAnsi="Arial" w:cs="Arial"/>
          <w:b/>
          <w:sz w:val="24"/>
          <w:szCs w:val="24"/>
        </w:rPr>
        <w:t>es competente para conocer el recurso de inconformidad el Consejo General,</w:t>
      </w:r>
      <w:r>
        <w:rPr>
          <w:rFonts w:ascii="Arial" w:eastAsia="Arial" w:hAnsi="Arial" w:cs="Arial"/>
          <w:sz w:val="24"/>
          <w:szCs w:val="24"/>
        </w:rPr>
        <w:t xml:space="preserve"> y de manera </w:t>
      </w:r>
      <w:r>
        <w:rPr>
          <w:rFonts w:ascii="Arial" w:eastAsia="Arial" w:hAnsi="Arial" w:cs="Arial"/>
          <w:b/>
          <w:sz w:val="24"/>
          <w:szCs w:val="24"/>
          <w:u w:val="single"/>
        </w:rPr>
        <w:t>excepcional</w:t>
      </w:r>
      <w:r>
        <w:rPr>
          <w:rFonts w:ascii="Arial" w:eastAsia="Arial" w:hAnsi="Arial" w:cs="Arial"/>
          <w:sz w:val="24"/>
          <w:szCs w:val="24"/>
        </w:rPr>
        <w:t xml:space="preserve"> lo será el Tribunal, ello ante los casos en que el referido medio fuera interpuesto cinco días anteriores a la celebración de la jornada electoral. Asimismo, el diverso 331 del referido ordenamiento jurídico,</w:t>
      </w:r>
      <w:r>
        <w:rPr>
          <w:rFonts w:ascii="Arial" w:eastAsia="Arial" w:hAnsi="Arial" w:cs="Arial"/>
          <w:sz w:val="24"/>
          <w:szCs w:val="24"/>
          <w:vertAlign w:val="superscript"/>
        </w:rPr>
        <w:footnoteReference w:id="9"/>
      </w:r>
      <w:r>
        <w:rPr>
          <w:rFonts w:ascii="Arial" w:eastAsia="Arial" w:hAnsi="Arial" w:cs="Arial"/>
          <w:sz w:val="24"/>
          <w:szCs w:val="24"/>
        </w:rPr>
        <w:t xml:space="preserve"> establece que los recursos en mención deberán presentarse ante el Consejo Municipal o Distrital que emita el acto o resolución impugnada. </w:t>
      </w:r>
    </w:p>
    <w:p w14:paraId="39394349" w14:textId="10CC01FC" w:rsidR="00CA0D86" w:rsidRPr="00CA0D86" w:rsidRDefault="00000000" w:rsidP="00CA0D86">
      <w:pPr>
        <w:spacing w:after="240" w:line="360" w:lineRule="auto"/>
        <w:jc w:val="both"/>
        <w:rPr>
          <w:rFonts w:ascii="Arial" w:eastAsia="Arial" w:hAnsi="Arial" w:cs="Arial"/>
          <w:b/>
          <w:color w:val="000000"/>
          <w:sz w:val="2"/>
          <w:szCs w:val="2"/>
        </w:rPr>
      </w:pPr>
      <w:r>
        <w:rPr>
          <w:rFonts w:ascii="Arial" w:eastAsia="Arial" w:hAnsi="Arial" w:cs="Arial"/>
          <w:sz w:val="24"/>
          <w:szCs w:val="24"/>
        </w:rPr>
        <w:t>Por ende, las impugnaciones contra actos emitidos por tales autoridades electorales locales, serán resueltas por el Consejo General del Instituto Local.</w:t>
      </w:r>
    </w:p>
    <w:p w14:paraId="5B6AD969" w14:textId="77777777" w:rsidR="00CA0D86" w:rsidRPr="00CA0D86" w:rsidRDefault="00CA0D86" w:rsidP="00742F72">
      <w:pPr>
        <w:pStyle w:val="Ttulo3"/>
        <w:spacing w:before="0" w:after="240" w:line="360" w:lineRule="auto"/>
        <w:rPr>
          <w:rFonts w:ascii="Arial" w:eastAsia="Arial" w:hAnsi="Arial" w:cs="Arial"/>
          <w:b/>
          <w:color w:val="000000"/>
          <w:sz w:val="2"/>
          <w:szCs w:val="2"/>
        </w:rPr>
      </w:pPr>
    </w:p>
    <w:p w14:paraId="74BEB242" w14:textId="48576281" w:rsidR="00AB117B" w:rsidRPr="00742F72" w:rsidRDefault="00000000" w:rsidP="00742F72">
      <w:pPr>
        <w:pStyle w:val="Ttulo3"/>
        <w:spacing w:before="0" w:after="240" w:line="360" w:lineRule="auto"/>
        <w:rPr>
          <w:rFonts w:ascii="Arial" w:eastAsia="Arial" w:hAnsi="Arial" w:cs="Arial"/>
          <w:b/>
          <w:color w:val="000000"/>
        </w:rPr>
      </w:pPr>
      <w:r>
        <w:rPr>
          <w:rFonts w:ascii="Arial" w:eastAsia="Arial" w:hAnsi="Arial" w:cs="Arial"/>
          <w:b/>
          <w:color w:val="000000"/>
        </w:rPr>
        <w:t>2. Caso concreto</w:t>
      </w:r>
    </w:p>
    <w:p w14:paraId="1A5D4114" w14:textId="09CEA42F" w:rsidR="00AB117B" w:rsidRPr="00742F72"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 xml:space="preserve">En el asunto que se analiza, la parte recurrente, en su calidad de </w:t>
      </w:r>
      <w:proofErr w:type="gramStart"/>
      <w:r>
        <w:rPr>
          <w:rFonts w:ascii="Arial" w:eastAsia="Arial" w:hAnsi="Arial" w:cs="Arial"/>
          <w:sz w:val="24"/>
          <w:szCs w:val="24"/>
        </w:rPr>
        <w:t>Presidente</w:t>
      </w:r>
      <w:proofErr w:type="gramEnd"/>
      <w:r>
        <w:rPr>
          <w:rFonts w:ascii="Arial" w:eastAsia="Arial" w:hAnsi="Arial" w:cs="Arial"/>
          <w:sz w:val="24"/>
          <w:szCs w:val="24"/>
        </w:rPr>
        <w:t xml:space="preserve"> del Comité Directivo Estatal de Morena, impugna el acuerdo CME-AGS-R-04/24 emitido por el Consejo Municipal Electoral de Aguascalientes del Instituto Estatal Electoral de Aguascalientes, por el que atendió la solicitud del PVEM sobre el registro de la planilla para el Ayuntamiento del municipio referido, por el principio de mayoría relativa. </w:t>
      </w:r>
    </w:p>
    <w:p w14:paraId="30CE3F4D" w14:textId="577D5851" w:rsidR="00742F72"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Lo anterior, al considerar, en esencia, que tal determinación vulnera los principios de legalidad y equidad en la contienda, ello ya que tal autoridad electoral dejó de observar la obligación del PVEM de postular las fórmulas correspondientes a las personas con discapacidad y las pertenecientes a las comunidades indígenas, lo cual vulnera en su perjuicio los principios de legalidad y de equidad en la contienda, en relación al registro de candidaturas.</w:t>
      </w:r>
      <w:bookmarkStart w:id="8" w:name="_heading=h.4d34og8" w:colFirst="0" w:colLast="0"/>
      <w:bookmarkEnd w:id="8"/>
    </w:p>
    <w:p w14:paraId="416A34BA" w14:textId="7EB212EF" w:rsidR="00AB117B" w:rsidRPr="00742F72" w:rsidRDefault="00000000" w:rsidP="00742F72">
      <w:pPr>
        <w:pStyle w:val="Ttulo3"/>
        <w:spacing w:before="0" w:after="240" w:line="360" w:lineRule="auto"/>
        <w:rPr>
          <w:rFonts w:ascii="Arial" w:eastAsia="Arial" w:hAnsi="Arial" w:cs="Arial"/>
          <w:b/>
          <w:color w:val="000000"/>
        </w:rPr>
      </w:pPr>
      <w:bookmarkStart w:id="9" w:name="_heading=h.2s8eyo1" w:colFirst="0" w:colLast="0"/>
      <w:bookmarkEnd w:id="9"/>
      <w:r>
        <w:rPr>
          <w:rFonts w:ascii="Arial" w:eastAsia="Arial" w:hAnsi="Arial" w:cs="Arial"/>
          <w:b/>
          <w:color w:val="000000"/>
        </w:rPr>
        <w:t>3. Valoración</w:t>
      </w:r>
    </w:p>
    <w:p w14:paraId="14D13A92" w14:textId="108D502A" w:rsidR="00AB117B" w:rsidRPr="00742F72" w:rsidRDefault="00000000" w:rsidP="00742F72">
      <w:pPr>
        <w:spacing w:after="240" w:line="360" w:lineRule="auto"/>
        <w:jc w:val="both"/>
        <w:rPr>
          <w:rFonts w:ascii="Arial" w:eastAsia="Arial" w:hAnsi="Arial" w:cs="Arial"/>
          <w:sz w:val="24"/>
          <w:szCs w:val="24"/>
        </w:rPr>
      </w:pPr>
      <w:r>
        <w:rPr>
          <w:rFonts w:ascii="Arial" w:eastAsia="Arial" w:hAnsi="Arial" w:cs="Arial"/>
          <w:b/>
          <w:sz w:val="24"/>
          <w:szCs w:val="24"/>
        </w:rPr>
        <w:t>3.1. Improcedencia por falta de definitividad</w:t>
      </w:r>
    </w:p>
    <w:p w14:paraId="2F5940C6" w14:textId="1849201F" w:rsidR="00AB117B" w:rsidRPr="00742F72" w:rsidRDefault="00000000" w:rsidP="00742F72">
      <w:pPr>
        <w:spacing w:after="240" w:line="360" w:lineRule="auto"/>
        <w:jc w:val="both"/>
        <w:rPr>
          <w:rFonts w:ascii="Arial" w:eastAsia="Arial" w:hAnsi="Arial" w:cs="Arial"/>
          <w:b/>
          <w:sz w:val="24"/>
          <w:szCs w:val="24"/>
        </w:rPr>
      </w:pPr>
      <w:r>
        <w:rPr>
          <w:rFonts w:ascii="Arial" w:eastAsia="Arial" w:hAnsi="Arial" w:cs="Arial"/>
          <w:sz w:val="24"/>
          <w:szCs w:val="24"/>
        </w:rPr>
        <w:t xml:space="preserve">Como se adelantó, este Tribunal considera que la impugnación de la recurrente </w:t>
      </w:r>
      <w:r>
        <w:rPr>
          <w:rFonts w:ascii="Arial" w:eastAsia="Arial" w:hAnsi="Arial" w:cs="Arial"/>
          <w:b/>
          <w:sz w:val="24"/>
          <w:szCs w:val="24"/>
        </w:rPr>
        <w:t xml:space="preserve">debe ser analizada, en primer lugar, por el Consejo General del Instituto Local. </w:t>
      </w:r>
    </w:p>
    <w:p w14:paraId="16A036ED" w14:textId="4861F5F7" w:rsidR="00AB117B" w:rsidRPr="00742F72"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 xml:space="preserve">Esto debe ser así, porque como se precisó en el marco normativo, el Consejo General es la autoridad competente para conocer los conflictos relacionados con los actos y resoluciones emitidos por los Consejos Distritales y Municipales, en el presente caso, por lo actos relacionados con las solicitudes y aprobación de registros de candidaturas al Ayuntamiento del municipio de Aguascalientes. </w:t>
      </w:r>
    </w:p>
    <w:p w14:paraId="04CE5354" w14:textId="302A27CA" w:rsidR="00AB117B" w:rsidRPr="00742F72"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 xml:space="preserve">Lo anterior, dado que la resolución combatida se trata de un acto surgido en la etapa de preparación de la elección, de tal manera que se cumple con el presupuesto procesal de procedencia que exige el Código Electoral. </w:t>
      </w:r>
    </w:p>
    <w:p w14:paraId="7A5F5F4E" w14:textId="77777777" w:rsidR="00AB117B"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 xml:space="preserve">En consecuencia, como la promovente </w:t>
      </w:r>
      <w:r>
        <w:rPr>
          <w:rFonts w:ascii="Arial" w:eastAsia="Arial" w:hAnsi="Arial" w:cs="Arial"/>
          <w:b/>
          <w:sz w:val="24"/>
          <w:szCs w:val="24"/>
        </w:rPr>
        <w:t>no agotó de forma previa la instancia</w:t>
      </w:r>
      <w:r>
        <w:rPr>
          <w:rFonts w:ascii="Arial" w:eastAsia="Arial" w:hAnsi="Arial" w:cs="Arial"/>
          <w:sz w:val="24"/>
          <w:szCs w:val="24"/>
        </w:rPr>
        <w:t xml:space="preserve"> establecida en el Código Local, implica que el presente asunto se estime </w:t>
      </w:r>
      <w:r>
        <w:rPr>
          <w:rFonts w:ascii="Arial" w:eastAsia="Arial" w:hAnsi="Arial" w:cs="Arial"/>
          <w:b/>
          <w:sz w:val="24"/>
          <w:szCs w:val="24"/>
        </w:rPr>
        <w:t>improcedente.</w:t>
      </w:r>
      <w:r>
        <w:rPr>
          <w:rFonts w:ascii="Arial" w:eastAsia="Arial" w:hAnsi="Arial" w:cs="Arial"/>
          <w:sz w:val="24"/>
          <w:szCs w:val="24"/>
        </w:rPr>
        <w:t xml:space="preserve"> </w:t>
      </w:r>
    </w:p>
    <w:p w14:paraId="37D83078" w14:textId="77777777" w:rsidR="00AB117B" w:rsidRDefault="00000000" w:rsidP="00742F7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Finalmente, no se pasa por alto que el artículo 330 del Código Local, establece un supuesto de excepción para que este Tribunal Electoral pueda conocer sobre posibles vulneraciones a derechos político-electorales derivadas de actos y resoluciones emitidos por los Consejos Municipales y Distritales, ello cuando se interpongan dentro de los cinco días previos a la celebración de la jornada electoral, situación que no acontece en el presente asunto. </w:t>
      </w:r>
    </w:p>
    <w:p w14:paraId="1DBC08EA" w14:textId="69685C70" w:rsidR="00AB117B" w:rsidRPr="00742F72" w:rsidRDefault="00000000" w:rsidP="00742F7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Asimismo, el promovente es omiso en demostrar la existencia de una violación a un derecho que pueda ser irreparable, dado los plazos y términos en el presente proceso electoral en </w:t>
      </w:r>
      <w:r>
        <w:rPr>
          <w:rFonts w:ascii="Arial" w:eastAsia="Arial" w:hAnsi="Arial" w:cs="Arial"/>
          <w:sz w:val="24"/>
          <w:szCs w:val="24"/>
        </w:rPr>
        <w:lastRenderedPageBreak/>
        <w:t xml:space="preserve">curso, que pudiera, en su caso, habilitar la competencia de esta autoridad electoral para conocer del asunto. </w:t>
      </w:r>
    </w:p>
    <w:p w14:paraId="3996CF1E" w14:textId="1A34E717" w:rsidR="00AB117B" w:rsidRPr="00742F72" w:rsidRDefault="00000000" w:rsidP="00742F72">
      <w:pPr>
        <w:spacing w:after="240" w:line="360" w:lineRule="auto"/>
        <w:jc w:val="both"/>
        <w:rPr>
          <w:rFonts w:ascii="Arial" w:eastAsia="Arial" w:hAnsi="Arial" w:cs="Arial"/>
          <w:b/>
          <w:sz w:val="24"/>
          <w:szCs w:val="24"/>
        </w:rPr>
      </w:pPr>
      <w:r>
        <w:rPr>
          <w:rFonts w:ascii="Arial" w:eastAsia="Arial" w:hAnsi="Arial" w:cs="Arial"/>
          <w:b/>
          <w:sz w:val="24"/>
          <w:szCs w:val="24"/>
        </w:rPr>
        <w:t xml:space="preserve">3.2. Reencauzamiento que garantiza el derecho de acceso a la justicia </w:t>
      </w:r>
    </w:p>
    <w:p w14:paraId="037C7AEE" w14:textId="08936922" w:rsidR="00AB117B" w:rsidRPr="00742F72"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 xml:space="preserve">Este Tribunal considera que el hecho de que la presente controversia se encuentre plenamente identificada, así como el motivo por el cual refiere un perjuicio, </w:t>
      </w:r>
      <w:r>
        <w:rPr>
          <w:rFonts w:ascii="Arial" w:eastAsia="Arial" w:hAnsi="Arial" w:cs="Arial"/>
          <w:b/>
          <w:sz w:val="24"/>
          <w:szCs w:val="24"/>
        </w:rPr>
        <w:t xml:space="preserve">surge la necesidad de reencauzar la demanda al Consejo General, </w:t>
      </w:r>
      <w:r>
        <w:rPr>
          <w:rFonts w:ascii="Arial" w:eastAsia="Arial" w:hAnsi="Arial" w:cs="Arial"/>
          <w:sz w:val="24"/>
          <w:szCs w:val="24"/>
        </w:rPr>
        <w:t>con el propósito de garantizar el derecho de acceso a la justicia previsto en el artículo 17 de la Constitución General.</w:t>
      </w:r>
      <w:r>
        <w:rPr>
          <w:rFonts w:ascii="Arial" w:eastAsia="Arial" w:hAnsi="Arial" w:cs="Arial"/>
          <w:sz w:val="24"/>
          <w:szCs w:val="24"/>
          <w:vertAlign w:val="superscript"/>
        </w:rPr>
        <w:footnoteReference w:id="10"/>
      </w:r>
    </w:p>
    <w:p w14:paraId="5266FB78" w14:textId="7C9B7243" w:rsidR="00AB117B" w:rsidRPr="00742F72"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Lo anterior, para que dentro del plazo legal establecido en artículo 332 del Código Local,</w:t>
      </w:r>
      <w:r>
        <w:rPr>
          <w:rFonts w:ascii="Arial" w:eastAsia="Arial" w:hAnsi="Arial" w:cs="Arial"/>
          <w:sz w:val="24"/>
          <w:szCs w:val="24"/>
          <w:vertAlign w:val="superscript"/>
        </w:rPr>
        <w:t xml:space="preserve"> </w:t>
      </w:r>
      <w:r>
        <w:rPr>
          <w:rFonts w:ascii="Arial" w:eastAsia="Arial" w:hAnsi="Arial" w:cs="Arial"/>
          <w:sz w:val="24"/>
          <w:szCs w:val="24"/>
          <w:vertAlign w:val="superscript"/>
        </w:rPr>
        <w:footnoteReference w:id="11"/>
      </w:r>
      <w:r>
        <w:rPr>
          <w:rFonts w:ascii="Arial" w:eastAsia="Arial" w:hAnsi="Arial" w:cs="Arial"/>
          <w:sz w:val="24"/>
          <w:szCs w:val="24"/>
        </w:rPr>
        <w:t xml:space="preserve"> contado a partir de que se tengan las constancias de trámite, realice lo siguiente: </w:t>
      </w:r>
      <w:r>
        <w:rPr>
          <w:rFonts w:ascii="Arial" w:eastAsia="Arial" w:hAnsi="Arial" w:cs="Arial"/>
          <w:b/>
          <w:i/>
          <w:sz w:val="24"/>
          <w:szCs w:val="24"/>
        </w:rPr>
        <w:t>a)</w:t>
      </w:r>
      <w:r>
        <w:rPr>
          <w:rFonts w:ascii="Arial" w:eastAsia="Arial" w:hAnsi="Arial" w:cs="Arial"/>
          <w:sz w:val="24"/>
          <w:szCs w:val="24"/>
        </w:rPr>
        <w:t xml:space="preserve"> conozca el recurso de inconformidad presentado ante esta autoridad jurisdiccional y</w:t>
      </w:r>
      <w:r w:rsidR="00CA0D86">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b/>
          <w:i/>
          <w:sz w:val="24"/>
          <w:szCs w:val="24"/>
        </w:rPr>
        <w:t>b)</w:t>
      </w:r>
      <w:r>
        <w:rPr>
          <w:rFonts w:ascii="Arial" w:eastAsia="Arial" w:hAnsi="Arial" w:cs="Arial"/>
          <w:sz w:val="24"/>
          <w:szCs w:val="24"/>
        </w:rPr>
        <w:t xml:space="preserve"> resuelva la controversia planteada en plenitud de jurisdicción. Ello, sin que esta resolución prejuzgue la procedencia del medio de impugnación.</w:t>
      </w:r>
      <w:r>
        <w:rPr>
          <w:rFonts w:ascii="Arial" w:eastAsia="Arial" w:hAnsi="Arial" w:cs="Arial"/>
          <w:sz w:val="24"/>
          <w:szCs w:val="24"/>
          <w:vertAlign w:val="superscript"/>
        </w:rPr>
        <w:t xml:space="preserve"> </w:t>
      </w:r>
      <w:r>
        <w:rPr>
          <w:rFonts w:ascii="Arial" w:eastAsia="Arial" w:hAnsi="Arial" w:cs="Arial"/>
          <w:sz w:val="24"/>
          <w:szCs w:val="24"/>
          <w:vertAlign w:val="superscript"/>
        </w:rPr>
        <w:footnoteReference w:id="12"/>
      </w:r>
      <w:r>
        <w:rPr>
          <w:rFonts w:ascii="Arial" w:eastAsia="Arial" w:hAnsi="Arial" w:cs="Arial"/>
          <w:sz w:val="24"/>
          <w:szCs w:val="24"/>
        </w:rPr>
        <w:t xml:space="preserve"> </w:t>
      </w:r>
    </w:p>
    <w:p w14:paraId="225407BF" w14:textId="07134038" w:rsidR="00AB117B" w:rsidRPr="00742F72"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 xml:space="preserve">Asimismo, el Consejo General deberá informar a este Tribunal sobre el cumplimiento, dentro de las 24 horas posteriores a que emita la resolución y, a su vez, remitir las constancias que lo acrediten; primero vía correo electrónico a la cuenta </w:t>
      </w:r>
      <w:hyperlink r:id="rId7">
        <w:r>
          <w:rPr>
            <w:rFonts w:ascii="Arial" w:eastAsia="Arial" w:hAnsi="Arial" w:cs="Arial"/>
            <w:i/>
            <w:color w:val="0563C1"/>
            <w:sz w:val="24"/>
            <w:szCs w:val="24"/>
            <w:u w:val="single"/>
          </w:rPr>
          <w:t>cumplimientos@teeags.mx</w:t>
        </w:r>
      </w:hyperlink>
      <w:r>
        <w:rPr>
          <w:rFonts w:ascii="Arial" w:eastAsia="Arial" w:hAnsi="Arial" w:cs="Arial"/>
          <w:sz w:val="24"/>
          <w:szCs w:val="24"/>
        </w:rPr>
        <w:t>; y para su posterior envío físico a este Tribunal, la Calle Juan de Montoro número 407, Zona Centro, C.P. 20000, de esta ciudad de Aguascalientes, Aguascalientes</w:t>
      </w:r>
      <w:r w:rsidR="00742F72">
        <w:rPr>
          <w:rFonts w:ascii="Arial" w:eastAsia="Arial" w:hAnsi="Arial" w:cs="Arial"/>
          <w:sz w:val="24"/>
          <w:szCs w:val="24"/>
        </w:rPr>
        <w:t>.</w:t>
      </w:r>
    </w:p>
    <w:p w14:paraId="51A97725" w14:textId="63AF1CFC" w:rsidR="00AB117B" w:rsidRDefault="00000000" w:rsidP="00CA0D86">
      <w:pPr>
        <w:spacing w:after="240" w:line="360" w:lineRule="auto"/>
        <w:jc w:val="both"/>
        <w:rPr>
          <w:rFonts w:ascii="Arial" w:eastAsia="Arial" w:hAnsi="Arial" w:cs="Arial"/>
          <w:sz w:val="24"/>
          <w:szCs w:val="24"/>
        </w:rPr>
      </w:pPr>
      <w:r>
        <w:rPr>
          <w:rFonts w:ascii="Arial" w:eastAsia="Arial" w:hAnsi="Arial" w:cs="Arial"/>
          <w:sz w:val="24"/>
          <w:szCs w:val="24"/>
        </w:rPr>
        <w:t>Esto, bajo el apercibimiento que en caso de incumplir lo ordenado en el plazo precisado, se aplicará alguna de las medidas de apremio, previstas en el artículo 328 del Código Electoral.</w:t>
      </w:r>
    </w:p>
    <w:p w14:paraId="3E8D07F2" w14:textId="77777777" w:rsidR="00CA0D86" w:rsidRDefault="00000000" w:rsidP="00CA0D86">
      <w:pPr>
        <w:spacing w:after="240" w:line="360" w:lineRule="auto"/>
        <w:jc w:val="both"/>
        <w:rPr>
          <w:rFonts w:ascii="Arial" w:eastAsia="Arial" w:hAnsi="Arial" w:cs="Arial"/>
          <w:sz w:val="24"/>
          <w:szCs w:val="24"/>
        </w:rPr>
      </w:pPr>
      <w:r>
        <w:rPr>
          <w:rFonts w:ascii="Arial" w:eastAsia="Arial" w:hAnsi="Arial" w:cs="Arial"/>
          <w:sz w:val="24"/>
          <w:szCs w:val="24"/>
        </w:rPr>
        <w:t xml:space="preserve">Por lo expuesto y fundado, se: </w:t>
      </w:r>
      <w:bookmarkStart w:id="12" w:name="_heading=h.17dp8vu" w:colFirst="0" w:colLast="0"/>
      <w:bookmarkEnd w:id="12"/>
    </w:p>
    <w:p w14:paraId="0B422271" w14:textId="021A1B11" w:rsidR="00AB117B" w:rsidRPr="00CA0D86" w:rsidRDefault="00000000" w:rsidP="00CA0D86">
      <w:pPr>
        <w:spacing w:after="240" w:line="360" w:lineRule="auto"/>
        <w:jc w:val="center"/>
        <w:rPr>
          <w:rFonts w:ascii="Arial" w:hAnsi="Arial" w:cs="Arial"/>
          <w:b/>
          <w:bCs/>
          <w:sz w:val="24"/>
          <w:szCs w:val="24"/>
        </w:rPr>
      </w:pPr>
      <w:r w:rsidRPr="00CA0D86">
        <w:rPr>
          <w:rFonts w:ascii="Arial" w:hAnsi="Arial" w:cs="Arial"/>
          <w:b/>
          <w:bCs/>
          <w:sz w:val="24"/>
          <w:szCs w:val="24"/>
        </w:rPr>
        <w:t>Se acuerda:</w:t>
      </w:r>
    </w:p>
    <w:p w14:paraId="65BD98C5" w14:textId="4FF7E9C1" w:rsidR="00AB117B" w:rsidRDefault="00000000" w:rsidP="00742F72">
      <w:pPr>
        <w:spacing w:after="240" w:line="360" w:lineRule="auto"/>
        <w:jc w:val="both"/>
        <w:rPr>
          <w:rFonts w:ascii="Arial" w:eastAsia="Arial" w:hAnsi="Arial" w:cs="Arial"/>
          <w:sz w:val="24"/>
          <w:szCs w:val="24"/>
        </w:rPr>
      </w:pPr>
      <w:r>
        <w:rPr>
          <w:rFonts w:ascii="Arial" w:eastAsia="Arial" w:hAnsi="Arial" w:cs="Arial"/>
          <w:b/>
          <w:sz w:val="24"/>
          <w:szCs w:val="24"/>
        </w:rPr>
        <w:t xml:space="preserve">Primero. </w:t>
      </w:r>
      <w:r>
        <w:rPr>
          <w:rFonts w:ascii="Arial" w:eastAsia="Arial" w:hAnsi="Arial" w:cs="Arial"/>
          <w:sz w:val="24"/>
          <w:szCs w:val="24"/>
        </w:rPr>
        <w:t xml:space="preserve">Se determina la </w:t>
      </w:r>
      <w:r>
        <w:rPr>
          <w:rFonts w:ascii="Arial" w:eastAsia="Arial" w:hAnsi="Arial" w:cs="Arial"/>
          <w:b/>
          <w:sz w:val="24"/>
          <w:szCs w:val="24"/>
        </w:rPr>
        <w:t xml:space="preserve">improcedencia </w:t>
      </w:r>
      <w:r>
        <w:rPr>
          <w:rFonts w:ascii="Arial" w:eastAsia="Arial" w:hAnsi="Arial" w:cs="Arial"/>
          <w:sz w:val="24"/>
          <w:szCs w:val="24"/>
        </w:rPr>
        <w:t xml:space="preserve">del presente recurso de apelación. </w:t>
      </w:r>
    </w:p>
    <w:p w14:paraId="612FB4F3" w14:textId="7E3DA651" w:rsidR="00036AC5" w:rsidRPr="00036AC5" w:rsidRDefault="00000000" w:rsidP="00CA0D86">
      <w:pPr>
        <w:spacing w:line="360" w:lineRule="auto"/>
        <w:jc w:val="both"/>
        <w:rPr>
          <w:rFonts w:ascii="Arial" w:eastAsia="Calibri" w:hAnsi="Arial" w:cs="Arial"/>
          <w:sz w:val="24"/>
          <w:szCs w:val="24"/>
        </w:rPr>
      </w:pPr>
      <w:r>
        <w:rPr>
          <w:rFonts w:ascii="Arial" w:eastAsia="Arial" w:hAnsi="Arial" w:cs="Arial"/>
          <w:b/>
          <w:sz w:val="24"/>
          <w:szCs w:val="24"/>
        </w:rPr>
        <w:t>Segundo.</w:t>
      </w:r>
      <w:r>
        <w:rPr>
          <w:rFonts w:ascii="Arial" w:eastAsia="Arial" w:hAnsi="Arial" w:cs="Arial"/>
          <w:sz w:val="24"/>
          <w:szCs w:val="24"/>
        </w:rPr>
        <w:t xml:space="preserve"> Se </w:t>
      </w:r>
      <w:r>
        <w:rPr>
          <w:rFonts w:ascii="Arial" w:eastAsia="Arial" w:hAnsi="Arial" w:cs="Arial"/>
          <w:b/>
          <w:sz w:val="24"/>
          <w:szCs w:val="24"/>
        </w:rPr>
        <w:t>reencauza</w:t>
      </w:r>
      <w:r>
        <w:rPr>
          <w:rFonts w:ascii="Arial" w:eastAsia="Arial" w:hAnsi="Arial" w:cs="Arial"/>
          <w:sz w:val="24"/>
          <w:szCs w:val="24"/>
        </w:rPr>
        <w:t xml:space="preserve"> la demanda al Consejo General del Instituto Estatal de Aguascalientes</w:t>
      </w:r>
      <w:r w:rsidR="00CA0D86">
        <w:rPr>
          <w:rFonts w:ascii="Arial" w:eastAsia="Arial" w:hAnsi="Arial" w:cs="Arial"/>
          <w:sz w:val="24"/>
          <w:szCs w:val="24"/>
        </w:rPr>
        <w:t xml:space="preserve"> </w:t>
      </w:r>
      <w:r w:rsidR="00CA0D86" w:rsidRPr="00E31181">
        <w:rPr>
          <w:rFonts w:ascii="Arial" w:eastAsia="Calibri" w:hAnsi="Arial" w:cs="Arial"/>
          <w:sz w:val="24"/>
          <w:szCs w:val="24"/>
        </w:rPr>
        <w:t xml:space="preserve">para que sea tal autoridad quien conozca y resuelva conforme a Derecho y, por tanto, se </w:t>
      </w:r>
      <w:r w:rsidR="00CA0D86" w:rsidRPr="00CA0D86">
        <w:rPr>
          <w:rFonts w:ascii="Arial" w:eastAsia="Calibri" w:hAnsi="Arial" w:cs="Arial"/>
          <w:b/>
          <w:bCs/>
          <w:sz w:val="24"/>
          <w:szCs w:val="24"/>
        </w:rPr>
        <w:t>ordena remitir</w:t>
      </w:r>
      <w:r w:rsidR="00CA0D86" w:rsidRPr="00E31181">
        <w:rPr>
          <w:rFonts w:ascii="Arial" w:eastAsia="Calibri" w:hAnsi="Arial" w:cs="Arial"/>
          <w:sz w:val="24"/>
          <w:szCs w:val="24"/>
        </w:rPr>
        <w:t xml:space="preserve"> el expediente original al referido órgano partidista.</w:t>
      </w:r>
    </w:p>
    <w:p w14:paraId="48EA4444" w14:textId="77777777" w:rsidR="00CA0D86" w:rsidRPr="00CA0D86" w:rsidRDefault="00CA0D86" w:rsidP="00CA0D86">
      <w:pPr>
        <w:spacing w:line="360" w:lineRule="auto"/>
        <w:jc w:val="both"/>
        <w:rPr>
          <w:rFonts w:ascii="Arial" w:eastAsia="Calibri" w:hAnsi="Arial" w:cs="Arial"/>
          <w:b/>
          <w:bCs/>
          <w:sz w:val="8"/>
          <w:szCs w:val="8"/>
        </w:rPr>
      </w:pPr>
    </w:p>
    <w:p w14:paraId="2723C534" w14:textId="77777777" w:rsidR="00036AC5" w:rsidRDefault="00036AC5" w:rsidP="00CA0D86">
      <w:pPr>
        <w:spacing w:line="360" w:lineRule="auto"/>
        <w:jc w:val="both"/>
        <w:rPr>
          <w:rFonts w:ascii="Arial" w:eastAsia="Calibri" w:hAnsi="Arial" w:cs="Arial"/>
          <w:b/>
          <w:bCs/>
          <w:sz w:val="24"/>
          <w:szCs w:val="24"/>
        </w:rPr>
      </w:pPr>
    </w:p>
    <w:p w14:paraId="1F87441E" w14:textId="77777777" w:rsidR="00036AC5" w:rsidRPr="00036AC5" w:rsidRDefault="00036AC5" w:rsidP="00CA0D86">
      <w:pPr>
        <w:spacing w:line="360" w:lineRule="auto"/>
        <w:jc w:val="both"/>
        <w:rPr>
          <w:rFonts w:ascii="Arial" w:eastAsia="Calibri" w:hAnsi="Arial" w:cs="Arial"/>
          <w:b/>
          <w:bCs/>
          <w:sz w:val="12"/>
          <w:szCs w:val="12"/>
        </w:rPr>
      </w:pPr>
    </w:p>
    <w:p w14:paraId="0B00EE9B" w14:textId="22512F10" w:rsidR="00CA0D86" w:rsidRDefault="00CA0D86" w:rsidP="00CA0D86">
      <w:pPr>
        <w:spacing w:line="360" w:lineRule="auto"/>
        <w:jc w:val="both"/>
        <w:rPr>
          <w:rFonts w:ascii="Arial" w:eastAsia="Calibri" w:hAnsi="Arial" w:cs="Arial"/>
          <w:sz w:val="24"/>
          <w:szCs w:val="24"/>
        </w:rPr>
      </w:pPr>
      <w:r w:rsidRPr="00E31181">
        <w:rPr>
          <w:rFonts w:ascii="Arial" w:eastAsia="Calibri" w:hAnsi="Arial" w:cs="Arial"/>
          <w:b/>
          <w:bCs/>
          <w:sz w:val="24"/>
          <w:szCs w:val="24"/>
        </w:rPr>
        <w:t>Tercero.</w:t>
      </w:r>
      <w:r w:rsidRPr="00E31181">
        <w:rPr>
          <w:rFonts w:ascii="Arial" w:eastAsia="Calibri" w:hAnsi="Arial" w:cs="Arial"/>
          <w:sz w:val="24"/>
          <w:szCs w:val="24"/>
        </w:rPr>
        <w:t xml:space="preserve"> Se </w:t>
      </w:r>
      <w:r w:rsidRPr="00E31181">
        <w:rPr>
          <w:rFonts w:ascii="Arial" w:eastAsia="Calibri" w:hAnsi="Arial" w:cs="Arial"/>
          <w:b/>
          <w:bCs/>
          <w:sz w:val="24"/>
          <w:szCs w:val="24"/>
        </w:rPr>
        <w:t xml:space="preserve">instruye </w:t>
      </w:r>
      <w:r w:rsidRPr="00E31181">
        <w:rPr>
          <w:rFonts w:ascii="Arial" w:eastAsia="Calibri" w:hAnsi="Arial" w:cs="Arial"/>
          <w:sz w:val="24"/>
          <w:szCs w:val="24"/>
        </w:rPr>
        <w:t>a la Secretaría General de Acuerdos de este Tribunal, a fin de que remita la documentación que posteriormente se reciba en relación al presente juicio, al Instituto Local, debiendo quedar copia certificada en este órgano jurisdiccional.</w:t>
      </w:r>
    </w:p>
    <w:p w14:paraId="69C18F6C" w14:textId="77777777" w:rsidR="00CA0D86" w:rsidRPr="00CA0D86" w:rsidRDefault="00CA0D86" w:rsidP="00CA0D86">
      <w:pPr>
        <w:spacing w:line="360" w:lineRule="auto"/>
        <w:jc w:val="both"/>
        <w:rPr>
          <w:rFonts w:ascii="Arial" w:eastAsia="Calibri" w:hAnsi="Arial" w:cs="Arial"/>
          <w:sz w:val="16"/>
          <w:szCs w:val="16"/>
        </w:rPr>
      </w:pPr>
    </w:p>
    <w:p w14:paraId="12196C50" w14:textId="64FAF7CA" w:rsidR="00AB117B" w:rsidRPr="00742F72"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 xml:space="preserve">En su oportunidad, </w:t>
      </w:r>
      <w:r>
        <w:rPr>
          <w:rFonts w:ascii="Arial" w:eastAsia="Arial" w:hAnsi="Arial" w:cs="Arial"/>
          <w:b/>
          <w:sz w:val="24"/>
          <w:szCs w:val="24"/>
        </w:rPr>
        <w:t>archívese</w:t>
      </w:r>
      <w:r>
        <w:rPr>
          <w:rFonts w:ascii="Arial" w:eastAsia="Arial" w:hAnsi="Arial" w:cs="Arial"/>
          <w:sz w:val="24"/>
          <w:szCs w:val="24"/>
        </w:rPr>
        <w:t xml:space="preserve"> el expediente como asunto concluido. </w:t>
      </w:r>
    </w:p>
    <w:p w14:paraId="2D4FABC5" w14:textId="55BF735F" w:rsidR="00AB117B" w:rsidRPr="00742F72" w:rsidRDefault="00000000" w:rsidP="00742F72">
      <w:pPr>
        <w:spacing w:after="240" w:line="360" w:lineRule="auto"/>
        <w:jc w:val="both"/>
        <w:rPr>
          <w:rFonts w:ascii="Arial" w:eastAsia="Arial" w:hAnsi="Arial" w:cs="Arial"/>
          <w:color w:val="000000"/>
          <w:sz w:val="24"/>
          <w:szCs w:val="24"/>
        </w:rPr>
      </w:pPr>
      <w:r>
        <w:rPr>
          <w:rFonts w:ascii="Arial" w:eastAsia="Arial" w:hAnsi="Arial" w:cs="Arial"/>
          <w:b/>
          <w:color w:val="000000"/>
          <w:sz w:val="24"/>
          <w:szCs w:val="24"/>
        </w:rPr>
        <w:t>Notifíquese</w:t>
      </w:r>
      <w:r>
        <w:rPr>
          <w:rFonts w:ascii="Arial" w:eastAsia="Arial" w:hAnsi="Arial" w:cs="Arial"/>
          <w:color w:val="000000"/>
          <w:sz w:val="24"/>
          <w:szCs w:val="24"/>
        </w:rPr>
        <w:t xml:space="preserve"> conforme a Derecho. </w:t>
      </w:r>
    </w:p>
    <w:p w14:paraId="647D71D1" w14:textId="7D57C28A" w:rsidR="00AB117B" w:rsidRDefault="00000000" w:rsidP="00742F72">
      <w:pPr>
        <w:spacing w:after="240" w:line="360" w:lineRule="auto"/>
        <w:jc w:val="both"/>
        <w:rPr>
          <w:rFonts w:ascii="Arial" w:eastAsia="Arial" w:hAnsi="Arial" w:cs="Arial"/>
          <w:sz w:val="24"/>
          <w:szCs w:val="24"/>
        </w:rPr>
      </w:pPr>
      <w:r>
        <w:rPr>
          <w:rFonts w:ascii="Arial" w:eastAsia="Arial" w:hAnsi="Arial" w:cs="Arial"/>
          <w:sz w:val="24"/>
          <w:szCs w:val="24"/>
        </w:rPr>
        <w:t>Así lo resolvieron, por</w:t>
      </w:r>
      <w:r>
        <w:rPr>
          <w:rFonts w:ascii="Arial" w:eastAsia="Arial" w:hAnsi="Arial" w:cs="Arial"/>
          <w:b/>
          <w:sz w:val="24"/>
          <w:szCs w:val="24"/>
        </w:rPr>
        <w:t xml:space="preserve"> </w:t>
      </w:r>
      <w:r>
        <w:rPr>
          <w:rFonts w:ascii="Arial" w:eastAsia="Arial" w:hAnsi="Arial" w:cs="Arial"/>
          <w:sz w:val="24"/>
          <w:szCs w:val="24"/>
        </w:rPr>
        <w:t>unanimidad de votos, las</w:t>
      </w:r>
      <w:r w:rsidR="00742F72">
        <w:rPr>
          <w:rFonts w:ascii="Arial" w:eastAsia="Arial" w:hAnsi="Arial" w:cs="Arial"/>
          <w:sz w:val="24"/>
          <w:szCs w:val="24"/>
        </w:rPr>
        <w:t xml:space="preserve"> Magistraturas</w:t>
      </w:r>
      <w:r>
        <w:rPr>
          <w:rFonts w:ascii="Arial" w:eastAsia="Arial" w:hAnsi="Arial" w:cs="Arial"/>
          <w:sz w:val="24"/>
          <w:szCs w:val="24"/>
        </w:rPr>
        <w:t xml:space="preserve"> de</w:t>
      </w:r>
      <w:r w:rsidR="00742F72">
        <w:rPr>
          <w:rFonts w:ascii="Arial" w:eastAsia="Arial" w:hAnsi="Arial" w:cs="Arial"/>
          <w:sz w:val="24"/>
          <w:szCs w:val="24"/>
        </w:rPr>
        <w:t xml:space="preserve"> este</w:t>
      </w:r>
      <w:r>
        <w:rPr>
          <w:rFonts w:ascii="Arial" w:eastAsia="Arial" w:hAnsi="Arial" w:cs="Arial"/>
          <w:sz w:val="24"/>
          <w:szCs w:val="24"/>
        </w:rPr>
        <w:t xml:space="preserve"> Tribunal Electoral del Estado de Aguascalientes, ante el </w:t>
      </w:r>
      <w:proofErr w:type="gramStart"/>
      <w:r>
        <w:rPr>
          <w:rFonts w:ascii="Arial" w:eastAsia="Arial" w:hAnsi="Arial" w:cs="Arial"/>
          <w:sz w:val="24"/>
          <w:szCs w:val="24"/>
        </w:rPr>
        <w:t>Secretario General</w:t>
      </w:r>
      <w:proofErr w:type="gramEnd"/>
      <w:r>
        <w:rPr>
          <w:rFonts w:ascii="Arial" w:eastAsia="Arial" w:hAnsi="Arial" w:cs="Arial"/>
          <w:sz w:val="24"/>
          <w:szCs w:val="24"/>
        </w:rPr>
        <w:t xml:space="preserve"> de Acuerdos</w:t>
      </w:r>
      <w:r w:rsidR="00CA0D86">
        <w:rPr>
          <w:rFonts w:ascii="Arial" w:eastAsia="Arial" w:hAnsi="Arial" w:cs="Arial"/>
          <w:sz w:val="24"/>
          <w:szCs w:val="24"/>
        </w:rPr>
        <w:t xml:space="preserve"> en funciones</w:t>
      </w:r>
      <w:r>
        <w:rPr>
          <w:rFonts w:ascii="Arial" w:eastAsia="Arial" w:hAnsi="Arial" w:cs="Arial"/>
          <w:sz w:val="24"/>
          <w:szCs w:val="24"/>
        </w:rPr>
        <w:t xml:space="preserve"> que autoriza y da fe.</w:t>
      </w:r>
    </w:p>
    <w:tbl>
      <w:tblPr>
        <w:tblW w:w="8415" w:type="dxa"/>
        <w:jc w:val="center"/>
        <w:tblLayout w:type="fixed"/>
        <w:tblLook w:val="0400" w:firstRow="0" w:lastRow="0" w:firstColumn="0" w:lastColumn="0" w:noHBand="0" w:noVBand="1"/>
      </w:tblPr>
      <w:tblGrid>
        <w:gridCol w:w="236"/>
        <w:gridCol w:w="3233"/>
        <w:gridCol w:w="4334"/>
        <w:gridCol w:w="612"/>
      </w:tblGrid>
      <w:tr w:rsidR="00742F72" w14:paraId="7B2355A9" w14:textId="77777777" w:rsidTr="00742F72">
        <w:trPr>
          <w:trHeight w:val="1234"/>
          <w:jc w:val="center"/>
        </w:trPr>
        <w:tc>
          <w:tcPr>
            <w:tcW w:w="8418" w:type="dxa"/>
            <w:gridSpan w:val="4"/>
            <w:tcMar>
              <w:top w:w="0" w:type="dxa"/>
              <w:left w:w="115" w:type="dxa"/>
              <w:bottom w:w="0" w:type="dxa"/>
              <w:right w:w="115" w:type="dxa"/>
            </w:tcMar>
          </w:tcPr>
          <w:p w14:paraId="3914F6AE" w14:textId="093D5782" w:rsidR="00742F72" w:rsidRDefault="00742F72">
            <w:pPr>
              <w:spacing w:line="360" w:lineRule="auto"/>
              <w:jc w:val="center"/>
              <w:rPr>
                <w:sz w:val="24"/>
                <w:szCs w:val="24"/>
              </w:rPr>
            </w:pPr>
            <w:r>
              <w:rPr>
                <w:rFonts w:ascii="Arial" w:eastAsia="Arial" w:hAnsi="Arial" w:cs="Arial"/>
                <w:b/>
                <w:color w:val="000000"/>
                <w:sz w:val="24"/>
                <w:szCs w:val="24"/>
              </w:rPr>
              <w:t>MAGISTRADO PRESIDENTE</w:t>
            </w:r>
          </w:p>
          <w:p w14:paraId="74484FFE" w14:textId="5E7AC116" w:rsidR="00742F72" w:rsidRDefault="00742F72">
            <w:pPr>
              <w:rPr>
                <w:color w:val="000000"/>
              </w:rPr>
            </w:pPr>
          </w:p>
          <w:p w14:paraId="1531BADD" w14:textId="77777777" w:rsidR="00742F72" w:rsidRDefault="00742F72">
            <w:pPr>
              <w:rPr>
                <w:color w:val="000000"/>
              </w:rPr>
            </w:pPr>
          </w:p>
          <w:p w14:paraId="2FDA5FDE" w14:textId="77777777" w:rsidR="00742F72" w:rsidRDefault="00742F72">
            <w:pPr>
              <w:rPr>
                <w:color w:val="000000"/>
              </w:rPr>
            </w:pPr>
          </w:p>
          <w:p w14:paraId="679C883C" w14:textId="77777777" w:rsidR="00742F72" w:rsidRDefault="00742F72">
            <w:pPr>
              <w:spacing w:line="360" w:lineRule="auto"/>
              <w:jc w:val="center"/>
              <w:rPr>
                <w:sz w:val="24"/>
                <w:szCs w:val="24"/>
              </w:rPr>
            </w:pPr>
            <w:r>
              <w:rPr>
                <w:rFonts w:ascii="Arial" w:eastAsia="Arial" w:hAnsi="Arial" w:cs="Arial"/>
                <w:b/>
                <w:color w:val="000000"/>
                <w:sz w:val="24"/>
                <w:szCs w:val="24"/>
              </w:rPr>
              <w:t>HÉCTOR SALVADOR HERNÁNDEZ GALLEGOS</w:t>
            </w:r>
          </w:p>
        </w:tc>
      </w:tr>
      <w:tr w:rsidR="00742F72" w14:paraId="11C607D0" w14:textId="77777777" w:rsidTr="00742F72">
        <w:trPr>
          <w:gridAfter w:val="1"/>
          <w:wAfter w:w="621" w:type="dxa"/>
          <w:trHeight w:val="70"/>
          <w:jc w:val="center"/>
        </w:trPr>
        <w:tc>
          <w:tcPr>
            <w:tcW w:w="124" w:type="dxa"/>
          </w:tcPr>
          <w:p w14:paraId="159A3BDE" w14:textId="77777777" w:rsidR="00742F72" w:rsidRDefault="00742F72">
            <w:pPr>
              <w:widowControl w:val="0"/>
              <w:spacing w:line="276" w:lineRule="auto"/>
              <w:rPr>
                <w:sz w:val="24"/>
                <w:szCs w:val="24"/>
              </w:rPr>
            </w:pPr>
          </w:p>
        </w:tc>
        <w:tc>
          <w:tcPr>
            <w:tcW w:w="3278" w:type="dxa"/>
            <w:tcMar>
              <w:top w:w="0" w:type="dxa"/>
              <w:left w:w="115" w:type="dxa"/>
              <w:bottom w:w="0" w:type="dxa"/>
              <w:right w:w="115" w:type="dxa"/>
            </w:tcMar>
          </w:tcPr>
          <w:p w14:paraId="58F776B5" w14:textId="1152CA74" w:rsidR="00742F72" w:rsidRDefault="00742F72">
            <w:pPr>
              <w:spacing w:line="360" w:lineRule="auto"/>
              <w:rPr>
                <w:rFonts w:ascii="Arial" w:eastAsia="Arial" w:hAnsi="Arial" w:cs="Arial"/>
                <w:b/>
                <w:color w:val="000000"/>
                <w:sz w:val="24"/>
                <w:szCs w:val="24"/>
              </w:rPr>
            </w:pPr>
          </w:p>
          <w:p w14:paraId="2891ED66" w14:textId="48A638E1" w:rsidR="00742F72" w:rsidRDefault="00742F72">
            <w:pPr>
              <w:spacing w:line="360" w:lineRule="auto"/>
              <w:jc w:val="center"/>
              <w:rPr>
                <w:sz w:val="24"/>
                <w:szCs w:val="24"/>
              </w:rPr>
            </w:pPr>
            <w:r>
              <w:rPr>
                <w:rFonts w:ascii="Arial" w:eastAsia="Arial" w:hAnsi="Arial" w:cs="Arial"/>
                <w:b/>
                <w:color w:val="000000"/>
                <w:sz w:val="24"/>
                <w:szCs w:val="24"/>
              </w:rPr>
              <w:t>MAGISTRADA</w:t>
            </w:r>
          </w:p>
          <w:p w14:paraId="014D2E43" w14:textId="0F2F66A5" w:rsidR="00742F72" w:rsidRDefault="00742F72">
            <w:pPr>
              <w:rPr>
                <w:color w:val="000000"/>
              </w:rPr>
            </w:pPr>
          </w:p>
          <w:p w14:paraId="08F46967" w14:textId="77777777" w:rsidR="00742F72" w:rsidRDefault="00742F72">
            <w:pPr>
              <w:rPr>
                <w:color w:val="000000"/>
              </w:rPr>
            </w:pPr>
          </w:p>
          <w:p w14:paraId="237C5C94" w14:textId="77777777" w:rsidR="00742F72" w:rsidRDefault="00742F72">
            <w:pPr>
              <w:jc w:val="center"/>
              <w:rPr>
                <w:sz w:val="24"/>
                <w:szCs w:val="24"/>
              </w:rPr>
            </w:pPr>
            <w:r>
              <w:rPr>
                <w:rFonts w:ascii="Arial" w:eastAsia="Arial" w:hAnsi="Arial" w:cs="Arial"/>
                <w:b/>
                <w:color w:val="000000"/>
                <w:sz w:val="24"/>
                <w:szCs w:val="24"/>
              </w:rPr>
              <w:t>LAURA HORTENSIA </w:t>
            </w:r>
          </w:p>
          <w:p w14:paraId="74F855AB" w14:textId="77777777" w:rsidR="00742F72" w:rsidRDefault="00742F72">
            <w:pPr>
              <w:ind w:right="25"/>
              <w:jc w:val="center"/>
              <w:rPr>
                <w:sz w:val="24"/>
                <w:szCs w:val="24"/>
              </w:rPr>
            </w:pPr>
            <w:r>
              <w:rPr>
                <w:rFonts w:ascii="Arial" w:eastAsia="Arial" w:hAnsi="Arial" w:cs="Arial"/>
                <w:b/>
                <w:color w:val="000000"/>
                <w:sz w:val="24"/>
                <w:szCs w:val="24"/>
              </w:rPr>
              <w:t>LLAMAS HERNÁNDEZ</w:t>
            </w:r>
          </w:p>
        </w:tc>
        <w:tc>
          <w:tcPr>
            <w:tcW w:w="4395" w:type="dxa"/>
            <w:tcMar>
              <w:top w:w="0" w:type="dxa"/>
              <w:left w:w="115" w:type="dxa"/>
              <w:bottom w:w="0" w:type="dxa"/>
              <w:right w:w="115" w:type="dxa"/>
            </w:tcMar>
          </w:tcPr>
          <w:p w14:paraId="75FB76A5" w14:textId="39CD04C9" w:rsidR="00742F72" w:rsidRDefault="00742F72">
            <w:pPr>
              <w:spacing w:line="360" w:lineRule="auto"/>
              <w:ind w:right="-824"/>
              <w:rPr>
                <w:rFonts w:ascii="Arial" w:eastAsia="Arial" w:hAnsi="Arial" w:cs="Arial"/>
                <w:b/>
                <w:color w:val="000000"/>
                <w:sz w:val="24"/>
                <w:szCs w:val="24"/>
              </w:rPr>
            </w:pPr>
          </w:p>
          <w:p w14:paraId="4B03815D" w14:textId="5C2355E3" w:rsidR="00742F72" w:rsidRDefault="00742F72">
            <w:pPr>
              <w:spacing w:line="360" w:lineRule="auto"/>
              <w:ind w:left="336" w:right="-824" w:hanging="336"/>
              <w:jc w:val="center"/>
              <w:rPr>
                <w:sz w:val="24"/>
                <w:szCs w:val="24"/>
              </w:rPr>
            </w:pPr>
            <w:r>
              <w:rPr>
                <w:rFonts w:ascii="Arial" w:eastAsia="Arial" w:hAnsi="Arial" w:cs="Arial"/>
                <w:b/>
                <w:color w:val="000000"/>
                <w:sz w:val="24"/>
                <w:szCs w:val="24"/>
              </w:rPr>
              <w:t>MAGISTRADO EN FUNCIONES</w:t>
            </w:r>
          </w:p>
          <w:p w14:paraId="6086BC80" w14:textId="77777777" w:rsidR="00742F72" w:rsidRDefault="00742F72">
            <w:pPr>
              <w:rPr>
                <w:color w:val="000000"/>
              </w:rPr>
            </w:pPr>
          </w:p>
          <w:p w14:paraId="2BFA7409" w14:textId="77777777" w:rsidR="00742F72" w:rsidRDefault="00742F72">
            <w:pPr>
              <w:rPr>
                <w:color w:val="000000"/>
              </w:rPr>
            </w:pPr>
          </w:p>
          <w:p w14:paraId="42424893" w14:textId="77777777" w:rsidR="00742F72" w:rsidRDefault="00742F72">
            <w:pPr>
              <w:ind w:left="336" w:right="-824" w:hanging="336"/>
              <w:jc w:val="center"/>
              <w:rPr>
                <w:rFonts w:ascii="Arial" w:eastAsia="Arial" w:hAnsi="Arial" w:cs="Arial"/>
                <w:b/>
                <w:color w:val="000000"/>
                <w:sz w:val="24"/>
                <w:szCs w:val="24"/>
              </w:rPr>
            </w:pPr>
            <w:r>
              <w:rPr>
                <w:rFonts w:ascii="Arial" w:eastAsia="Arial" w:hAnsi="Arial" w:cs="Arial"/>
                <w:b/>
                <w:color w:val="000000"/>
                <w:sz w:val="24"/>
                <w:szCs w:val="24"/>
              </w:rPr>
              <w:t xml:space="preserve">NÉSTOR ENRIQUE </w:t>
            </w:r>
          </w:p>
          <w:p w14:paraId="03E6F7F0" w14:textId="77777777" w:rsidR="00742F72" w:rsidRDefault="00742F72">
            <w:pPr>
              <w:ind w:left="336" w:right="-824" w:hanging="336"/>
              <w:jc w:val="center"/>
              <w:rPr>
                <w:sz w:val="24"/>
                <w:szCs w:val="24"/>
              </w:rPr>
            </w:pPr>
            <w:r>
              <w:rPr>
                <w:rFonts w:ascii="Arial" w:eastAsia="Arial" w:hAnsi="Arial" w:cs="Arial"/>
                <w:b/>
                <w:color w:val="000000"/>
                <w:sz w:val="24"/>
                <w:szCs w:val="24"/>
              </w:rPr>
              <w:t>RIVERA LÓPEZ</w:t>
            </w:r>
          </w:p>
          <w:p w14:paraId="4EC25F12" w14:textId="77777777" w:rsidR="00742F72" w:rsidRDefault="00742F72">
            <w:pPr>
              <w:ind w:left="336" w:right="-824" w:hanging="336"/>
              <w:rPr>
                <w:color w:val="000000"/>
              </w:rPr>
            </w:pPr>
          </w:p>
        </w:tc>
      </w:tr>
      <w:tr w:rsidR="00742F72" w14:paraId="49990841" w14:textId="77777777" w:rsidTr="00742F72">
        <w:trPr>
          <w:gridAfter w:val="1"/>
          <w:wAfter w:w="621" w:type="dxa"/>
          <w:trHeight w:val="350"/>
          <w:jc w:val="center"/>
        </w:trPr>
        <w:tc>
          <w:tcPr>
            <w:tcW w:w="124" w:type="dxa"/>
          </w:tcPr>
          <w:p w14:paraId="75267AF8" w14:textId="77777777" w:rsidR="00742F72" w:rsidRDefault="00742F72">
            <w:pPr>
              <w:widowControl w:val="0"/>
              <w:spacing w:line="276" w:lineRule="auto"/>
              <w:rPr>
                <w:sz w:val="24"/>
                <w:szCs w:val="24"/>
              </w:rPr>
            </w:pPr>
          </w:p>
          <w:p w14:paraId="60487613" w14:textId="77777777" w:rsidR="00742F72" w:rsidRDefault="00742F72">
            <w:pPr>
              <w:widowControl w:val="0"/>
              <w:spacing w:line="276" w:lineRule="auto"/>
              <w:rPr>
                <w:sz w:val="24"/>
                <w:szCs w:val="24"/>
              </w:rPr>
            </w:pPr>
          </w:p>
        </w:tc>
        <w:tc>
          <w:tcPr>
            <w:tcW w:w="3278" w:type="dxa"/>
            <w:tcMar>
              <w:top w:w="0" w:type="dxa"/>
              <w:left w:w="115" w:type="dxa"/>
              <w:bottom w:w="0" w:type="dxa"/>
              <w:right w:w="115" w:type="dxa"/>
            </w:tcMar>
          </w:tcPr>
          <w:p w14:paraId="56E6AC04" w14:textId="77777777" w:rsidR="00742F72" w:rsidRDefault="00742F72">
            <w:pPr>
              <w:spacing w:line="360" w:lineRule="auto"/>
              <w:rPr>
                <w:rFonts w:ascii="Arial" w:eastAsia="Arial" w:hAnsi="Arial" w:cs="Arial"/>
                <w:b/>
                <w:color w:val="000000"/>
                <w:sz w:val="24"/>
                <w:szCs w:val="24"/>
              </w:rPr>
            </w:pPr>
          </w:p>
        </w:tc>
        <w:tc>
          <w:tcPr>
            <w:tcW w:w="4395" w:type="dxa"/>
            <w:tcMar>
              <w:top w:w="0" w:type="dxa"/>
              <w:left w:w="115" w:type="dxa"/>
              <w:bottom w:w="0" w:type="dxa"/>
              <w:right w:w="115" w:type="dxa"/>
            </w:tcMar>
          </w:tcPr>
          <w:p w14:paraId="6A61EB9E" w14:textId="77777777" w:rsidR="00742F72" w:rsidRDefault="00742F72">
            <w:pPr>
              <w:spacing w:line="360" w:lineRule="auto"/>
              <w:ind w:right="-824"/>
              <w:rPr>
                <w:rFonts w:ascii="Arial" w:eastAsia="Arial" w:hAnsi="Arial" w:cs="Arial"/>
                <w:b/>
                <w:color w:val="000000"/>
                <w:sz w:val="24"/>
                <w:szCs w:val="24"/>
              </w:rPr>
            </w:pPr>
          </w:p>
        </w:tc>
      </w:tr>
      <w:tr w:rsidR="00742F72" w14:paraId="1750DA54" w14:textId="77777777" w:rsidTr="00742F72">
        <w:trPr>
          <w:jc w:val="center"/>
        </w:trPr>
        <w:tc>
          <w:tcPr>
            <w:tcW w:w="8418" w:type="dxa"/>
            <w:gridSpan w:val="4"/>
            <w:tcMar>
              <w:top w:w="0" w:type="dxa"/>
              <w:left w:w="115" w:type="dxa"/>
              <w:bottom w:w="0" w:type="dxa"/>
              <w:right w:w="115" w:type="dxa"/>
            </w:tcMar>
          </w:tcPr>
          <w:p w14:paraId="0EDE891F" w14:textId="302D8EC5" w:rsidR="00742F72" w:rsidRDefault="00742F72">
            <w:pPr>
              <w:spacing w:line="360" w:lineRule="auto"/>
              <w:ind w:right="-270"/>
              <w:jc w:val="center"/>
              <w:rPr>
                <w:sz w:val="24"/>
                <w:szCs w:val="24"/>
              </w:rPr>
            </w:pPr>
            <w:r>
              <w:rPr>
                <w:rFonts w:ascii="Arial" w:eastAsia="Arial" w:hAnsi="Arial" w:cs="Arial"/>
                <w:b/>
                <w:color w:val="000000"/>
                <w:sz w:val="24"/>
                <w:szCs w:val="24"/>
              </w:rPr>
              <w:t>SECRETARIO GENERAL DE ACUERDOS EN FUNCIONES</w:t>
            </w:r>
          </w:p>
          <w:p w14:paraId="0A3F2622" w14:textId="77777777" w:rsidR="00742F72" w:rsidRDefault="00742F72">
            <w:pPr>
              <w:rPr>
                <w:color w:val="000000"/>
              </w:rPr>
            </w:pPr>
          </w:p>
          <w:p w14:paraId="33A69ED9" w14:textId="77777777" w:rsidR="00742F72" w:rsidRDefault="00742F72">
            <w:pPr>
              <w:rPr>
                <w:color w:val="000000"/>
              </w:rPr>
            </w:pPr>
          </w:p>
          <w:p w14:paraId="1A28C306" w14:textId="77777777" w:rsidR="00742F72" w:rsidRDefault="00742F72">
            <w:pPr>
              <w:rPr>
                <w:color w:val="000000"/>
              </w:rPr>
            </w:pPr>
          </w:p>
          <w:p w14:paraId="28CE8F01" w14:textId="77777777" w:rsidR="00742F72" w:rsidRDefault="00742F72">
            <w:pPr>
              <w:spacing w:line="360" w:lineRule="auto"/>
              <w:jc w:val="center"/>
              <w:rPr>
                <w:sz w:val="24"/>
                <w:szCs w:val="24"/>
              </w:rPr>
            </w:pPr>
            <w:r>
              <w:rPr>
                <w:rFonts w:ascii="Arial" w:eastAsia="Arial" w:hAnsi="Arial" w:cs="Arial"/>
                <w:b/>
                <w:color w:val="000000"/>
                <w:sz w:val="24"/>
                <w:szCs w:val="24"/>
              </w:rPr>
              <w:t>JOEL VALENTÍN JIMÉNEZ ALMANZA</w:t>
            </w:r>
          </w:p>
        </w:tc>
      </w:tr>
    </w:tbl>
    <w:p w14:paraId="13D48E80" w14:textId="0851BA69" w:rsidR="00742F72" w:rsidRDefault="00742F72" w:rsidP="00742F72">
      <w:pPr>
        <w:spacing w:line="360" w:lineRule="auto"/>
        <w:rPr>
          <w:rFonts w:ascii="Arial" w:eastAsia="Arial" w:hAnsi="Arial" w:cs="Arial"/>
          <w:sz w:val="28"/>
          <w:szCs w:val="28"/>
        </w:rPr>
      </w:pPr>
    </w:p>
    <w:p w14:paraId="3B84432E" w14:textId="0423C413" w:rsidR="00AB117B" w:rsidRDefault="00036AC5" w:rsidP="00036AC5">
      <w:pPr>
        <w:tabs>
          <w:tab w:val="left" w:pos="3198"/>
          <w:tab w:val="left" w:pos="3852"/>
        </w:tabs>
        <w:spacing w:after="240" w:line="36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sectPr w:rsidR="00AB117B">
      <w:headerReference w:type="default" r:id="rId8"/>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CAE6D" w14:textId="77777777" w:rsidR="001E6E95" w:rsidRDefault="001E6E95">
      <w:r>
        <w:separator/>
      </w:r>
    </w:p>
  </w:endnote>
  <w:endnote w:type="continuationSeparator" w:id="0">
    <w:p w14:paraId="426FD31E" w14:textId="77777777" w:rsidR="001E6E95" w:rsidRDefault="001E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789C" w14:textId="77777777" w:rsidR="001E6E95" w:rsidRDefault="001E6E95">
      <w:r>
        <w:separator/>
      </w:r>
    </w:p>
  </w:footnote>
  <w:footnote w:type="continuationSeparator" w:id="0">
    <w:p w14:paraId="03F23B9A" w14:textId="77777777" w:rsidR="001E6E95" w:rsidRDefault="001E6E95">
      <w:r>
        <w:continuationSeparator/>
      </w:r>
    </w:p>
  </w:footnote>
  <w:footnote w:id="1">
    <w:p w14:paraId="424290D7" w14:textId="77777777" w:rsidR="00AB117B" w:rsidRDefault="00000000">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Encargad</w:t>
      </w:r>
      <w:r>
        <w:rPr>
          <w:rFonts w:ascii="Arial" w:eastAsia="Arial" w:hAnsi="Arial" w:cs="Arial"/>
        </w:rPr>
        <w:t>a</w:t>
      </w:r>
      <w:r>
        <w:rPr>
          <w:rFonts w:ascii="Arial" w:eastAsia="Arial" w:hAnsi="Arial" w:cs="Arial"/>
          <w:color w:val="000000"/>
        </w:rPr>
        <w:t xml:space="preserve"> de despacho de la secretaría de estudio de la ponencia II.</w:t>
      </w:r>
    </w:p>
  </w:footnote>
  <w:footnote w:id="2">
    <w:p w14:paraId="013C33D1" w14:textId="77777777" w:rsidR="00F56AD4" w:rsidRDefault="00F56AD4" w:rsidP="00F56AD4">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Todas las fechas corresponden al 202</w:t>
      </w:r>
      <w:r>
        <w:rPr>
          <w:rFonts w:ascii="Arial" w:eastAsia="Arial" w:hAnsi="Arial" w:cs="Arial"/>
        </w:rPr>
        <w:t>4</w:t>
      </w:r>
      <w:r>
        <w:rPr>
          <w:rFonts w:ascii="Arial" w:eastAsia="Arial" w:hAnsi="Arial" w:cs="Arial"/>
          <w:color w:val="000000"/>
        </w:rPr>
        <w:t>, salvo precisión en contrario.</w:t>
      </w:r>
    </w:p>
  </w:footnote>
  <w:footnote w:id="3">
    <w:p w14:paraId="475E3EEE" w14:textId="77777777" w:rsidR="00AB117B" w:rsidRDefault="00000000">
      <w:pPr>
        <w:pBdr>
          <w:top w:val="nil"/>
          <w:left w:val="nil"/>
          <w:bottom w:val="nil"/>
          <w:right w:val="nil"/>
          <w:between w:val="nil"/>
        </w:pBdr>
        <w:jc w:val="both"/>
        <w:rPr>
          <w:color w:val="000000"/>
          <w:sz w:val="24"/>
          <w:szCs w:val="24"/>
        </w:rPr>
      </w:pPr>
      <w:r>
        <w:rPr>
          <w:vertAlign w:val="superscript"/>
        </w:rPr>
        <w:footnoteRef/>
      </w:r>
      <w:r>
        <w:rPr>
          <w:rFonts w:ascii="Arial" w:eastAsia="Arial" w:hAnsi="Arial" w:cs="Arial"/>
          <w:color w:val="000000"/>
        </w:rPr>
        <w:t xml:space="preserve"> Jurisprudencia de rubro: “</w:t>
      </w:r>
      <w:r>
        <w:rPr>
          <w:rFonts w:ascii="Arial" w:eastAsia="Arial" w:hAnsi="Arial" w:cs="Arial"/>
          <w:i/>
          <w:color w:val="000000"/>
        </w:rPr>
        <w:t>MEDIOS DE IMPUGNACIÓN. LAS RESOLUCIONES O ACTUACIONES QUE IMPLIQUEN UNA MODIFICACIÓN EN LA SUSTANCIACIÓN DEL PROCEDIMIENTO ORDINARIO, SON COMPETENCIA DE LA SALA SUPERIOR Y NO DEL MAGISTRADO INSTRUCTOR</w:t>
      </w:r>
      <w:r>
        <w:rPr>
          <w:rFonts w:ascii="Arial" w:eastAsia="Arial" w:hAnsi="Arial" w:cs="Arial"/>
          <w:i/>
          <w:color w:val="000000"/>
          <w:highlight w:val="white"/>
        </w:rPr>
        <w:t xml:space="preserve">”, </w:t>
      </w:r>
      <w:r>
        <w:rPr>
          <w:rFonts w:ascii="Arial" w:eastAsia="Arial" w:hAnsi="Arial" w:cs="Arial"/>
          <w:color w:val="000000"/>
        </w:rPr>
        <w:t>visible en Justicia Electoral. Revista del Tribunal Electoral del Poder Judicial de la Federación, suplemento 3, año 2000, páginas 17 y 18.</w:t>
      </w:r>
    </w:p>
  </w:footnote>
  <w:footnote w:id="4">
    <w:p w14:paraId="05A0FD44" w14:textId="77777777" w:rsidR="00AB117B" w:rsidRDefault="00000000">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17. Ninguna persona podrá hacerse justicia por sí misma, ni ejercer violencia para reclamar su derecho. </w:t>
      </w:r>
      <w:r>
        <w:rPr>
          <w:rFonts w:ascii="Arial" w:eastAsia="Arial" w:hAnsi="Arial" w:cs="Arial"/>
          <w:color w:val="000000"/>
        </w:rPr>
        <w:br/>
        <w:t xml:space="preserve">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 </w:t>
      </w:r>
    </w:p>
  </w:footnote>
  <w:footnote w:id="5">
    <w:p w14:paraId="0C20D427" w14:textId="5E7AD6F9" w:rsidR="00AB117B" w:rsidRDefault="00000000">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sidR="00036AC5">
        <w:rPr>
          <w:rFonts w:ascii="Arial" w:eastAsia="Arial" w:hAnsi="Arial" w:cs="Arial"/>
          <w:color w:val="000000"/>
        </w:rPr>
        <w:t>Véase</w:t>
      </w:r>
      <w:r>
        <w:rPr>
          <w:rFonts w:ascii="Arial" w:eastAsia="Arial" w:hAnsi="Arial" w:cs="Arial"/>
          <w:color w:val="000000"/>
        </w:rPr>
        <w:t xml:space="preserve"> el asunto SUP-AG-185/2021.</w:t>
      </w:r>
    </w:p>
  </w:footnote>
  <w:footnote w:id="6">
    <w:p w14:paraId="6277835B" w14:textId="77777777" w:rsidR="00AB117B" w:rsidRDefault="00000000">
      <w:pPr>
        <w:pBdr>
          <w:top w:val="nil"/>
          <w:left w:val="nil"/>
          <w:bottom w:val="nil"/>
          <w:right w:val="nil"/>
          <w:between w:val="nil"/>
        </w:pBdr>
        <w:jc w:val="both"/>
        <w:rPr>
          <w:rFonts w:ascii="Arial" w:eastAsia="Arial" w:hAnsi="Arial" w:cs="Arial"/>
          <w:color w:val="000000"/>
        </w:rPr>
      </w:pPr>
      <w:r>
        <w:rPr>
          <w:vertAlign w:val="superscript"/>
        </w:rPr>
        <w:footnoteRef/>
      </w:r>
      <w:r>
        <w:rPr>
          <w:rFonts w:ascii="Calibri" w:eastAsia="Calibri" w:hAnsi="Calibri" w:cs="Calibri"/>
          <w:color w:val="000000"/>
        </w:rPr>
        <w:t xml:space="preserve"> </w:t>
      </w:r>
      <w:r>
        <w:rPr>
          <w:rFonts w:ascii="Arial" w:eastAsia="Arial" w:hAnsi="Arial" w:cs="Arial"/>
        </w:rPr>
        <w:t>Art.330.- Es competente para conocer del recurso de inconformidad el Consejo. El recurso de inconformidad procede contra actos o resoluciones de los consejos distritales y municipales.</w:t>
      </w:r>
    </w:p>
  </w:footnote>
  <w:footnote w:id="7">
    <w:p w14:paraId="1DF713D3" w14:textId="77777777" w:rsidR="00AB117B" w:rsidRDefault="00000000">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99. El Tribunal Electoral será, con excepción de lo dispuesto en la fracción II del artículo 105 de esta Constitución, la máxima autoridad jurisdiccional en la materia y órgano especializado del Poder Judicial de la Federación. […]</w:t>
      </w:r>
    </w:p>
    <w:p w14:paraId="2AC0505C" w14:textId="77777777" w:rsidR="00AB117B"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Al Tribunal Electoral le corresponde resolver en forma definitiva e inatacable, en los términos de esta Constitución y según lo disponga la ley, sobre: […]</w:t>
      </w:r>
    </w:p>
    <w:p w14:paraId="2ED79092" w14:textId="77777777" w:rsidR="00AB117B" w:rsidRDefault="00000000">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rPr>
        <w:t>V. Las impugnaciones de actos y resoluciones que violen los derechos político-electorales de la ciudadanía de votar, ser votado y de afiliación libre y pacífica para tomar parte en los asuntos políticos del país, en los términos que señalen esta Constitución y las leyes. Para que un ciudadano pueda acudir a la jurisdicción del Tribunal por violaciones a sus derechos por el partido político al que se encuentre afiliado, deberá haber agotado previamente las instancias de solución de conflictos previstas en sus normas internas, la ley establecerá las reglas y plazos aplicables.</w:t>
      </w:r>
    </w:p>
  </w:footnote>
  <w:footnote w:id="8">
    <w:p w14:paraId="1ED1FEE4" w14:textId="77777777" w:rsidR="00AB117B" w:rsidRDefault="00000000">
      <w:pPr>
        <w:pBdr>
          <w:top w:val="nil"/>
          <w:left w:val="nil"/>
          <w:bottom w:val="nil"/>
          <w:right w:val="nil"/>
          <w:between w:val="nil"/>
        </w:pBdr>
        <w:jc w:val="both"/>
        <w:rPr>
          <w:rFonts w:ascii="Arial" w:eastAsia="Arial" w:hAnsi="Arial" w:cs="Arial"/>
          <w:color w:val="000000"/>
        </w:rPr>
      </w:pPr>
      <w:r>
        <w:rPr>
          <w:vertAlign w:val="superscript"/>
        </w:rPr>
        <w:footnoteRef/>
      </w:r>
      <w:r>
        <w:rPr>
          <w:rFonts w:ascii="Calibri" w:eastAsia="Calibri" w:hAnsi="Calibri" w:cs="Calibri"/>
          <w:color w:val="000000"/>
        </w:rPr>
        <w:t xml:space="preserve"> </w:t>
      </w:r>
      <w:r>
        <w:rPr>
          <w:rFonts w:ascii="Arial" w:eastAsia="Arial" w:hAnsi="Arial" w:cs="Arial"/>
        </w:rPr>
        <w:t>Artículo 330.- Es competente para conocer del recurso de inconformidad el Consejo. El recurso de inconformidad procede contra actos o resoluciones de los consejos distritales y municipales.</w:t>
      </w:r>
    </w:p>
  </w:footnote>
  <w:footnote w:id="9">
    <w:p w14:paraId="792C4019" w14:textId="77777777" w:rsidR="00AB117B" w:rsidRDefault="00000000">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rPr>
        <w:t>Artículo 331.- El recurso de inconformidad deberá presentarse ante el Consejo Distrital o Municipal que emita el acto o resolución impugnado. Este recurso procederá exclusivamente durante la etapa de preparación de la elección.</w:t>
      </w:r>
    </w:p>
  </w:footnote>
  <w:footnote w:id="10">
    <w:p w14:paraId="31A40607" w14:textId="77777777" w:rsidR="00AB117B" w:rsidRDefault="00000000">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17. Ninguna persona podrá hacerse justicia por sí misma, ni ejercer violencia para reclamar su derecho. </w:t>
      </w:r>
    </w:p>
    <w:p w14:paraId="7C8819A0" w14:textId="77777777" w:rsidR="00AB117B"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p>
    <w:p w14:paraId="0C4BFC39" w14:textId="77777777" w:rsidR="00AB117B"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footnote>
  <w:footnote w:id="11">
    <w:p w14:paraId="5A17DC2A" w14:textId="77777777" w:rsidR="00AB117B" w:rsidRDefault="00000000">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332.- El recurso de inconformidad deberá ser resuelto dentro de los seis días siguientes a la fecha en que hayan sido recibidos por el Consejo o perdido el derecho para ello, los documentos establecidos en el artículo 312 del presente Código.</w:t>
      </w:r>
    </w:p>
    <w:bookmarkStart w:id="10" w:name="_heading=h.3rdcrjn" w:colFirst="0" w:colLast="0"/>
    <w:bookmarkEnd w:id="10"/>
  </w:footnote>
  <w:footnote w:id="12">
    <w:p w14:paraId="60661FB5" w14:textId="34AAD784" w:rsidR="00AB117B" w:rsidRDefault="00000000">
      <w:pPr>
        <w:pBdr>
          <w:top w:val="nil"/>
          <w:left w:val="nil"/>
          <w:bottom w:val="nil"/>
          <w:right w:val="nil"/>
          <w:between w:val="nil"/>
        </w:pBdr>
        <w:jc w:val="both"/>
        <w:rPr>
          <w:rFonts w:ascii="Calibri" w:eastAsia="Calibri" w:hAnsi="Calibri" w:cs="Calibri"/>
          <w:color w:val="000000"/>
        </w:rPr>
      </w:pPr>
      <w:bookmarkStart w:id="11" w:name="_heading=h.3rdcrjn" w:colFirst="0" w:colLast="0"/>
      <w:bookmarkEnd w:id="11"/>
      <w:r>
        <w:rPr>
          <w:vertAlign w:val="superscript"/>
        </w:rPr>
        <w:footnoteRef/>
      </w:r>
      <w:r>
        <w:rPr>
          <w:rFonts w:ascii="Arial" w:eastAsia="Arial" w:hAnsi="Arial" w:cs="Arial"/>
          <w:color w:val="000000"/>
        </w:rPr>
        <w:t xml:space="preserve">Jurisprudencia 9/2012, de rubro: </w:t>
      </w:r>
      <w:r w:rsidR="00036AC5" w:rsidRPr="00036AC5">
        <w:rPr>
          <w:rFonts w:ascii="Arial" w:eastAsia="Arial" w:hAnsi="Arial" w:cs="Arial"/>
          <w:i/>
          <w:iCs/>
          <w:color w:val="000000"/>
        </w:rPr>
        <w:t>“</w:t>
      </w:r>
      <w:r w:rsidRPr="00036AC5">
        <w:rPr>
          <w:rFonts w:ascii="Arial" w:eastAsia="Arial" w:hAnsi="Arial" w:cs="Arial"/>
          <w:i/>
          <w:iCs/>
          <w:color w:val="000000"/>
        </w:rPr>
        <w:t>REENCAUZAMIENTO. EL ANÁLISIS DE LA PROCEDENCIA DEL MEDIO DE IMPUGNACIÓN CORRESPONDE A LA AUTORIDAD U ÓRGANO COMPETENTE</w:t>
      </w:r>
      <w:r w:rsidR="00036AC5" w:rsidRPr="00036AC5">
        <w:rPr>
          <w:rFonts w:ascii="Arial" w:eastAsia="Arial" w:hAnsi="Arial" w:cs="Arial"/>
          <w:i/>
          <w:iCs/>
          <w:color w:val="000000"/>
        </w:rPr>
        <w:t>”,</w:t>
      </w:r>
      <w:r w:rsidR="00036AC5" w:rsidRPr="00036AC5">
        <w:rPr>
          <w:rFonts w:ascii="Arial" w:eastAsia="Arial" w:hAnsi="Arial" w:cs="Arial"/>
          <w:color w:val="000000"/>
        </w:rPr>
        <w:t xml:space="preserve"> visible para su consulta en la </w:t>
      </w:r>
      <w:r w:rsidR="00036AC5" w:rsidRPr="00036AC5">
        <w:rPr>
          <w:rFonts w:ascii="Arial" w:hAnsi="Arial" w:cs="Arial"/>
          <w:shd w:val="clear" w:color="auto" w:fill="FFFFFF"/>
        </w:rPr>
        <w:t>Gaceta de Jurisprudencia y Tesis en materia electoral del Tribunal Electoral del Poder Judicial de la Federación, año 5, número 10, 2012, páginas 34 y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349580"/>
      <w:docPartObj>
        <w:docPartGallery w:val="Page Numbers (Margins)"/>
        <w:docPartUnique/>
      </w:docPartObj>
    </w:sdtPr>
    <w:sdtContent>
      <w:p w14:paraId="4F485CF9" w14:textId="459D9640" w:rsidR="00AB117B" w:rsidRDefault="00742F72">
        <w:pPr>
          <w:spacing w:line="200" w:lineRule="auto"/>
        </w:pPr>
        <w:r>
          <w:rPr>
            <w:noProof/>
          </w:rPr>
          <mc:AlternateContent>
            <mc:Choice Requires="wps">
              <w:drawing>
                <wp:anchor distT="0" distB="0" distL="114300" distR="114300" simplePos="0" relativeHeight="251660288" behindDoc="0" locked="0" layoutInCell="0" allowOverlap="1" wp14:anchorId="238F1FA2" wp14:editId="63D84A2E">
                  <wp:simplePos x="0" y="0"/>
                  <wp:positionH relativeFrom="rightMargin">
                    <wp:align>center</wp:align>
                  </wp:positionH>
                  <wp:positionV relativeFrom="page">
                    <wp:align>center</wp:align>
                  </wp:positionV>
                  <wp:extent cx="762000" cy="895350"/>
                  <wp:effectExtent l="0" t="0" r="0" b="0"/>
                  <wp:wrapNone/>
                  <wp:docPr id="14507061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44BD5EAC" w14:textId="77777777" w:rsidR="00742F72" w:rsidRDefault="00742F72">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F1FA2"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44BD5EAC" w14:textId="77777777" w:rsidR="00742F72" w:rsidRDefault="00742F72">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26238AFC" w14:textId="77777777" w:rsidR="00AB117B" w:rsidRDefault="00AB117B">
    <w:pPr>
      <w:spacing w:line="200" w:lineRule="auto"/>
    </w:pPr>
  </w:p>
  <w:p w14:paraId="3C97A6CF" w14:textId="77777777" w:rsidR="00AB117B" w:rsidRDefault="00AB117B">
    <w:pPr>
      <w:spacing w:line="200" w:lineRule="auto"/>
    </w:pPr>
  </w:p>
  <w:p w14:paraId="20E7350F" w14:textId="77777777" w:rsidR="00AB117B" w:rsidRDefault="00AB117B">
    <w:pPr>
      <w:spacing w:line="200" w:lineRule="auto"/>
    </w:pPr>
  </w:p>
  <w:p w14:paraId="60EB3C77" w14:textId="77777777" w:rsidR="00AB117B" w:rsidRDefault="00AB117B">
    <w:pPr>
      <w:spacing w:line="200" w:lineRule="auto"/>
    </w:pPr>
  </w:p>
  <w:p w14:paraId="3B7B8E07" w14:textId="77777777" w:rsidR="00AB117B" w:rsidRDefault="00AB117B">
    <w:pPr>
      <w:spacing w:line="200" w:lineRule="auto"/>
    </w:pPr>
  </w:p>
  <w:p w14:paraId="0E04727F" w14:textId="77777777" w:rsidR="00AB117B" w:rsidRDefault="00AB117B">
    <w:pPr>
      <w:spacing w:line="200" w:lineRule="auto"/>
    </w:pPr>
  </w:p>
  <w:p w14:paraId="5BA91E58" w14:textId="77777777" w:rsidR="00AB117B" w:rsidRDefault="00AB117B">
    <w:pPr>
      <w:spacing w:line="200" w:lineRule="auto"/>
    </w:pPr>
  </w:p>
  <w:p w14:paraId="01FDF641" w14:textId="77777777" w:rsidR="00AB117B" w:rsidRDefault="00000000">
    <w:pPr>
      <w:spacing w:line="200" w:lineRule="auto"/>
    </w:pPr>
    <w:r>
      <w:rPr>
        <w:noProof/>
      </w:rPr>
      <w:drawing>
        <wp:anchor distT="0" distB="0" distL="0" distR="0" simplePos="0" relativeHeight="251658240" behindDoc="1" locked="0" layoutInCell="1" hidden="0" allowOverlap="1" wp14:anchorId="3ABCAB13" wp14:editId="72FBD5B6">
          <wp:simplePos x="0" y="0"/>
          <wp:positionH relativeFrom="page">
            <wp:posOffset>708660</wp:posOffset>
          </wp:positionH>
          <wp:positionV relativeFrom="page">
            <wp:posOffset>174625</wp:posOffset>
          </wp:positionV>
          <wp:extent cx="1179830" cy="140462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7B"/>
    <w:rsid w:val="00036AC5"/>
    <w:rsid w:val="001E6E95"/>
    <w:rsid w:val="00355A35"/>
    <w:rsid w:val="004546D2"/>
    <w:rsid w:val="004E6782"/>
    <w:rsid w:val="006D24E5"/>
    <w:rsid w:val="00742F72"/>
    <w:rsid w:val="00846978"/>
    <w:rsid w:val="00AB117B"/>
    <w:rsid w:val="00B67694"/>
    <w:rsid w:val="00C1687E"/>
    <w:rsid w:val="00CA0D86"/>
    <w:rsid w:val="00DD39A9"/>
    <w:rsid w:val="00F56A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330A1"/>
  <w15:docId w15:val="{E6A1497F-292C-4356-8A1D-D8B59C6F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9D"/>
  </w:style>
  <w:style w:type="paragraph" w:styleId="Ttulo1">
    <w:name w:val="heading 1"/>
    <w:basedOn w:val="Normal"/>
    <w:next w:val="Normal"/>
    <w:link w:val="Ttulo1Car"/>
    <w:uiPriority w:val="9"/>
    <w:qFormat/>
    <w:rsid w:val="00054D63"/>
    <w:pPr>
      <w:keepNext/>
      <w:spacing w:before="100" w:beforeAutospacing="1" w:after="100" w:afterAutospacing="1" w:line="360" w:lineRule="auto"/>
      <w:jc w:val="both"/>
      <w:outlineLvl w:val="0"/>
    </w:pPr>
    <w:rPr>
      <w:rFonts w:ascii="Arial" w:eastAsiaTheme="majorEastAsia" w:hAnsi="Arial" w:cstheme="majorBidi"/>
      <w:b/>
      <w:bCs/>
      <w:caps/>
      <w:kern w:val="32"/>
      <w:sz w:val="24"/>
      <w:szCs w:val="32"/>
    </w:rPr>
  </w:style>
  <w:style w:type="paragraph" w:styleId="Ttulo2">
    <w:name w:val="heading 2"/>
    <w:basedOn w:val="Normal"/>
    <w:next w:val="Normal"/>
    <w:link w:val="Ttulo2Car"/>
    <w:uiPriority w:val="9"/>
    <w:unhideWhenUsed/>
    <w:qFormat/>
    <w:rsid w:val="00054D63"/>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6334A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EE5FA5"/>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18649D"/>
    <w:pPr>
      <w:tabs>
        <w:tab w:val="center" w:pos="4419"/>
        <w:tab w:val="right" w:pos="8838"/>
      </w:tabs>
    </w:pPr>
  </w:style>
  <w:style w:type="character" w:customStyle="1" w:styleId="EncabezadoCar">
    <w:name w:val="Encabezado Car"/>
    <w:basedOn w:val="Fuentedeprrafopredeter"/>
    <w:link w:val="Encabezado"/>
    <w:uiPriority w:val="99"/>
    <w:rsid w:val="0018649D"/>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18649D"/>
    <w:pPr>
      <w:tabs>
        <w:tab w:val="center" w:pos="4419"/>
        <w:tab w:val="right" w:pos="8838"/>
      </w:tabs>
    </w:pPr>
  </w:style>
  <w:style w:type="character" w:customStyle="1" w:styleId="PiedepginaCar">
    <w:name w:val="Pie de página Car"/>
    <w:basedOn w:val="Fuentedeprrafopredeter"/>
    <w:link w:val="Piedepgina"/>
    <w:uiPriority w:val="99"/>
    <w:rsid w:val="0018649D"/>
    <w:rPr>
      <w:rFonts w:ascii="Times New Roman" w:eastAsia="Times New Roman" w:hAnsi="Times New Roman" w:cs="Times New Roman"/>
      <w:sz w:val="20"/>
      <w:szCs w:val="20"/>
    </w:r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18649D"/>
    <w:pPr>
      <w:ind w:left="720"/>
      <w:contextualSpacing/>
    </w:pPr>
  </w:style>
  <w:style w:type="character" w:styleId="Hipervnculo">
    <w:name w:val="Hyperlink"/>
    <w:basedOn w:val="Fuentedeprrafopredeter"/>
    <w:uiPriority w:val="99"/>
    <w:unhideWhenUsed/>
    <w:rsid w:val="0018649D"/>
    <w:rPr>
      <w:color w:val="0563C1" w:themeColor="hyperlink"/>
      <w:u w:val="single"/>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18649D"/>
    <w:rPr>
      <w:rFonts w:asciiTheme="minorHAnsi" w:eastAsiaTheme="minorEastAsia" w:hAnsiTheme="minorHAnsi" w:cstheme="minorBidi"/>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18649D"/>
    <w:rPr>
      <w:rFonts w:eastAsiaTheme="minorEastAsia"/>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18649D"/>
    <w:rPr>
      <w:vertAlign w:val="superscript"/>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18649D"/>
    <w:pPr>
      <w:spacing w:before="100" w:beforeAutospacing="1" w:after="100" w:afterAutospacing="1"/>
    </w:pPr>
    <w:rPr>
      <w:sz w:val="24"/>
      <w:szCs w:val="24"/>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8649D"/>
    <w:pPr>
      <w:jc w:val="both"/>
    </w:pPr>
    <w:rPr>
      <w:rFonts w:asciiTheme="minorHAnsi" w:eastAsiaTheme="minorHAnsi" w:hAnsiTheme="minorHAnsi" w:cstheme="minorBidi"/>
      <w:sz w:val="22"/>
      <w:szCs w:val="22"/>
      <w:vertAlign w:val="superscript"/>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18649D"/>
    <w:rPr>
      <w:rFonts w:ascii="Times New Roman" w:eastAsia="Times New Roman" w:hAnsi="Times New Roman" w:cs="Times New Roman"/>
      <w:sz w:val="24"/>
      <w:szCs w:val="24"/>
      <w:lang w:eastAsia="es-MX"/>
    </w:rPr>
  </w:style>
  <w:style w:type="table" w:styleId="Tablaconcuadrcula">
    <w:name w:val="Table Grid"/>
    <w:basedOn w:val="Tablanormal"/>
    <w:rsid w:val="00186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18649D"/>
    <w:rPr>
      <w:rFonts w:ascii="Times New Roman" w:eastAsia="Times New Roman" w:hAnsi="Times New Roman" w:cs="Times New Roman"/>
      <w:sz w:val="20"/>
      <w:szCs w:val="20"/>
    </w:rPr>
  </w:style>
  <w:style w:type="paragraph" w:customStyle="1" w:styleId="temp">
    <w:name w:val="temp"/>
    <w:basedOn w:val="Normal"/>
    <w:rsid w:val="000800F8"/>
    <w:pPr>
      <w:spacing w:before="100" w:beforeAutospacing="1" w:after="100" w:afterAutospacing="1"/>
    </w:pPr>
    <w:rPr>
      <w:sz w:val="24"/>
      <w:szCs w:val="24"/>
    </w:rPr>
  </w:style>
  <w:style w:type="character" w:customStyle="1" w:styleId="bold">
    <w:name w:val="bold"/>
    <w:basedOn w:val="Fuentedeprrafopredeter"/>
    <w:rsid w:val="000800F8"/>
  </w:style>
  <w:style w:type="paragraph" w:customStyle="1" w:styleId="Estilo">
    <w:name w:val="Estilo"/>
    <w:basedOn w:val="Sinespaciado"/>
    <w:link w:val="EstiloCar"/>
    <w:qFormat/>
    <w:rsid w:val="00C43272"/>
    <w:pPr>
      <w:jc w:val="both"/>
    </w:pPr>
    <w:rPr>
      <w:rFonts w:ascii="Arial" w:eastAsiaTheme="minorEastAsia" w:hAnsi="Arial" w:cstheme="minorBidi"/>
      <w:sz w:val="24"/>
      <w:szCs w:val="22"/>
    </w:rPr>
  </w:style>
  <w:style w:type="character" w:customStyle="1" w:styleId="EstiloCar">
    <w:name w:val="Estilo Car"/>
    <w:basedOn w:val="Fuentedeprrafopredeter"/>
    <w:link w:val="Estilo"/>
    <w:rsid w:val="00C43272"/>
    <w:rPr>
      <w:rFonts w:ascii="Arial" w:eastAsiaTheme="minorEastAsia" w:hAnsi="Arial"/>
      <w:sz w:val="24"/>
      <w:lang w:eastAsia="es-MX"/>
    </w:rPr>
  </w:style>
  <w:style w:type="paragraph" w:styleId="Sinespaciado">
    <w:name w:val="No Spacing"/>
    <w:link w:val="SinespaciadoCar"/>
    <w:uiPriority w:val="1"/>
    <w:qFormat/>
    <w:rsid w:val="00C43272"/>
  </w:style>
  <w:style w:type="character" w:customStyle="1" w:styleId="Ttulo1Car">
    <w:name w:val="Título 1 Car"/>
    <w:basedOn w:val="Fuentedeprrafopredeter"/>
    <w:link w:val="Ttulo1"/>
    <w:rsid w:val="00054D63"/>
    <w:rPr>
      <w:rFonts w:ascii="Arial" w:eastAsiaTheme="majorEastAsia" w:hAnsi="Arial" w:cstheme="majorBidi"/>
      <w:b/>
      <w:bCs/>
      <w:caps/>
      <w:kern w:val="32"/>
      <w:sz w:val="24"/>
      <w:szCs w:val="32"/>
    </w:rPr>
  </w:style>
  <w:style w:type="character" w:customStyle="1" w:styleId="Ttulo2Car">
    <w:name w:val="Título 2 Car"/>
    <w:basedOn w:val="Fuentedeprrafopredeter"/>
    <w:link w:val="Ttulo2"/>
    <w:rsid w:val="00054D63"/>
    <w:rPr>
      <w:rFonts w:asciiTheme="majorHAnsi" w:eastAsiaTheme="majorEastAsia" w:hAnsiTheme="majorHAnsi" w:cstheme="majorBidi"/>
      <w:b/>
      <w:bCs/>
      <w:color w:val="4472C4" w:themeColor="accent1"/>
      <w:sz w:val="26"/>
      <w:szCs w:val="26"/>
    </w:rPr>
  </w:style>
  <w:style w:type="paragraph" w:styleId="TtuloTDC">
    <w:name w:val="TOC Heading"/>
    <w:basedOn w:val="Ttulo1"/>
    <w:next w:val="Normal"/>
    <w:uiPriority w:val="39"/>
    <w:unhideWhenUsed/>
    <w:qFormat/>
    <w:rsid w:val="00054D63"/>
    <w:pPr>
      <w:keepLines/>
      <w:spacing w:before="240" w:beforeAutospacing="0" w:after="0" w:afterAutospacing="0" w:line="259" w:lineRule="auto"/>
      <w:jc w:val="left"/>
      <w:outlineLvl w:val="9"/>
    </w:pPr>
    <w:rPr>
      <w:rFonts w:asciiTheme="majorHAnsi" w:hAnsiTheme="majorHAnsi"/>
      <w:b w:val="0"/>
      <w:bCs w:val="0"/>
      <w:caps w:val="0"/>
      <w:color w:val="2F5496" w:themeColor="accent1" w:themeShade="BF"/>
      <w:kern w:val="0"/>
      <w:sz w:val="32"/>
    </w:rPr>
  </w:style>
  <w:style w:type="paragraph" w:styleId="TDC1">
    <w:name w:val="toc 1"/>
    <w:basedOn w:val="Normal"/>
    <w:next w:val="Normal"/>
    <w:autoRedefine/>
    <w:uiPriority w:val="39"/>
    <w:unhideWhenUsed/>
    <w:rsid w:val="00054D63"/>
    <w:pPr>
      <w:tabs>
        <w:tab w:val="left" w:pos="440"/>
        <w:tab w:val="right" w:leader="dot" w:pos="8546"/>
      </w:tabs>
      <w:spacing w:line="276" w:lineRule="auto"/>
    </w:pPr>
    <w:rPr>
      <w:rFonts w:ascii="Arial" w:hAnsi="Arial" w:cs="Arial"/>
      <w:b/>
      <w:bCs/>
      <w:noProof/>
      <w:sz w:val="18"/>
      <w:szCs w:val="18"/>
      <w:lang w:eastAsia="es-ES"/>
    </w:rPr>
  </w:style>
  <w:style w:type="paragraph" w:styleId="TDC2">
    <w:name w:val="toc 2"/>
    <w:basedOn w:val="Normal"/>
    <w:next w:val="Normal"/>
    <w:autoRedefine/>
    <w:uiPriority w:val="39"/>
    <w:unhideWhenUsed/>
    <w:rsid w:val="005A40E3"/>
    <w:pPr>
      <w:tabs>
        <w:tab w:val="right" w:leader="dot" w:pos="8546"/>
      </w:tabs>
      <w:ind w:left="851" w:right="899"/>
      <w:contextualSpacing/>
      <w:jc w:val="both"/>
    </w:pPr>
    <w:rPr>
      <w:rFonts w:ascii="Arial" w:eastAsia="Calibri" w:hAnsi="Arial" w:cs="Arial"/>
      <w:b/>
      <w:bCs/>
      <w:noProof/>
      <w:sz w:val="18"/>
      <w:szCs w:val="18"/>
      <w:lang w:val="es-ES_tradnl"/>
    </w:rPr>
  </w:style>
  <w:style w:type="character" w:styleId="Hipervnculovisitado">
    <w:name w:val="FollowedHyperlink"/>
    <w:basedOn w:val="Fuentedeprrafopredeter"/>
    <w:uiPriority w:val="99"/>
    <w:semiHidden/>
    <w:unhideWhenUsed/>
    <w:rsid w:val="006334AE"/>
    <w:rPr>
      <w:color w:val="954F72" w:themeColor="followedHyperlink"/>
      <w:u w:val="single"/>
    </w:rPr>
  </w:style>
  <w:style w:type="character" w:customStyle="1" w:styleId="Ttulo3Car">
    <w:name w:val="Título 3 Car"/>
    <w:basedOn w:val="Fuentedeprrafopredeter"/>
    <w:link w:val="Ttulo3"/>
    <w:uiPriority w:val="9"/>
    <w:rsid w:val="006334AE"/>
    <w:rPr>
      <w:rFonts w:asciiTheme="majorHAnsi" w:eastAsiaTheme="majorEastAsia" w:hAnsiTheme="majorHAnsi" w:cstheme="majorBidi"/>
      <w:color w:val="1F3763" w:themeColor="accent1" w:themeShade="7F"/>
      <w:sz w:val="24"/>
      <w:szCs w:val="24"/>
    </w:rPr>
  </w:style>
  <w:style w:type="character" w:customStyle="1" w:styleId="Mencinsinresolver1">
    <w:name w:val="Mención sin resolver1"/>
    <w:basedOn w:val="Fuentedeprrafopredeter"/>
    <w:uiPriority w:val="99"/>
    <w:semiHidden/>
    <w:unhideWhenUsed/>
    <w:rsid w:val="00427EEC"/>
    <w:rPr>
      <w:color w:val="605E5C"/>
      <w:shd w:val="clear" w:color="auto" w:fill="E1DFDD"/>
    </w:rPr>
  </w:style>
  <w:style w:type="character" w:styleId="nfasissutil">
    <w:name w:val="Subtle Emphasis"/>
    <w:basedOn w:val="Fuentedeprrafopredeter"/>
    <w:uiPriority w:val="19"/>
    <w:qFormat/>
    <w:rsid w:val="006B280E"/>
    <w:rPr>
      <w:i/>
      <w:iCs/>
      <w:color w:val="404040" w:themeColor="text1" w:themeTint="BF"/>
    </w:rPr>
  </w:style>
  <w:style w:type="character" w:customStyle="1" w:styleId="Mencinsinresolver2">
    <w:name w:val="Mención sin resolver2"/>
    <w:basedOn w:val="Fuentedeprrafopredeter"/>
    <w:uiPriority w:val="99"/>
    <w:semiHidden/>
    <w:unhideWhenUsed/>
    <w:rsid w:val="002A2EEF"/>
    <w:rPr>
      <w:color w:val="605E5C"/>
      <w:shd w:val="clear" w:color="auto" w:fill="E1DFDD"/>
    </w:rPr>
  </w:style>
  <w:style w:type="character" w:customStyle="1" w:styleId="Ttulo4Car">
    <w:name w:val="Título 4 Car"/>
    <w:basedOn w:val="Fuentedeprrafopredeter"/>
    <w:link w:val="Ttulo4"/>
    <w:uiPriority w:val="9"/>
    <w:rsid w:val="00EE5FA5"/>
    <w:rPr>
      <w:rFonts w:asciiTheme="majorHAnsi" w:eastAsiaTheme="majorEastAsia" w:hAnsiTheme="majorHAnsi" w:cstheme="majorBidi"/>
      <w:i/>
      <w:iCs/>
      <w:color w:val="2F5496" w:themeColor="accent1" w:themeShade="BF"/>
      <w:sz w:val="20"/>
      <w:szCs w:val="20"/>
    </w:rPr>
  </w:style>
  <w:style w:type="paragraph" w:customStyle="1" w:styleId="Default">
    <w:name w:val="Default"/>
    <w:rsid w:val="00117BA4"/>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8A7477"/>
    <w:rPr>
      <w:color w:val="605E5C"/>
      <w:shd w:val="clear" w:color="auto" w:fill="E1DFDD"/>
    </w:rPr>
  </w:style>
  <w:style w:type="paragraph" w:customStyle="1" w:styleId="Proemio">
    <w:name w:val="Proemio"/>
    <w:basedOn w:val="Normal"/>
    <w:qFormat/>
    <w:rsid w:val="00B30DA7"/>
    <w:pPr>
      <w:spacing w:before="100" w:beforeAutospacing="1" w:after="100" w:afterAutospacing="1"/>
      <w:ind w:left="3119"/>
    </w:pPr>
    <w:rPr>
      <w:rFonts w:ascii="Arial" w:eastAsiaTheme="minorHAnsi" w:hAnsi="Arial" w:cs="Arial"/>
      <w:b/>
      <w:sz w:val="24"/>
      <w:szCs w:val="24"/>
    </w:rPr>
  </w:style>
  <w:style w:type="paragraph" w:customStyle="1" w:styleId="Estudio">
    <w:name w:val="Estudio"/>
    <w:autoRedefine/>
    <w:qFormat/>
    <w:rsid w:val="006E07FD"/>
    <w:pPr>
      <w:spacing w:line="360" w:lineRule="auto"/>
      <w:jc w:val="right"/>
    </w:pPr>
    <w:rPr>
      <w:rFonts w:ascii="Arial" w:hAnsi="Arial" w:cs="Arial"/>
      <w:sz w:val="24"/>
    </w:rPr>
  </w:style>
  <w:style w:type="paragraph" w:customStyle="1" w:styleId="Style5">
    <w:name w:val="Style5"/>
    <w:basedOn w:val="Normal"/>
    <w:uiPriority w:val="99"/>
    <w:rsid w:val="00B30DA7"/>
    <w:pPr>
      <w:widowControl w:val="0"/>
      <w:autoSpaceDE w:val="0"/>
      <w:autoSpaceDN w:val="0"/>
      <w:adjustRightInd w:val="0"/>
      <w:spacing w:line="440" w:lineRule="exact"/>
      <w:jc w:val="both"/>
    </w:pPr>
    <w:rPr>
      <w:rFonts w:ascii="Arial" w:hAnsi="Arial" w:cs="Arial"/>
      <w:sz w:val="24"/>
      <w:szCs w:val="24"/>
    </w:rPr>
  </w:style>
  <w:style w:type="character" w:customStyle="1" w:styleId="SinespaciadoCar">
    <w:name w:val="Sin espaciado Car"/>
    <w:link w:val="Sinespaciado"/>
    <w:uiPriority w:val="1"/>
    <w:rsid w:val="00B30DA7"/>
    <w:rPr>
      <w:rFonts w:ascii="Times New Roman" w:eastAsia="Times New Roman" w:hAnsi="Times New Roman" w:cs="Times New Roman"/>
      <w:sz w:val="20"/>
      <w:szCs w:val="20"/>
    </w:rPr>
  </w:style>
  <w:style w:type="paragraph" w:styleId="TDC3">
    <w:name w:val="toc 3"/>
    <w:basedOn w:val="Normal"/>
    <w:next w:val="Normal"/>
    <w:autoRedefine/>
    <w:uiPriority w:val="39"/>
    <w:unhideWhenUsed/>
    <w:rsid w:val="00CC7037"/>
    <w:pPr>
      <w:tabs>
        <w:tab w:val="right" w:leader="dot" w:pos="9678"/>
      </w:tabs>
      <w:ind w:left="709" w:right="190"/>
    </w:pPr>
    <w:rPr>
      <w:rFonts w:ascii="Arial" w:eastAsia="Calibri" w:hAnsi="Arial" w:cs="Arial"/>
      <w:noProof/>
      <w:sz w:val="18"/>
      <w:szCs w:val="18"/>
    </w:rPr>
  </w:style>
  <w:style w:type="paragraph" w:customStyle="1" w:styleId="TEXTOLIBRE">
    <w:name w:val="TEXTO LIBRE"/>
    <w:basedOn w:val="Normal"/>
    <w:rsid w:val="00B30DA7"/>
    <w:pPr>
      <w:spacing w:before="120" w:after="120" w:line="360" w:lineRule="auto"/>
      <w:ind w:firstLine="709"/>
      <w:jc w:val="both"/>
    </w:pPr>
    <w:rPr>
      <w:sz w:val="28"/>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39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mplimientos@teeags.m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hBqL5XMNsMfKAkQ4CxQIasCpUw==">CgMxLjAyCGguZ2pkZ3hzMgloLjMwajB6bGwyCWguMWZvYjl0ZTIJaC4zem55c2g3MgloLjJldDkycDAyCGgudHlqY3d0MgloLjNkeTZ2a20yCWguMXQzaDVzZjIJaC40ZDM0b2c4MgloLjJzOGV5bzEyCWguMTdkcDh2dTIJaC4zcmRjcmpuOAByITFkN24xRF94M0Y5QmVjOGl6OWNTWFJWV0lvS3Voc3BNeA==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2113</Words>
  <Characters>11622</Characters>
  <Application>Microsoft Office Word</Application>
  <DocSecurity>0</DocSecurity>
  <Lines>96</Lines>
  <Paragraphs>27</Paragraphs>
  <ScaleCrop>false</ScaleCrop>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 3</dc:creator>
  <cp:lastModifiedBy>Lic. Ivon Zavala</cp:lastModifiedBy>
  <cp:revision>2</cp:revision>
  <cp:lastPrinted>2024-03-30T01:04:00Z</cp:lastPrinted>
  <dcterms:created xsi:type="dcterms:W3CDTF">2024-03-30T01:15:00Z</dcterms:created>
  <dcterms:modified xsi:type="dcterms:W3CDTF">2024-03-30T01:15:00Z</dcterms:modified>
</cp:coreProperties>
</file>