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786" w:rsidRPr="00E52776" w:rsidRDefault="00EA0786" w:rsidP="0091337B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E52776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5B4DEC" wp14:editId="4BC946C0">
                <wp:simplePos x="0" y="0"/>
                <wp:positionH relativeFrom="margin">
                  <wp:posOffset>2520315</wp:posOffset>
                </wp:positionH>
                <wp:positionV relativeFrom="paragraph">
                  <wp:posOffset>3175</wp:posOffset>
                </wp:positionV>
                <wp:extent cx="3235325" cy="2533650"/>
                <wp:effectExtent l="0" t="0" r="317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5325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786" w:rsidRPr="001A46F1" w:rsidRDefault="00173796" w:rsidP="00EA078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A46F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Recurso </w:t>
                            </w:r>
                            <w:r w:rsidR="001A62B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 Nulidad</w:t>
                            </w:r>
                          </w:p>
                          <w:p w:rsidR="00EA0786" w:rsidRPr="001A46F1" w:rsidRDefault="00173796" w:rsidP="00EA078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A46F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1A46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46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TEEA</w:t>
                            </w:r>
                            <w:r w:rsidRPr="001A46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  <w:r w:rsidR="000964F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</w:t>
                            </w:r>
                            <w:r w:rsidRPr="001A46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-0</w:t>
                            </w:r>
                            <w:r w:rsidR="00CC32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E715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Pr="001A46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</w:t>
                            </w:r>
                            <w:r w:rsidR="00CC32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:rsidR="00EA0786" w:rsidRPr="00CC32CD" w:rsidRDefault="00173796" w:rsidP="00EA078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A46F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1A46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46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D174B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C. </w:t>
                            </w:r>
                            <w:r w:rsidR="00E715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Néstor Armando Camacho Mauricio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en su carácter de </w:t>
                            </w:r>
                            <w:r w:rsidR="00D174B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epresentante </w:t>
                            </w:r>
                            <w:r w:rsidR="00CC32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suplente del P</w:t>
                            </w:r>
                            <w:r w:rsidR="00E715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RI</w:t>
                            </w:r>
                            <w:r w:rsidR="00CC32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ante el</w:t>
                            </w:r>
                            <w:r w:rsidR="00AD0A8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Consejo </w:t>
                            </w:r>
                            <w:r w:rsidR="00CC32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Municipal Electoral de Tepezalá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610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 I</w:t>
                            </w:r>
                            <w:r w:rsidR="00C610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EE</w:t>
                            </w:r>
                            <w:r w:rsidR="00AD0A8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en Aguascalientes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CC32CD" w:rsidRPr="00CC32CD" w:rsidRDefault="00D174BE" w:rsidP="00CC32CD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Autoridad </w:t>
                            </w:r>
                            <w:r w:rsidR="00173796" w:rsidRPr="001A46F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 w:rsidR="00173796" w:rsidRPr="001A46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CC32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Consejo Municipal Electoral de Tepezalá del IEE en Aguascalientes. </w:t>
                            </w:r>
                          </w:p>
                          <w:p w:rsidR="00EA0786" w:rsidRPr="001A46F1" w:rsidRDefault="00EA0786" w:rsidP="00CC32C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B4DE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98.45pt;margin-top:.25pt;width:254.75pt;height:19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" stroked="f">
                <v:textbox>
                  <w:txbxContent>
                    <w:p w:rsidR="00EA0786" w:rsidRPr="001A46F1" w:rsidRDefault="00173796" w:rsidP="00EA0786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A46F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Recurso </w:t>
                      </w:r>
                      <w:r w:rsidR="001A62B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 Nulidad</w:t>
                      </w:r>
                    </w:p>
                    <w:p w:rsidR="00EA0786" w:rsidRPr="001A46F1" w:rsidRDefault="00173796" w:rsidP="00EA078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A46F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1A46F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1A46F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TEEA</w:t>
                      </w:r>
                      <w:r w:rsidRPr="001A46F1">
                        <w:rPr>
                          <w:rFonts w:ascii="Arial" w:hAnsi="Arial" w:cs="Arial"/>
                          <w:sz w:val="24"/>
                          <w:szCs w:val="24"/>
                        </w:rPr>
                        <w:t>-R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</w:t>
                      </w:r>
                      <w:r w:rsidR="000964FA">
                        <w:rPr>
                          <w:rFonts w:ascii="Arial" w:hAnsi="Arial" w:cs="Arial"/>
                          <w:sz w:val="24"/>
                          <w:szCs w:val="24"/>
                        </w:rPr>
                        <w:t>N</w:t>
                      </w:r>
                      <w:r w:rsidRPr="001A46F1">
                        <w:rPr>
                          <w:rFonts w:ascii="Arial" w:hAnsi="Arial" w:cs="Arial"/>
                          <w:sz w:val="24"/>
                          <w:szCs w:val="24"/>
                        </w:rPr>
                        <w:t>-0</w:t>
                      </w:r>
                      <w:r w:rsidR="00CC32CD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  <w:r w:rsidR="00E715C1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Pr="001A46F1">
                        <w:rPr>
                          <w:rFonts w:ascii="Arial" w:hAnsi="Arial" w:cs="Arial"/>
                          <w:sz w:val="24"/>
                          <w:szCs w:val="24"/>
                        </w:rPr>
                        <w:t>/201</w:t>
                      </w:r>
                      <w:r w:rsidR="00CC32CD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</w:p>
                    <w:p w:rsidR="00EA0786" w:rsidRPr="00CC32CD" w:rsidRDefault="00173796" w:rsidP="00EA078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A46F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Pr="001A46F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1A46F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D174B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</w:t>
                      </w:r>
                      <w:r w:rsidR="00E715C1">
                        <w:rPr>
                          <w:rFonts w:ascii="Arial" w:hAnsi="Arial" w:cs="Arial"/>
                          <w:sz w:val="24"/>
                          <w:szCs w:val="24"/>
                        </w:rPr>
                        <w:t>Néstor Armando Camacho Mauricio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en su carácter de </w:t>
                      </w:r>
                      <w:r w:rsidR="00D174BE">
                        <w:rPr>
                          <w:rFonts w:ascii="Arial" w:hAnsi="Arial" w:cs="Arial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epresentante </w:t>
                      </w:r>
                      <w:r w:rsidR="00CC32CD">
                        <w:rPr>
                          <w:rFonts w:ascii="Arial" w:hAnsi="Arial" w:cs="Arial"/>
                          <w:sz w:val="24"/>
                          <w:szCs w:val="24"/>
                        </w:rPr>
                        <w:t>suplente del P</w:t>
                      </w:r>
                      <w:r w:rsidR="00E715C1">
                        <w:rPr>
                          <w:rFonts w:ascii="Arial" w:hAnsi="Arial" w:cs="Arial"/>
                          <w:sz w:val="24"/>
                          <w:szCs w:val="24"/>
                        </w:rPr>
                        <w:t>RI</w:t>
                      </w:r>
                      <w:r w:rsidR="00CC32C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ante el</w:t>
                      </w:r>
                      <w:r w:rsidR="00AD0A8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Consejo </w:t>
                      </w:r>
                      <w:r w:rsidR="00CC32CD">
                        <w:rPr>
                          <w:rFonts w:ascii="Arial" w:hAnsi="Arial" w:cs="Arial"/>
                          <w:sz w:val="24"/>
                          <w:szCs w:val="24"/>
                        </w:rPr>
                        <w:t>Municipal Electoral de Tepezalá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C61002">
                        <w:rPr>
                          <w:rFonts w:ascii="Arial" w:hAnsi="Arial" w:cs="Arial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el I</w:t>
                      </w:r>
                      <w:r w:rsidR="00C61002">
                        <w:rPr>
                          <w:rFonts w:ascii="Arial" w:hAnsi="Arial" w:cs="Arial"/>
                          <w:sz w:val="24"/>
                          <w:szCs w:val="24"/>
                        </w:rPr>
                        <w:t>EE</w:t>
                      </w:r>
                      <w:r w:rsidR="00AD0A8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en Aguascalientes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CC32CD" w:rsidRPr="00CC32CD" w:rsidRDefault="00D174BE" w:rsidP="00CC32CD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Autoridad </w:t>
                      </w:r>
                      <w:r w:rsidR="00173796" w:rsidRPr="001A46F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 w:rsidR="00173796" w:rsidRPr="001A46F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CC32C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Consejo Municipal Electoral de Tepezalá del IEE en Aguascalientes. </w:t>
                      </w:r>
                    </w:p>
                    <w:p w:rsidR="00EA0786" w:rsidRPr="001A46F1" w:rsidRDefault="00EA0786" w:rsidP="00CC32CD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A0786" w:rsidRPr="00E52776" w:rsidRDefault="00EA0786" w:rsidP="0091337B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91337B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91337B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91337B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91337B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91337B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91337B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1A46F1" w:rsidRDefault="001A46F1" w:rsidP="001A46F1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CC32CD" w:rsidRDefault="00CC32CD" w:rsidP="00FF1C8E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CC32CD" w:rsidRPr="00D073A2" w:rsidRDefault="00CC32CD" w:rsidP="00CC32C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bookmarkStart w:id="0" w:name="_Hlk519340244"/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Secretario General de Acuerdos, Jesús Ociel Baena Saucedo, da cuenta al Magistrado Héctor Salvador Hernández Gallegos, presidente de este órgano jurisdiccional electoral, con la siguiente documentación, </w:t>
      </w:r>
      <w:bookmarkStart w:id="1" w:name="_Hlk503018402"/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recibida mediante Oficio </w:t>
      </w:r>
      <w:bookmarkStart w:id="2" w:name="_Hlk515868995"/>
      <w:r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TEEA-OP-05</w:t>
      </w:r>
      <w:r w:rsidR="00E715C1">
        <w:rPr>
          <w:rFonts w:ascii="Arial" w:eastAsia="Times New Roman" w:hAnsi="Arial" w:cs="Arial"/>
          <w:bCs/>
          <w:sz w:val="24"/>
          <w:szCs w:val="24"/>
          <w:lang w:val="es-ES" w:eastAsia="es-MX"/>
        </w:rPr>
        <w:t>70</w:t>
      </w:r>
      <w:r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/2019, </w:t>
      </w:r>
      <w:bookmarkEnd w:id="2"/>
      <w:r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de fecha </w:t>
      </w:r>
      <w:r>
        <w:rPr>
          <w:rFonts w:ascii="Arial" w:eastAsia="Times New Roman" w:hAnsi="Arial" w:cs="Arial"/>
          <w:bCs/>
          <w:sz w:val="24"/>
          <w:szCs w:val="24"/>
          <w:lang w:val="es-ES" w:eastAsia="es-MX"/>
        </w:rPr>
        <w:t>diez de junio</w:t>
      </w:r>
      <w:r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diecinueve, </w:t>
      </w:r>
      <w:bookmarkEnd w:id="1"/>
      <w:r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 que en él se describe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CC32CD" w:rsidRPr="00D073A2" w:rsidRDefault="00CC32CD" w:rsidP="00CC32C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sz w:val="24"/>
          <w:szCs w:val="24"/>
        </w:rPr>
      </w:pPr>
      <w:r w:rsidRPr="00D073A2">
        <w:rPr>
          <w:rFonts w:ascii="Arial" w:hAnsi="Arial" w:cs="Arial"/>
          <w:sz w:val="24"/>
          <w:szCs w:val="24"/>
        </w:rPr>
        <w:t xml:space="preserve">Aguascalientes, Aguascalientes a </w:t>
      </w:r>
      <w:r>
        <w:rPr>
          <w:rFonts w:ascii="Arial" w:hAnsi="Arial" w:cs="Arial"/>
          <w:sz w:val="24"/>
          <w:szCs w:val="24"/>
        </w:rPr>
        <w:t>once</w:t>
      </w:r>
      <w:r w:rsidRPr="00D073A2">
        <w:rPr>
          <w:rFonts w:ascii="Arial" w:hAnsi="Arial" w:cs="Arial"/>
          <w:sz w:val="24"/>
          <w:szCs w:val="24"/>
        </w:rPr>
        <w:t xml:space="preserve"> de junio de dos mil diecinueve.</w:t>
      </w:r>
    </w:p>
    <w:p w:rsidR="00EA0786" w:rsidRDefault="00EA0786" w:rsidP="0091337B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2C788C">
        <w:rPr>
          <w:rFonts w:ascii="Arial" w:hAnsi="Arial" w:cs="Arial"/>
          <w:sz w:val="24"/>
          <w:szCs w:val="24"/>
        </w:rPr>
        <w:t>Vista la cuenta</w:t>
      </w:r>
      <w:r w:rsidRPr="002C788C">
        <w:rPr>
          <w:rFonts w:ascii="Arial" w:eastAsia="Times New Roman" w:hAnsi="Arial" w:cs="Arial"/>
          <w:bCs/>
          <w:sz w:val="24"/>
          <w:szCs w:val="24"/>
          <w:lang w:eastAsia="es-MX"/>
        </w:rPr>
        <w:t>, con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fundamento en los artículos </w:t>
      </w:r>
      <w:r w:rsidR="00316FBA">
        <w:rPr>
          <w:rFonts w:ascii="Arial" w:eastAsia="Times New Roman" w:hAnsi="Arial" w:cs="Arial"/>
          <w:bCs/>
          <w:sz w:val="24"/>
          <w:szCs w:val="24"/>
          <w:lang w:eastAsia="es-MX"/>
        </w:rPr>
        <w:t>297, fracción I</w:t>
      </w:r>
      <w:r w:rsidR="006B2535">
        <w:rPr>
          <w:rFonts w:ascii="Arial" w:eastAsia="Times New Roman" w:hAnsi="Arial" w:cs="Arial"/>
          <w:bCs/>
          <w:sz w:val="24"/>
          <w:szCs w:val="24"/>
          <w:lang w:eastAsia="es-MX"/>
        </w:rPr>
        <w:t>II</w:t>
      </w:r>
      <w:r w:rsidR="00316FB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298, 299, 300, 301, 311, 312, </w:t>
      </w:r>
      <w:r w:rsidRPr="004E58FA">
        <w:rPr>
          <w:rFonts w:ascii="Arial" w:eastAsia="Times New Roman" w:hAnsi="Arial" w:cs="Arial"/>
          <w:bCs/>
          <w:sz w:val="24"/>
          <w:szCs w:val="24"/>
          <w:lang w:eastAsia="es-MX"/>
        </w:rPr>
        <w:t>313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4E58FA">
        <w:rPr>
          <w:rFonts w:ascii="Arial" w:eastAsia="Times New Roman" w:hAnsi="Arial" w:cs="Arial"/>
          <w:bCs/>
          <w:sz w:val="24"/>
          <w:szCs w:val="24"/>
          <w:lang w:eastAsia="es-MX"/>
        </w:rPr>
        <w:t>3</w:t>
      </w:r>
      <w:r w:rsidR="006B253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38 </w:t>
      </w:r>
      <w:r w:rsidR="00087894">
        <w:rPr>
          <w:rFonts w:ascii="Arial" w:eastAsia="Times New Roman" w:hAnsi="Arial" w:cs="Arial"/>
          <w:bCs/>
          <w:sz w:val="24"/>
          <w:szCs w:val="24"/>
          <w:lang w:eastAsia="es-MX"/>
        </w:rPr>
        <w:t>al</w:t>
      </w:r>
      <w:r w:rsidR="006B253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352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del Código Electoral del Estado de Aguascalien</w:t>
      </w:r>
      <w:r w:rsidR="009F21F0">
        <w:rPr>
          <w:rFonts w:ascii="Arial" w:eastAsia="Times New Roman" w:hAnsi="Arial" w:cs="Arial"/>
          <w:bCs/>
          <w:sz w:val="24"/>
          <w:szCs w:val="24"/>
          <w:lang w:eastAsia="es-MX"/>
        </w:rPr>
        <w:t>tes; 28, fracción VII</w:t>
      </w:r>
      <w:r w:rsidR="006B253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</w:t>
      </w:r>
      <w:r w:rsidR="009F21F0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087894">
        <w:rPr>
          <w:rFonts w:ascii="Arial" w:eastAsia="Times New Roman" w:hAnsi="Arial" w:cs="Arial"/>
          <w:bCs/>
          <w:sz w:val="24"/>
          <w:szCs w:val="24"/>
          <w:lang w:eastAsia="es-MX"/>
        </w:rPr>
        <w:t>VIII</w:t>
      </w:r>
      <w:r w:rsidR="006B2535">
        <w:rPr>
          <w:rFonts w:ascii="Arial" w:eastAsia="Times New Roman" w:hAnsi="Arial" w:cs="Arial"/>
          <w:bCs/>
          <w:sz w:val="24"/>
          <w:szCs w:val="24"/>
          <w:lang w:eastAsia="es-MX"/>
        </w:rPr>
        <w:t>; 10</w:t>
      </w:r>
      <w:r w:rsidR="00087894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6B253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fracción I</w:t>
      </w:r>
      <w:r w:rsidR="00087894">
        <w:rPr>
          <w:rFonts w:ascii="Arial" w:eastAsia="Times New Roman" w:hAnsi="Arial" w:cs="Arial"/>
          <w:bCs/>
          <w:sz w:val="24"/>
          <w:szCs w:val="24"/>
          <w:lang w:eastAsia="es-MX"/>
        </w:rPr>
        <w:t>I</w:t>
      </w:r>
      <w:r w:rsidR="006B2535">
        <w:rPr>
          <w:rFonts w:ascii="Arial" w:eastAsia="Times New Roman" w:hAnsi="Arial" w:cs="Arial"/>
          <w:bCs/>
          <w:sz w:val="24"/>
          <w:szCs w:val="24"/>
          <w:lang w:eastAsia="es-MX"/>
        </w:rPr>
        <w:t>I, inciso b)</w:t>
      </w:r>
      <w:r w:rsidR="00087894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C61A69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del Reglamento Interior del Tribunal Electoral del Estado de Aguascalientes</w:t>
      </w:r>
      <w:r w:rsidR="0091350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 ACUERDA:</w:t>
      </w:r>
    </w:p>
    <w:bookmarkEnd w:id="0"/>
    <w:p w:rsidR="001A46F1" w:rsidRPr="001A46F1" w:rsidRDefault="001A46F1" w:rsidP="0091337B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9F21F0" w:rsidRDefault="00EA0786" w:rsidP="0091337B">
      <w:pPr>
        <w:spacing w:line="360" w:lineRule="auto"/>
        <w:ind w:firstLine="708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 w:rsidR="009F21F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R</w:t>
      </w:r>
      <w:r w:rsidR="004E58F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E</w:t>
      </w:r>
      <w:r w:rsidR="006B253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N</w:t>
      </w:r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</w:t>
      </w:r>
      <w:r w:rsidR="004E58F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00</w:t>
      </w:r>
      <w:r w:rsidR="00E715C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2</w:t>
      </w:r>
      <w:r w:rsidR="004E58F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</w:t>
      </w:r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201</w:t>
      </w:r>
      <w:r w:rsidR="0008789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9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1614E7" w:rsidRDefault="009F21F0" w:rsidP="0091337B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bookmarkStart w:id="3" w:name="_Hlk519340266"/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los artículos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071BC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327,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357, fracción VIII, inciso e), del Código Electoral; 104</w:t>
      </w:r>
      <w:r w:rsidR="00071BC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 126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del Reglamento Interior del Tribunal Electoral del Estado de Aguascalientes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071BC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071BC5" w:rsidRPr="00EC4D54">
        <w:rPr>
          <w:rFonts w:ascii="Arial" w:eastAsia="Times New Roman" w:hAnsi="Arial" w:cs="Arial"/>
          <w:bCs/>
          <w:sz w:val="24"/>
          <w:szCs w:val="24"/>
          <w:lang w:eastAsia="es-MX"/>
        </w:rPr>
        <w:t>ya que, del análisis del escrito de demanda, se desprende que el acto impugnado guarda conexidad con el Medio de Impugnación identificado como TEEA-</w:t>
      </w:r>
      <w:r w:rsidR="00071BC5">
        <w:rPr>
          <w:rFonts w:ascii="Arial" w:eastAsia="Times New Roman" w:hAnsi="Arial" w:cs="Arial"/>
          <w:bCs/>
          <w:sz w:val="24"/>
          <w:szCs w:val="24"/>
          <w:lang w:eastAsia="es-MX"/>
        </w:rPr>
        <w:t>REN</w:t>
      </w:r>
      <w:r w:rsidR="00071BC5" w:rsidRPr="00EC4D54">
        <w:rPr>
          <w:rFonts w:ascii="Arial" w:eastAsia="Times New Roman" w:hAnsi="Arial" w:cs="Arial"/>
          <w:bCs/>
          <w:sz w:val="24"/>
          <w:szCs w:val="24"/>
          <w:lang w:eastAsia="es-MX"/>
        </w:rPr>
        <w:t>-00</w:t>
      </w:r>
      <w:r w:rsidR="00071BC5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071BC5" w:rsidRPr="00EC4D54">
        <w:rPr>
          <w:rFonts w:ascii="Arial" w:eastAsia="Times New Roman" w:hAnsi="Arial" w:cs="Arial"/>
          <w:bCs/>
          <w:sz w:val="24"/>
          <w:szCs w:val="24"/>
          <w:lang w:eastAsia="es-MX"/>
        </w:rPr>
        <w:t>/2019,</w:t>
      </w:r>
      <w:r w:rsidR="00071BC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por corresponder a la impugnación del mismo Municipio de Tepezalá</w:t>
      </w:r>
      <w:r w:rsidR="00071BC5" w:rsidRPr="00EC4D5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 a efecto de evitar sentencias contradictorias</w:t>
      </w:r>
      <w:r w:rsidR="00563E7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túrnese los autos a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la Ponencia </w:t>
      </w:r>
      <w:bookmarkEnd w:id="3"/>
      <w:r w:rsidR="006B2535">
        <w:rPr>
          <w:rFonts w:ascii="Arial" w:eastAsia="Times New Roman" w:hAnsi="Arial" w:cs="Arial"/>
          <w:bCs/>
          <w:sz w:val="24"/>
          <w:szCs w:val="24"/>
          <w:lang w:eastAsia="es-MX"/>
        </w:rPr>
        <w:t>de</w:t>
      </w:r>
      <w:r w:rsidR="00087894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6B253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08789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suscrito </w:t>
      </w:r>
      <w:r w:rsidR="006B2535" w:rsidRPr="00A271D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08789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o</w:t>
      </w:r>
      <w:r w:rsidR="006B2535" w:rsidRPr="00A271D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08789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Héctor Salvador Hernández Gallegos</w:t>
      </w:r>
      <w:r w:rsidR="006B2535" w:rsidRPr="00A271D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:rsidR="0059646A" w:rsidRDefault="0059646A" w:rsidP="0091337B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59646A">
        <w:rPr>
          <w:rFonts w:ascii="Arial" w:eastAsia="Times New Roman" w:hAnsi="Arial" w:cs="Arial"/>
          <w:b/>
          <w:bCs/>
          <w:sz w:val="24"/>
          <w:szCs w:val="24"/>
          <w:lang w:eastAsia="es-MX"/>
        </w:rPr>
        <w:lastRenderedPageBreak/>
        <w:t xml:space="preserve">TERCERO. </w:t>
      </w:r>
      <w:r>
        <w:rPr>
          <w:rFonts w:ascii="Arial" w:eastAsia="Times New Roman" w:hAnsi="Arial" w:cs="Arial"/>
          <w:sz w:val="24"/>
          <w:szCs w:val="24"/>
          <w:lang w:eastAsia="es-MX"/>
        </w:rPr>
        <w:t>Tómese en consideración lo establecido por el artículo 311, fracción III y 312 del Código Electoral, plazos que se encuentran transcurriendo, y con el objeto de que el magistrado instructor tenga pleno conocimiento de la documentación recibida, esté en posibilidades de conocer el medio de impugnación y sus anexos, a efecto de garantizar una impartición de justicia pronta y expedita</w:t>
      </w:r>
      <w:r w:rsidR="00580C32">
        <w:rPr>
          <w:rFonts w:ascii="Arial" w:eastAsia="Times New Roman" w:hAnsi="Arial" w:cs="Arial"/>
          <w:sz w:val="24"/>
          <w:szCs w:val="24"/>
          <w:lang w:eastAsia="es-MX"/>
        </w:rPr>
        <w:t>, respetando el derecho de terceros interesados.</w:t>
      </w:r>
    </w:p>
    <w:p w:rsidR="00071BC5" w:rsidRPr="0059646A" w:rsidRDefault="00071BC5" w:rsidP="0091337B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EA0786" w:rsidRDefault="00EA0786" w:rsidP="0091337B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Hágase del conocimiento a través de los Estrados de este Tribunal;</w:t>
      </w:r>
    </w:p>
    <w:p w:rsidR="00071BC5" w:rsidRPr="00E52776" w:rsidRDefault="00071BC5" w:rsidP="0091337B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EA0786" w:rsidRPr="00E52776" w:rsidRDefault="00071BC5" w:rsidP="00071BC5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ab/>
      </w:r>
      <w:r w:rsidR="00EA0786"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el Magistrado Presidente de este Tribunal Electoral, ante el Secretario General de Acuerdos, que autoriza y da fe.</w:t>
      </w:r>
    </w:p>
    <w:p w:rsidR="00EA0786" w:rsidRDefault="00EA0786" w:rsidP="0091337B">
      <w:p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A271D5" w:rsidRPr="00E52776" w:rsidRDefault="00A271D5" w:rsidP="0091337B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EA0786" w:rsidRPr="00E52776" w:rsidRDefault="00EA0786" w:rsidP="009133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E52776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Magistrado </w:t>
      </w:r>
      <w:proofErr w:type="gramStart"/>
      <w:r w:rsidRPr="00E52776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Presidente</w:t>
      </w:r>
      <w:proofErr w:type="gramEnd"/>
    </w:p>
    <w:p w:rsidR="00EA0786" w:rsidRPr="00E52776" w:rsidRDefault="00EA0786" w:rsidP="0091337B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EA0786" w:rsidRPr="00E52776" w:rsidRDefault="00EA0786" w:rsidP="0091337B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9133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E52776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Héctor Salvador Hernández Gallegos</w:t>
      </w:r>
    </w:p>
    <w:p w:rsidR="00EA0786" w:rsidRPr="00E52776" w:rsidRDefault="00EA0786" w:rsidP="009133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:rsidR="00EA0786" w:rsidRDefault="00EA0786" w:rsidP="009133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:rsidR="00071BC5" w:rsidRPr="00E52776" w:rsidRDefault="00071BC5" w:rsidP="009133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1A46F1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E52776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Secretario General de Acuerdos </w:t>
      </w:r>
    </w:p>
    <w:p w:rsidR="00EA0786" w:rsidRDefault="00EA0786" w:rsidP="0091337B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:rsidR="00071BC5" w:rsidRPr="00E52776" w:rsidRDefault="00071BC5" w:rsidP="0091337B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bookmarkStart w:id="4" w:name="_GoBack"/>
      <w:bookmarkEnd w:id="4"/>
    </w:p>
    <w:p w:rsidR="00EA0786" w:rsidRPr="00E52776" w:rsidRDefault="00EA0786" w:rsidP="0091337B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E52776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p w:rsidR="00EA0786" w:rsidRPr="00E52776" w:rsidRDefault="00EA0786" w:rsidP="0091337B">
      <w:pPr>
        <w:spacing w:line="360" w:lineRule="auto"/>
        <w:rPr>
          <w:sz w:val="24"/>
          <w:szCs w:val="24"/>
        </w:rPr>
      </w:pPr>
    </w:p>
    <w:p w:rsidR="004F28DE" w:rsidRDefault="004F28DE" w:rsidP="0091337B">
      <w:pPr>
        <w:spacing w:line="360" w:lineRule="auto"/>
      </w:pPr>
    </w:p>
    <w:sectPr w:rsidR="004F28DE" w:rsidSect="00C252C8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8FD" w:rsidRDefault="001408FD">
      <w:pPr>
        <w:spacing w:after="0" w:line="240" w:lineRule="auto"/>
      </w:pPr>
      <w:r>
        <w:separator/>
      </w:r>
    </w:p>
  </w:endnote>
  <w:endnote w:type="continuationSeparator" w:id="0">
    <w:p w:rsidR="001408FD" w:rsidRDefault="00140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849" w:rsidRDefault="00071BC5" w:rsidP="00A271D5">
    <w:pPr>
      <w:pStyle w:val="Piedepgina"/>
    </w:pPr>
  </w:p>
  <w:p w:rsidR="00F71849" w:rsidRDefault="00071B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8FD" w:rsidRDefault="001408FD">
      <w:pPr>
        <w:spacing w:after="0" w:line="240" w:lineRule="auto"/>
      </w:pPr>
      <w:r>
        <w:separator/>
      </w:r>
    </w:p>
  </w:footnote>
  <w:footnote w:type="continuationSeparator" w:id="0">
    <w:p w:rsidR="001408FD" w:rsidRDefault="00140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405655718"/>
      <w:docPartObj>
        <w:docPartGallery w:val="Page Numbers (Margins)"/>
        <w:docPartUnique/>
      </w:docPartObj>
    </w:sdtPr>
    <w:sdtEndPr/>
    <w:sdtContent>
      <w:p w:rsidR="00ED5365" w:rsidRDefault="00A271D5" w:rsidP="00C252C8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A271D5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A271D5" w:rsidRDefault="00A271D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MeK&#10;I/u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A271D5" w:rsidRDefault="00A271D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ED5365" w:rsidRDefault="00ED5365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ED5365" w:rsidRDefault="00ED5365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ED5365" w:rsidRDefault="00ED5365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F71849" w:rsidRDefault="00305B43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4130D08" wp14:editId="59E7C12C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F71849" w:rsidRPr="00A46BD3" w:rsidRDefault="00305B43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F71849" w:rsidRDefault="00305B43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>Acuerdo de Turno de Presidencia</w:t>
    </w:r>
  </w:p>
  <w:p w:rsidR="00ED5365" w:rsidRDefault="00ED5365" w:rsidP="00286141">
    <w:pPr>
      <w:pStyle w:val="Encabezado"/>
      <w:jc w:val="right"/>
      <w:rPr>
        <w:rFonts w:ascii="Century Gothic" w:hAnsi="Century Gothic"/>
      </w:rPr>
    </w:pPr>
  </w:p>
  <w:p w:rsidR="00ED5365" w:rsidRDefault="00ED5365" w:rsidP="00286141">
    <w:pPr>
      <w:pStyle w:val="Encabezado"/>
      <w:jc w:val="right"/>
      <w:rPr>
        <w:rFonts w:ascii="Century Gothic" w:hAnsi="Century Gothic"/>
      </w:rPr>
    </w:pPr>
  </w:p>
  <w:p w:rsidR="00ED5365" w:rsidRDefault="00ED5365" w:rsidP="00286141">
    <w:pPr>
      <w:pStyle w:val="Encabezado"/>
      <w:jc w:val="right"/>
      <w:rPr>
        <w:rFonts w:ascii="Century Gothic" w:hAnsi="Century Gothic"/>
      </w:rPr>
    </w:pPr>
  </w:p>
  <w:p w:rsidR="00ED5365" w:rsidRDefault="00ED5365" w:rsidP="00286141">
    <w:pPr>
      <w:pStyle w:val="Encabezado"/>
      <w:jc w:val="right"/>
      <w:rPr>
        <w:rFonts w:ascii="Century Gothic" w:hAnsi="Century Gothic"/>
      </w:rPr>
    </w:pPr>
  </w:p>
  <w:p w:rsidR="00ED5365" w:rsidRPr="00A46BD3" w:rsidRDefault="00ED5365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0309D0"/>
    <w:multiLevelType w:val="hybridMultilevel"/>
    <w:tmpl w:val="ED86AF78"/>
    <w:lvl w:ilvl="0" w:tplc="D71850D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86"/>
    <w:rsid w:val="00001079"/>
    <w:rsid w:val="00022354"/>
    <w:rsid w:val="00071BC5"/>
    <w:rsid w:val="00073BAC"/>
    <w:rsid w:val="00087894"/>
    <w:rsid w:val="000964FA"/>
    <w:rsid w:val="000D3A66"/>
    <w:rsid w:val="000E2176"/>
    <w:rsid w:val="000F5579"/>
    <w:rsid w:val="001248E0"/>
    <w:rsid w:val="001408FD"/>
    <w:rsid w:val="001614E7"/>
    <w:rsid w:val="00173796"/>
    <w:rsid w:val="00175E7B"/>
    <w:rsid w:val="001A46F1"/>
    <w:rsid w:val="001A62B6"/>
    <w:rsid w:val="001E38F2"/>
    <w:rsid w:val="001F13AD"/>
    <w:rsid w:val="00241C0E"/>
    <w:rsid w:val="002918A5"/>
    <w:rsid w:val="002E1C5E"/>
    <w:rsid w:val="00305B43"/>
    <w:rsid w:val="00316FBA"/>
    <w:rsid w:val="00393F8A"/>
    <w:rsid w:val="003B0946"/>
    <w:rsid w:val="00411A40"/>
    <w:rsid w:val="00460BF8"/>
    <w:rsid w:val="0048767A"/>
    <w:rsid w:val="00495354"/>
    <w:rsid w:val="004A3D82"/>
    <w:rsid w:val="004C6B91"/>
    <w:rsid w:val="004E121B"/>
    <w:rsid w:val="004E2303"/>
    <w:rsid w:val="004E58FA"/>
    <w:rsid w:val="004F28DE"/>
    <w:rsid w:val="00563E72"/>
    <w:rsid w:val="00580C32"/>
    <w:rsid w:val="0059646A"/>
    <w:rsid w:val="005A5DA5"/>
    <w:rsid w:val="00605DBB"/>
    <w:rsid w:val="00642118"/>
    <w:rsid w:val="00656201"/>
    <w:rsid w:val="006B2535"/>
    <w:rsid w:val="00745569"/>
    <w:rsid w:val="007E4BA3"/>
    <w:rsid w:val="007F4B82"/>
    <w:rsid w:val="00800A8D"/>
    <w:rsid w:val="00802CBF"/>
    <w:rsid w:val="00842FF7"/>
    <w:rsid w:val="00872ACA"/>
    <w:rsid w:val="0091337B"/>
    <w:rsid w:val="0091350B"/>
    <w:rsid w:val="00914A1E"/>
    <w:rsid w:val="00917ACA"/>
    <w:rsid w:val="009741F4"/>
    <w:rsid w:val="009F17C9"/>
    <w:rsid w:val="009F21F0"/>
    <w:rsid w:val="00A271D5"/>
    <w:rsid w:val="00A52115"/>
    <w:rsid w:val="00A55184"/>
    <w:rsid w:val="00A770DD"/>
    <w:rsid w:val="00AD0A74"/>
    <w:rsid w:val="00AD0A87"/>
    <w:rsid w:val="00AD10F3"/>
    <w:rsid w:val="00AE2B7C"/>
    <w:rsid w:val="00B17537"/>
    <w:rsid w:val="00BD4F18"/>
    <w:rsid w:val="00C32A66"/>
    <w:rsid w:val="00C61002"/>
    <w:rsid w:val="00C61A69"/>
    <w:rsid w:val="00CC32CD"/>
    <w:rsid w:val="00D174BE"/>
    <w:rsid w:val="00DE217B"/>
    <w:rsid w:val="00E07875"/>
    <w:rsid w:val="00E414B6"/>
    <w:rsid w:val="00E4647E"/>
    <w:rsid w:val="00E715C1"/>
    <w:rsid w:val="00EA0786"/>
    <w:rsid w:val="00ED5365"/>
    <w:rsid w:val="00F36055"/>
    <w:rsid w:val="00FD02FE"/>
    <w:rsid w:val="00FF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3E797A0"/>
  <w15:chartTrackingRefBased/>
  <w15:docId w15:val="{0BD22A58-E8A5-4A1B-946D-4E616258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78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78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4E7"/>
    <w:rPr>
      <w:rFonts w:ascii="Segoe UI" w:eastAsia="Calibr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F1C8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1C8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42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5</cp:revision>
  <cp:lastPrinted>2019-06-11T14:45:00Z</cp:lastPrinted>
  <dcterms:created xsi:type="dcterms:W3CDTF">2018-07-14T15:51:00Z</dcterms:created>
  <dcterms:modified xsi:type="dcterms:W3CDTF">2019-06-11T15:07:00Z</dcterms:modified>
</cp:coreProperties>
</file>