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E52776" w:rsidRDefault="00EA0786" w:rsidP="0091337B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52776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2520315</wp:posOffset>
                </wp:positionH>
                <wp:positionV relativeFrom="paragraph">
                  <wp:posOffset>0</wp:posOffset>
                </wp:positionV>
                <wp:extent cx="3235325" cy="2552700"/>
                <wp:effectExtent l="0" t="0" r="317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786" w:rsidRPr="001A46F1" w:rsidRDefault="00173796" w:rsidP="00EA07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Recurso </w:t>
                            </w:r>
                            <w:r w:rsidR="001A62B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 Nulidad</w:t>
                            </w:r>
                          </w:p>
                          <w:p w:rsidR="00EA0786" w:rsidRPr="001A46F1" w:rsidRDefault="00173796" w:rsidP="00EA078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TEEA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0964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9B1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EA0786" w:rsidRPr="00CC32CD" w:rsidRDefault="00173796" w:rsidP="00EA078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174B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9B1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José Clemente Castañeda </w:t>
                            </w:r>
                            <w:proofErr w:type="spellStart"/>
                            <w:r w:rsidR="009B1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Hoeflich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9B1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Coordinador de la Comisión Operativa Nacional del Partido Político Movimiento Ciudadano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CC32CD" w:rsidRPr="00CC32CD" w:rsidRDefault="00D174BE" w:rsidP="00CC32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Autoridad </w:t>
                            </w:r>
                            <w:r w:rsidR="00173796"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173796"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Municipal Electoral de </w:t>
                            </w:r>
                            <w:r w:rsidR="009B1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Cosío 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del IEE en Aguascalientes. </w:t>
                            </w:r>
                          </w:p>
                          <w:p w:rsidR="00EA0786" w:rsidRPr="001A46F1" w:rsidRDefault="00EA0786" w:rsidP="00CC32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8.45pt;margin-top:0;width:254.75pt;height:20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" stroked="f">
                <v:textbox>
                  <w:txbxContent>
                    <w:p w:rsidR="00EA0786" w:rsidRPr="001A46F1" w:rsidRDefault="00173796" w:rsidP="00EA0786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Recurso </w:t>
                      </w:r>
                      <w:r w:rsidR="001A62B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 Nulidad</w:t>
                      </w:r>
                    </w:p>
                    <w:p w:rsidR="00EA0786" w:rsidRPr="001A46F1" w:rsidRDefault="00173796" w:rsidP="00EA078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TEEA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>-R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0964FA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9B16DF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EA0786" w:rsidRPr="00CC32CD" w:rsidRDefault="00173796" w:rsidP="00EA078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174B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9B1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José Clemente Castañeda </w:t>
                      </w:r>
                      <w:proofErr w:type="spellStart"/>
                      <w:r w:rsidR="009B16DF">
                        <w:rPr>
                          <w:rFonts w:ascii="Arial" w:hAnsi="Arial" w:cs="Arial"/>
                          <w:sz w:val="24"/>
                          <w:szCs w:val="24"/>
                        </w:rPr>
                        <w:t>Hoeflich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9B16DF">
                        <w:rPr>
                          <w:rFonts w:ascii="Arial" w:hAnsi="Arial" w:cs="Arial"/>
                          <w:sz w:val="24"/>
                          <w:szCs w:val="24"/>
                        </w:rPr>
                        <w:t>Coordinador de la Comisión Operativa Nacional del Partido Político Movimiento Ciudadano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C32CD" w:rsidRPr="00CC32CD" w:rsidRDefault="00D174BE" w:rsidP="00CC32CD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Autoridad </w:t>
                      </w:r>
                      <w:r w:rsidR="00173796"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173796"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Municipal Electoral de </w:t>
                      </w:r>
                      <w:r w:rsidR="009B1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Cosío 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del IEE en Aguascalientes. </w:t>
                      </w:r>
                    </w:p>
                    <w:p w:rsidR="00EA0786" w:rsidRPr="001A46F1" w:rsidRDefault="00EA0786" w:rsidP="00CC32CD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1A46F1" w:rsidRDefault="001A46F1" w:rsidP="001A46F1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CC32CD" w:rsidRDefault="00CC32CD" w:rsidP="00FF1C8E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CC32CD" w:rsidRPr="00D073A2" w:rsidRDefault="00CC32CD" w:rsidP="00CC32C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0" w:name="_Hlk519340244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al Magistrado Héctor Salvador Hernández Gallegos, presidente de este órgano jurisdiccional electoral, con la siguiente documentación, </w:t>
      </w:r>
      <w:bookmarkStart w:id="1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2" w:name="_Hlk515868995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9B16DF">
        <w:rPr>
          <w:rFonts w:ascii="Arial" w:eastAsia="Times New Roman" w:hAnsi="Arial" w:cs="Arial"/>
          <w:bCs/>
          <w:sz w:val="24"/>
          <w:szCs w:val="24"/>
          <w:lang w:val="es-ES" w:eastAsia="es-MX"/>
        </w:rPr>
        <w:t>688</w:t>
      </w:r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/2019, </w:t>
      </w:r>
      <w:bookmarkEnd w:id="2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fecha </w:t>
      </w:r>
      <w:r w:rsidR="009B16DF">
        <w:rPr>
          <w:rFonts w:ascii="Arial" w:eastAsia="Times New Roman" w:hAnsi="Arial" w:cs="Arial"/>
          <w:bCs/>
          <w:sz w:val="24"/>
          <w:szCs w:val="24"/>
          <w:lang w:val="es-ES" w:eastAsia="es-MX"/>
        </w:rPr>
        <w:t>veintitrés</w:t>
      </w: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</w:t>
      </w:r>
      <w:r w:rsidR="009B16DF">
        <w:rPr>
          <w:rFonts w:ascii="Arial" w:eastAsia="Times New Roman" w:hAnsi="Arial" w:cs="Arial"/>
          <w:bCs/>
          <w:sz w:val="24"/>
          <w:szCs w:val="24"/>
          <w:lang w:val="es-ES"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>io</w:t>
      </w:r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diecinueve, </w:t>
      </w:r>
      <w:bookmarkEnd w:id="1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CC32CD" w:rsidRPr="00D073A2" w:rsidRDefault="00CC32CD" w:rsidP="00CC32C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9B16DF">
        <w:rPr>
          <w:rFonts w:ascii="Arial" w:hAnsi="Arial" w:cs="Arial"/>
          <w:sz w:val="24"/>
          <w:szCs w:val="24"/>
        </w:rPr>
        <w:t>veinticuatro</w:t>
      </w:r>
      <w:r w:rsidRPr="00D073A2">
        <w:rPr>
          <w:rFonts w:ascii="Arial" w:hAnsi="Arial" w:cs="Arial"/>
          <w:sz w:val="24"/>
          <w:szCs w:val="24"/>
        </w:rPr>
        <w:t xml:space="preserve"> de ju</w:t>
      </w:r>
      <w:r w:rsidR="009B16DF">
        <w:rPr>
          <w:rFonts w:ascii="Arial" w:hAnsi="Arial" w:cs="Arial"/>
          <w:sz w:val="24"/>
          <w:szCs w:val="24"/>
        </w:rPr>
        <w:t>l</w:t>
      </w:r>
      <w:r w:rsidRPr="00D073A2">
        <w:rPr>
          <w:rFonts w:ascii="Arial" w:hAnsi="Arial" w:cs="Arial"/>
          <w:sz w:val="24"/>
          <w:szCs w:val="24"/>
        </w:rPr>
        <w:t>io de dos mil diecinueve.</w:t>
      </w:r>
    </w:p>
    <w:p w:rsidR="00EA0786" w:rsidRDefault="00EA0786" w:rsidP="0091337B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 w:rsidR="00316FBA">
        <w:rPr>
          <w:rFonts w:ascii="Arial" w:eastAsia="Times New Roman" w:hAnsi="Arial" w:cs="Arial"/>
          <w:bCs/>
          <w:sz w:val="24"/>
          <w:szCs w:val="24"/>
          <w:lang w:eastAsia="es-MX"/>
        </w:rPr>
        <w:t>297, fracción 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II</w:t>
      </w:r>
      <w:r w:rsidR="00316F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4E58FA">
        <w:rPr>
          <w:rFonts w:ascii="Arial" w:eastAsia="Times New Roman" w:hAnsi="Arial" w:cs="Arial"/>
          <w:bCs/>
          <w:sz w:val="24"/>
          <w:szCs w:val="24"/>
          <w:lang w:eastAsia="es-MX"/>
        </w:rPr>
        <w:t>3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38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al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>tes; 28, fracción VII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VIII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; 10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I, inciso b)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C61A6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 w:rsidR="0091350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bookmarkEnd w:id="0"/>
    <w:p w:rsidR="001A46F1" w:rsidRPr="001A46F1" w:rsidRDefault="001A46F1" w:rsidP="0091337B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9F21F0" w:rsidRDefault="00EA0786" w:rsidP="001A29A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1A29A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Esta Presidencia advierte que el escrito que contiene el medio de impugnación </w:t>
      </w:r>
      <w:r w:rsidR="009B16DF">
        <w:rPr>
          <w:rFonts w:ascii="Arial" w:eastAsia="Times New Roman" w:hAnsi="Arial" w:cs="Arial"/>
          <w:bCs/>
          <w:sz w:val="24"/>
          <w:szCs w:val="24"/>
          <w:lang w:eastAsia="es-MX"/>
        </w:rPr>
        <w:t>fue remitido por Acuerdo Plenario de reencauzamiento de Juicio de Revisión Constitucional Electoral, de fecha de veintiuno de julio de dos mil diecinueve</w:t>
      </w:r>
      <w:r w:rsidR="001A29AB">
        <w:rPr>
          <w:rFonts w:ascii="Arial" w:eastAsia="Times New Roman" w:hAnsi="Arial" w:cs="Arial"/>
          <w:bCs/>
          <w:sz w:val="24"/>
          <w:szCs w:val="24"/>
          <w:lang w:eastAsia="es-MX"/>
        </w:rPr>
        <w:t>, mismo que no se encuentra previsto por la legislación electoral local, por lo que a fin de darle trámite, y de esta forma garantizar al promovente el acceso a una justicia pronta y expedita, c</w:t>
      </w:r>
      <w:r w:rsidR="001A29AB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on el escrito de cuenta y sus anexos, intégrese el expediente respectivo y regístrese en el Libro de Gobierno con la clave </w:t>
      </w:r>
      <w:r w:rsidR="001A29AB"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1A29A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="001A29AB"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</w:t>
      </w:r>
      <w:r w:rsidR="001A29A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00</w:t>
      </w:r>
      <w:r w:rsidR="00B62B0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="001A29A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</w:t>
      </w:r>
      <w:r w:rsidR="001A29AB"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201</w:t>
      </w:r>
      <w:r w:rsidR="001A29A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="001A29AB">
        <w:rPr>
          <w:rFonts w:ascii="Arial" w:eastAsia="Times New Roman" w:hAnsi="Arial" w:cs="Arial"/>
          <w:bCs/>
          <w:sz w:val="24"/>
          <w:szCs w:val="24"/>
          <w:lang w:eastAsia="es-MX"/>
        </w:rPr>
        <w:t>, a fin de que la magistrada instructora determine lo que a derecho corresponda.</w:t>
      </w:r>
    </w:p>
    <w:p w:rsidR="001614E7" w:rsidRDefault="009F21F0" w:rsidP="0091337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bookmarkStart w:id="3" w:name="_Hlk519340266"/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los artículos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357, fracción VIII, inciso e), del Código Electoral;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y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104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563E7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túrnese los autos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 Ponencia </w:t>
      </w:r>
      <w:bookmarkEnd w:id="3"/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1A29A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1A29AB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B2535" w:rsidRPr="00A271D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1A29A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6B2535" w:rsidRPr="00A271D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1A29A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</w:t>
      </w:r>
      <w:r w:rsidR="0081511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Díaz de León G</w:t>
      </w:r>
      <w:r w:rsidR="001A29A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onzál</w:t>
      </w:r>
      <w:r w:rsidR="0081511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ez</w:t>
      </w:r>
      <w:r w:rsidR="006B2535" w:rsidRPr="00A271D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EA0786" w:rsidRPr="00E52776" w:rsidRDefault="00EA0786" w:rsidP="0091337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4" w:name="_GoBack"/>
      <w:bookmarkEnd w:id="4"/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Hágase del conocimiento a través de los Estrados de este Tribunal;</w:t>
      </w:r>
    </w:p>
    <w:p w:rsidR="00EA0786" w:rsidRPr="00E52776" w:rsidRDefault="00EA0786" w:rsidP="0091337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EA0786" w:rsidRDefault="00EA0786" w:rsidP="0091337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A271D5" w:rsidRPr="00E52776" w:rsidRDefault="00A271D5" w:rsidP="009133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1A46F1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EA0786" w:rsidRPr="00E52776" w:rsidRDefault="00EA0786" w:rsidP="0091337B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:rsidR="00EA0786" w:rsidRPr="00E52776" w:rsidRDefault="00EA0786" w:rsidP="0091337B">
      <w:pPr>
        <w:spacing w:line="360" w:lineRule="auto"/>
        <w:rPr>
          <w:sz w:val="24"/>
          <w:szCs w:val="24"/>
        </w:rPr>
      </w:pPr>
    </w:p>
    <w:p w:rsidR="004F28DE" w:rsidRDefault="004F28DE" w:rsidP="0091337B">
      <w:pPr>
        <w:spacing w:line="360" w:lineRule="auto"/>
      </w:pPr>
    </w:p>
    <w:sectPr w:rsidR="004F28DE" w:rsidSect="00C252C8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8FD" w:rsidRDefault="001408FD">
      <w:pPr>
        <w:spacing w:after="0" w:line="240" w:lineRule="auto"/>
      </w:pPr>
      <w:r>
        <w:separator/>
      </w:r>
    </w:p>
  </w:endnote>
  <w:endnote w:type="continuationSeparator" w:id="0">
    <w:p w:rsidR="001408FD" w:rsidRDefault="0014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B62B0C" w:rsidP="00A271D5">
    <w:pPr>
      <w:pStyle w:val="Piedepgina"/>
    </w:pPr>
  </w:p>
  <w:p w:rsidR="00F71849" w:rsidRDefault="00B62B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8FD" w:rsidRDefault="001408FD">
      <w:pPr>
        <w:spacing w:after="0" w:line="240" w:lineRule="auto"/>
      </w:pPr>
      <w:r>
        <w:separator/>
      </w:r>
    </w:p>
  </w:footnote>
  <w:footnote w:type="continuationSeparator" w:id="0">
    <w:p w:rsidR="001408FD" w:rsidRDefault="0014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405655718"/>
      <w:docPartObj>
        <w:docPartGallery w:val="Page Numbers (Margins)"/>
        <w:docPartUnique/>
      </w:docPartObj>
    </w:sdtPr>
    <w:sdtEndPr/>
    <w:sdtContent>
      <w:p w:rsidR="00ED5365" w:rsidRDefault="00A271D5" w:rsidP="00C252C8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A271D5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271D5" w:rsidRDefault="00A271D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271D5" w:rsidRDefault="00A271D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ED5365" w:rsidRDefault="00ED5365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ED5365" w:rsidRDefault="00ED5365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ED5365" w:rsidRDefault="00ED5365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305B43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305B43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305B43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>Acuerdo de Turno de Presidencia</w:t>
    </w: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Pr="00A46BD3" w:rsidRDefault="00ED5365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309D0"/>
    <w:multiLevelType w:val="hybridMultilevel"/>
    <w:tmpl w:val="ED86AF78"/>
    <w:lvl w:ilvl="0" w:tplc="D71850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01079"/>
    <w:rsid w:val="00022354"/>
    <w:rsid w:val="00073BAC"/>
    <w:rsid w:val="00087894"/>
    <w:rsid w:val="000964FA"/>
    <w:rsid w:val="000D3A66"/>
    <w:rsid w:val="000E2176"/>
    <w:rsid w:val="000F5579"/>
    <w:rsid w:val="001248E0"/>
    <w:rsid w:val="001408FD"/>
    <w:rsid w:val="001614E7"/>
    <w:rsid w:val="00173796"/>
    <w:rsid w:val="00175E7B"/>
    <w:rsid w:val="001A29AB"/>
    <w:rsid w:val="001A46F1"/>
    <w:rsid w:val="001A62B6"/>
    <w:rsid w:val="001E38F2"/>
    <w:rsid w:val="001F13AD"/>
    <w:rsid w:val="00241C0E"/>
    <w:rsid w:val="002918A5"/>
    <w:rsid w:val="002E1C5E"/>
    <w:rsid w:val="00305B43"/>
    <w:rsid w:val="00316FBA"/>
    <w:rsid w:val="00393F8A"/>
    <w:rsid w:val="003B0946"/>
    <w:rsid w:val="00411A40"/>
    <w:rsid w:val="00460BF8"/>
    <w:rsid w:val="0048767A"/>
    <w:rsid w:val="00495354"/>
    <w:rsid w:val="004A3D82"/>
    <w:rsid w:val="004C6B91"/>
    <w:rsid w:val="004E121B"/>
    <w:rsid w:val="004E2303"/>
    <w:rsid w:val="004E58FA"/>
    <w:rsid w:val="004F28DE"/>
    <w:rsid w:val="00563E72"/>
    <w:rsid w:val="00580C32"/>
    <w:rsid w:val="0059646A"/>
    <w:rsid w:val="005A5DA5"/>
    <w:rsid w:val="00605DBB"/>
    <w:rsid w:val="00642118"/>
    <w:rsid w:val="00656201"/>
    <w:rsid w:val="006B2535"/>
    <w:rsid w:val="00745569"/>
    <w:rsid w:val="007E4BA3"/>
    <w:rsid w:val="007F4B82"/>
    <w:rsid w:val="00800A8D"/>
    <w:rsid w:val="00802CBF"/>
    <w:rsid w:val="00815114"/>
    <w:rsid w:val="00842FF7"/>
    <w:rsid w:val="00872ACA"/>
    <w:rsid w:val="0091337B"/>
    <w:rsid w:val="0091350B"/>
    <w:rsid w:val="00914A1E"/>
    <w:rsid w:val="00917ACA"/>
    <w:rsid w:val="009741F4"/>
    <w:rsid w:val="009B16DF"/>
    <w:rsid w:val="009F17C9"/>
    <w:rsid w:val="009F21F0"/>
    <w:rsid w:val="00A271D5"/>
    <w:rsid w:val="00A52115"/>
    <w:rsid w:val="00A55184"/>
    <w:rsid w:val="00A770DD"/>
    <w:rsid w:val="00AD0A74"/>
    <w:rsid w:val="00AD0A87"/>
    <w:rsid w:val="00AD10F3"/>
    <w:rsid w:val="00AE2B7C"/>
    <w:rsid w:val="00B17537"/>
    <w:rsid w:val="00B62B0C"/>
    <w:rsid w:val="00BD4F18"/>
    <w:rsid w:val="00C32A66"/>
    <w:rsid w:val="00C61002"/>
    <w:rsid w:val="00C61A69"/>
    <w:rsid w:val="00CC32CD"/>
    <w:rsid w:val="00D174BE"/>
    <w:rsid w:val="00DE217B"/>
    <w:rsid w:val="00E07875"/>
    <w:rsid w:val="00E414B6"/>
    <w:rsid w:val="00E4647E"/>
    <w:rsid w:val="00EA0786"/>
    <w:rsid w:val="00ED5365"/>
    <w:rsid w:val="00F36055"/>
    <w:rsid w:val="00FD02FE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553B8A"/>
  <w15:chartTrackingRefBased/>
  <w15:docId w15:val="{0BD22A58-E8A5-4A1B-946D-4E616258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1C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C8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4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7</cp:revision>
  <cp:lastPrinted>2019-07-23T21:44:00Z</cp:lastPrinted>
  <dcterms:created xsi:type="dcterms:W3CDTF">2018-07-14T15:51:00Z</dcterms:created>
  <dcterms:modified xsi:type="dcterms:W3CDTF">2019-07-23T21:44:00Z</dcterms:modified>
</cp:coreProperties>
</file>