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AA8" w:rsidRPr="00C618EF" w:rsidRDefault="00201D01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</w:t>
      </w:r>
    </w:p>
    <w:p w:rsidR="00F159E7" w:rsidRPr="00EF5E6E" w:rsidRDefault="00F159E7" w:rsidP="00F159E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sz w:val="28"/>
          <w:szCs w:val="28"/>
        </w:rPr>
        <w:t>Con fundamento en los artículos 357, fracción I</w:t>
      </w:r>
      <w:r w:rsidR="007C0390">
        <w:rPr>
          <w:rFonts w:ascii="Arial" w:hAnsi="Arial" w:cs="Arial"/>
          <w:sz w:val="28"/>
          <w:szCs w:val="28"/>
        </w:rPr>
        <w:t xml:space="preserve"> y</w:t>
      </w:r>
      <w:r w:rsidRPr="00C618EF">
        <w:rPr>
          <w:rFonts w:ascii="Arial" w:hAnsi="Arial" w:cs="Arial"/>
          <w:sz w:val="28"/>
          <w:szCs w:val="28"/>
        </w:rPr>
        <w:t xml:space="preserve"> </w:t>
      </w:r>
      <w:r w:rsidR="00D3506F">
        <w:rPr>
          <w:rFonts w:ascii="Arial" w:hAnsi="Arial" w:cs="Arial"/>
          <w:sz w:val="28"/>
          <w:szCs w:val="28"/>
        </w:rPr>
        <w:t>VIII</w:t>
      </w:r>
      <w:r w:rsidR="007C0390">
        <w:rPr>
          <w:rFonts w:ascii="Arial" w:hAnsi="Arial" w:cs="Arial"/>
          <w:sz w:val="28"/>
          <w:szCs w:val="28"/>
        </w:rPr>
        <w:t>,</w:t>
      </w:r>
      <w:r w:rsidR="00D3506F">
        <w:rPr>
          <w:rFonts w:ascii="Arial" w:hAnsi="Arial" w:cs="Arial"/>
          <w:sz w:val="28"/>
          <w:szCs w:val="28"/>
        </w:rPr>
        <w:t xml:space="preserve"> inciso b), </w:t>
      </w:r>
      <w:r w:rsidRPr="00C618EF">
        <w:rPr>
          <w:rFonts w:ascii="Arial" w:hAnsi="Arial" w:cs="Arial"/>
          <w:sz w:val="28"/>
          <w:szCs w:val="28"/>
        </w:rPr>
        <w:t>del Código Electoral del Estado de Aguascalientes;</w:t>
      </w:r>
      <w:r w:rsidR="00D3506F">
        <w:rPr>
          <w:rFonts w:ascii="Arial" w:hAnsi="Arial" w:cs="Arial"/>
          <w:sz w:val="28"/>
          <w:szCs w:val="28"/>
        </w:rPr>
        <w:t xml:space="preserve"> </w:t>
      </w:r>
      <w:r w:rsidRPr="00C618EF">
        <w:rPr>
          <w:rFonts w:ascii="Arial" w:hAnsi="Arial" w:cs="Arial"/>
          <w:sz w:val="28"/>
          <w:szCs w:val="28"/>
        </w:rPr>
        <w:t>18, fracción I</w:t>
      </w:r>
      <w:r w:rsidR="00D3506F">
        <w:rPr>
          <w:rFonts w:ascii="Arial" w:hAnsi="Arial" w:cs="Arial"/>
          <w:sz w:val="28"/>
          <w:szCs w:val="28"/>
        </w:rPr>
        <w:t xml:space="preserve">, </w:t>
      </w:r>
      <w:r w:rsidRPr="00C618EF">
        <w:rPr>
          <w:rFonts w:ascii="Arial" w:hAnsi="Arial" w:cs="Arial"/>
          <w:sz w:val="28"/>
          <w:szCs w:val="28"/>
        </w:rPr>
        <w:t xml:space="preserve">y 21, fracción I, inciso a), del Reglamento Interior del Tribunal Electoral, en relación con la </w:t>
      </w:r>
      <w:r w:rsidR="00C52211">
        <w:rPr>
          <w:rFonts w:ascii="Arial" w:hAnsi="Arial" w:cs="Arial"/>
          <w:b/>
          <w:sz w:val="28"/>
          <w:szCs w:val="28"/>
        </w:rPr>
        <w:t>décim</w:t>
      </w:r>
      <w:r w:rsidR="004F00F3">
        <w:rPr>
          <w:rFonts w:ascii="Arial" w:hAnsi="Arial" w:cs="Arial"/>
          <w:b/>
          <w:sz w:val="28"/>
          <w:szCs w:val="28"/>
        </w:rPr>
        <w:t>o</w:t>
      </w:r>
      <w:r w:rsidR="00CB471B">
        <w:rPr>
          <w:rFonts w:ascii="Arial" w:hAnsi="Arial" w:cs="Arial"/>
          <w:b/>
          <w:sz w:val="28"/>
          <w:szCs w:val="28"/>
        </w:rPr>
        <w:t xml:space="preserve"> </w:t>
      </w:r>
      <w:r w:rsidR="00C201A8">
        <w:rPr>
          <w:rFonts w:ascii="Arial" w:hAnsi="Arial" w:cs="Arial"/>
          <w:b/>
          <w:sz w:val="28"/>
          <w:szCs w:val="28"/>
        </w:rPr>
        <w:t>octava</w:t>
      </w:r>
      <w:r w:rsidR="00A5700D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>sesión</w:t>
      </w:r>
      <w:r w:rsidR="00444795">
        <w:rPr>
          <w:rFonts w:ascii="Arial" w:hAnsi="Arial" w:cs="Arial"/>
          <w:b/>
          <w:sz w:val="28"/>
          <w:szCs w:val="28"/>
        </w:rPr>
        <w:t xml:space="preserve"> pública </w:t>
      </w:r>
      <w:r w:rsidR="00283B54">
        <w:rPr>
          <w:rFonts w:ascii="Arial" w:hAnsi="Arial" w:cs="Arial"/>
          <w:b/>
          <w:sz w:val="28"/>
          <w:szCs w:val="28"/>
        </w:rPr>
        <w:t>de resolución</w:t>
      </w:r>
      <w:r w:rsidR="00A5700D" w:rsidRPr="00C618EF">
        <w:rPr>
          <w:rFonts w:ascii="Arial" w:hAnsi="Arial" w:cs="Arial"/>
          <w:sz w:val="28"/>
          <w:szCs w:val="28"/>
        </w:rPr>
        <w:t xml:space="preserve">, que tendrá verificativo el día </w:t>
      </w:r>
      <w:r w:rsidR="00FA79B0">
        <w:rPr>
          <w:rFonts w:ascii="Arial" w:hAnsi="Arial" w:cs="Arial"/>
          <w:b/>
          <w:sz w:val="28"/>
          <w:szCs w:val="28"/>
        </w:rPr>
        <w:t>veint</w:t>
      </w:r>
      <w:r w:rsidR="00C201A8">
        <w:rPr>
          <w:rFonts w:ascii="Arial" w:hAnsi="Arial" w:cs="Arial"/>
          <w:b/>
          <w:sz w:val="28"/>
          <w:szCs w:val="28"/>
        </w:rPr>
        <w:t>iséis</w:t>
      </w:r>
      <w:r w:rsidR="00C52211">
        <w:rPr>
          <w:rFonts w:ascii="Arial" w:hAnsi="Arial" w:cs="Arial"/>
          <w:b/>
          <w:sz w:val="28"/>
          <w:szCs w:val="28"/>
        </w:rPr>
        <w:t xml:space="preserve"> de abril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de dos mil dieci</w:t>
      </w:r>
      <w:r w:rsidR="00283B54">
        <w:rPr>
          <w:rFonts w:ascii="Arial" w:hAnsi="Arial" w:cs="Arial"/>
          <w:b/>
          <w:sz w:val="28"/>
          <w:szCs w:val="28"/>
        </w:rPr>
        <w:t>nueve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sz w:val="28"/>
          <w:szCs w:val="28"/>
        </w:rPr>
        <w:t>a las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FA79B0">
        <w:rPr>
          <w:rFonts w:ascii="Arial" w:hAnsi="Arial" w:cs="Arial"/>
          <w:b/>
          <w:sz w:val="28"/>
          <w:szCs w:val="28"/>
        </w:rPr>
        <w:t>tre</w:t>
      </w:r>
      <w:r w:rsidR="004F00F3">
        <w:rPr>
          <w:rFonts w:ascii="Arial" w:hAnsi="Arial" w:cs="Arial"/>
          <w:b/>
          <w:sz w:val="28"/>
          <w:szCs w:val="28"/>
        </w:rPr>
        <w:t>ce</w:t>
      </w:r>
      <w:r w:rsidR="00627CFD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>horas</w:t>
      </w:r>
      <w:r w:rsidR="00D50362">
        <w:rPr>
          <w:rFonts w:ascii="Arial" w:hAnsi="Arial" w:cs="Arial"/>
          <w:b/>
          <w:sz w:val="28"/>
          <w:szCs w:val="28"/>
        </w:rPr>
        <w:t xml:space="preserve"> con </w:t>
      </w:r>
      <w:r w:rsidR="004F00F3">
        <w:rPr>
          <w:rFonts w:ascii="Arial" w:hAnsi="Arial" w:cs="Arial"/>
          <w:b/>
          <w:sz w:val="28"/>
          <w:szCs w:val="28"/>
        </w:rPr>
        <w:t>cero</w:t>
      </w:r>
      <w:r w:rsidR="00D50362">
        <w:rPr>
          <w:rFonts w:ascii="Arial" w:hAnsi="Arial" w:cs="Arial"/>
          <w:b/>
          <w:sz w:val="28"/>
          <w:szCs w:val="28"/>
        </w:rPr>
        <w:t xml:space="preserve"> minutos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, </w:t>
      </w:r>
      <w:r w:rsidR="00A5700D" w:rsidRPr="00C618EF">
        <w:rPr>
          <w:rFonts w:ascii="Arial" w:hAnsi="Arial" w:cs="Arial"/>
          <w:sz w:val="28"/>
          <w:szCs w:val="28"/>
        </w:rPr>
        <w:t>se</w:t>
      </w:r>
      <w:r w:rsidRPr="00C618EF">
        <w:rPr>
          <w:rFonts w:ascii="Arial" w:hAnsi="Arial" w:cs="Arial"/>
          <w:sz w:val="28"/>
          <w:szCs w:val="28"/>
        </w:rPr>
        <w:t xml:space="preserve"> emite el siguiente:</w:t>
      </w:r>
    </w:p>
    <w:p w:rsidR="00C618EF" w:rsidRDefault="00C618EF" w:rsidP="00B176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618EF" w:rsidRPr="00C618EF" w:rsidRDefault="00F159E7" w:rsidP="00C17AA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ORDEN DEL DÍA</w:t>
      </w:r>
      <w:bookmarkStart w:id="1" w:name="_Hlk515982367"/>
    </w:p>
    <w:bookmarkEnd w:id="1"/>
    <w:p w:rsidR="00C201A8" w:rsidRPr="00C201A8" w:rsidRDefault="00C201A8" w:rsidP="00C201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eastAsia="es-MX"/>
        </w:rPr>
      </w:pPr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Aprobación del orden del día;</w:t>
      </w:r>
    </w:p>
    <w:p w:rsidR="00C201A8" w:rsidRPr="00C201A8" w:rsidRDefault="00C201A8" w:rsidP="00C201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eastAsia="es-MX"/>
        </w:rPr>
      </w:pPr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Proyecto de Resolución del Recurso de Apelación identificado con el número de expediente TEEA-RAP-003 y su acumulado RAP-04, ambos de este año, propuesto por la ponencia del Magistrado Jorge Ramón Díaz de León Gutiérrez; y</w:t>
      </w:r>
    </w:p>
    <w:p w:rsidR="00C201A8" w:rsidRPr="00C201A8" w:rsidRDefault="00C201A8" w:rsidP="00C201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eastAsia="es-MX"/>
        </w:rPr>
      </w:pPr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Proyecto de Resolución del Recurso de Apelación identificado con el número de expediente TEEA-RAP-005 y sus acumulados RAP-06, 07 y 08 todos de este año, propuesto por su ponencia Magistrado Presidente Héctor Salvador Hernández Gallegos.</w:t>
      </w:r>
    </w:p>
    <w:p w:rsidR="00C618EF" w:rsidRDefault="00C618EF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4819EE" w:rsidRDefault="004819EE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C618EF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A01F0F" w:rsidRPr="00C618EF">
        <w:rPr>
          <w:rFonts w:ascii="Arial" w:hAnsi="Arial" w:cs="Arial"/>
          <w:b/>
          <w:sz w:val="28"/>
          <w:szCs w:val="28"/>
        </w:rPr>
        <w:t>P</w:t>
      </w:r>
      <w:r w:rsidRPr="00C618EF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C618EF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8320C7" w:rsidRPr="00C618EF" w:rsidRDefault="00F159E7" w:rsidP="004845E9">
      <w:pPr>
        <w:spacing w:after="0" w:line="360" w:lineRule="auto"/>
        <w:jc w:val="center"/>
        <w:rPr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RPr="00C618EF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E94" w:rsidRDefault="00350E94" w:rsidP="00F159E7">
      <w:pPr>
        <w:spacing w:after="0" w:line="240" w:lineRule="auto"/>
      </w:pPr>
      <w:r>
        <w:separator/>
      </w:r>
    </w:p>
  </w:endnote>
  <w:endnote w:type="continuationSeparator" w:id="0">
    <w:p w:rsidR="00350E94" w:rsidRDefault="00350E94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350E94" w:rsidP="009023E2">
    <w:pPr>
      <w:pStyle w:val="Piedepgina"/>
      <w:jc w:val="center"/>
    </w:pPr>
  </w:p>
  <w:p w:rsidR="006C0934" w:rsidRDefault="00350E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E94" w:rsidRDefault="00350E94" w:rsidP="00F159E7">
      <w:pPr>
        <w:spacing w:after="0" w:line="240" w:lineRule="auto"/>
      </w:pPr>
      <w:r>
        <w:separator/>
      </w:r>
    </w:p>
  </w:footnote>
  <w:footnote w:type="continuationSeparator" w:id="0">
    <w:p w:rsidR="00350E94" w:rsidRDefault="00350E94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:rsidR="006C0934" w:rsidRPr="00EF5E6E" w:rsidRDefault="00E319B1" w:rsidP="006802C0">
    <w:pPr>
      <w:pStyle w:val="Encabezado"/>
      <w:jc w:val="right"/>
      <w:rPr>
        <w:rFonts w:ascii="Century Gothic" w:hAnsi="Century Gothic"/>
        <w:b/>
        <w:sz w:val="16"/>
        <w:szCs w:val="20"/>
      </w:rPr>
    </w:pPr>
    <w:r w:rsidRPr="00EF5E6E">
      <w:rPr>
        <w:rFonts w:ascii="Century Gothic" w:hAnsi="Century Gothic"/>
        <w:b/>
        <w:sz w:val="18"/>
      </w:rPr>
      <w:t xml:space="preserve">   </w:t>
    </w:r>
    <w:r w:rsidRPr="00EF5E6E">
      <w:rPr>
        <w:rFonts w:ascii="Century Gothic" w:hAnsi="Century Gothic"/>
        <w:b/>
        <w:sz w:val="16"/>
        <w:szCs w:val="20"/>
      </w:rPr>
      <w:t>Aguascalientes, Aguascalientes a</w:t>
    </w:r>
    <w:r w:rsidR="007B3D2B" w:rsidRPr="00EF5E6E">
      <w:rPr>
        <w:rFonts w:ascii="Century Gothic" w:hAnsi="Century Gothic"/>
        <w:b/>
        <w:sz w:val="16"/>
        <w:szCs w:val="20"/>
      </w:rPr>
      <w:t xml:space="preserve"> </w:t>
    </w:r>
    <w:r w:rsidR="00FA79B0">
      <w:rPr>
        <w:rFonts w:ascii="Arial" w:eastAsia="Times New Roman" w:hAnsi="Arial" w:cs="Arial"/>
        <w:b/>
        <w:bCs/>
        <w:sz w:val="18"/>
        <w:lang w:eastAsia="es-MX"/>
      </w:rPr>
      <w:t>veint</w:t>
    </w:r>
    <w:r w:rsidR="00C201A8">
      <w:rPr>
        <w:rFonts w:ascii="Arial" w:eastAsia="Times New Roman" w:hAnsi="Arial" w:cs="Arial"/>
        <w:b/>
        <w:bCs/>
        <w:sz w:val="18"/>
        <w:lang w:eastAsia="es-MX"/>
      </w:rPr>
      <w:t>icinco</w:t>
    </w:r>
    <w:r w:rsidR="00EF5E6E" w:rsidRPr="00EF5E6E">
      <w:rPr>
        <w:rFonts w:ascii="Arial" w:eastAsia="Times New Roman" w:hAnsi="Arial" w:cs="Arial"/>
        <w:b/>
        <w:bCs/>
        <w:sz w:val="18"/>
        <w:lang w:eastAsia="es-MX"/>
      </w:rPr>
      <w:t xml:space="preserve"> de abril de dos mil diecinueve.</w:t>
    </w: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135CF"/>
    <w:rsid w:val="0005715C"/>
    <w:rsid w:val="00093226"/>
    <w:rsid w:val="000E6177"/>
    <w:rsid w:val="001071AD"/>
    <w:rsid w:val="001172B4"/>
    <w:rsid w:val="00133CD5"/>
    <w:rsid w:val="00135E36"/>
    <w:rsid w:val="001411A9"/>
    <w:rsid w:val="00141B30"/>
    <w:rsid w:val="001637C7"/>
    <w:rsid w:val="00165880"/>
    <w:rsid w:val="00172812"/>
    <w:rsid w:val="00175908"/>
    <w:rsid w:val="0018484A"/>
    <w:rsid w:val="0019507E"/>
    <w:rsid w:val="001A53DD"/>
    <w:rsid w:val="001B54D6"/>
    <w:rsid w:val="001D1F09"/>
    <w:rsid w:val="001F458F"/>
    <w:rsid w:val="002005B5"/>
    <w:rsid w:val="00201D01"/>
    <w:rsid w:val="00225DFE"/>
    <w:rsid w:val="002523F3"/>
    <w:rsid w:val="00254563"/>
    <w:rsid w:val="00283B54"/>
    <w:rsid w:val="00287652"/>
    <w:rsid w:val="002E242A"/>
    <w:rsid w:val="002E2CD6"/>
    <w:rsid w:val="002E3182"/>
    <w:rsid w:val="002F464B"/>
    <w:rsid w:val="00307BE0"/>
    <w:rsid w:val="00350E94"/>
    <w:rsid w:val="003548B2"/>
    <w:rsid w:val="00365FDB"/>
    <w:rsid w:val="00381A02"/>
    <w:rsid w:val="00381F9C"/>
    <w:rsid w:val="003851C8"/>
    <w:rsid w:val="003928B4"/>
    <w:rsid w:val="00394F35"/>
    <w:rsid w:val="003A7AA3"/>
    <w:rsid w:val="003A7B81"/>
    <w:rsid w:val="003E0182"/>
    <w:rsid w:val="004262F4"/>
    <w:rsid w:val="00435823"/>
    <w:rsid w:val="004368F6"/>
    <w:rsid w:val="004403C7"/>
    <w:rsid w:val="00444795"/>
    <w:rsid w:val="00461E02"/>
    <w:rsid w:val="00477F8F"/>
    <w:rsid w:val="004819EE"/>
    <w:rsid w:val="004845E9"/>
    <w:rsid w:val="004D1D13"/>
    <w:rsid w:val="004D55CA"/>
    <w:rsid w:val="004F00F3"/>
    <w:rsid w:val="004F584E"/>
    <w:rsid w:val="004F5C9F"/>
    <w:rsid w:val="00516AA8"/>
    <w:rsid w:val="00567B14"/>
    <w:rsid w:val="00580CB0"/>
    <w:rsid w:val="005A34C6"/>
    <w:rsid w:val="005B6486"/>
    <w:rsid w:val="005D5A71"/>
    <w:rsid w:val="005E2964"/>
    <w:rsid w:val="005E6A6F"/>
    <w:rsid w:val="005F6443"/>
    <w:rsid w:val="00627CFD"/>
    <w:rsid w:val="00637BEE"/>
    <w:rsid w:val="00650746"/>
    <w:rsid w:val="00655809"/>
    <w:rsid w:val="00667855"/>
    <w:rsid w:val="00675EAE"/>
    <w:rsid w:val="006A3200"/>
    <w:rsid w:val="00723D5F"/>
    <w:rsid w:val="00730DE2"/>
    <w:rsid w:val="00747CF9"/>
    <w:rsid w:val="00761A0A"/>
    <w:rsid w:val="00766D06"/>
    <w:rsid w:val="00776B11"/>
    <w:rsid w:val="00786170"/>
    <w:rsid w:val="007923F1"/>
    <w:rsid w:val="007B3D2B"/>
    <w:rsid w:val="007C0390"/>
    <w:rsid w:val="008060BB"/>
    <w:rsid w:val="00806CFC"/>
    <w:rsid w:val="008320C7"/>
    <w:rsid w:val="008675FC"/>
    <w:rsid w:val="0088628A"/>
    <w:rsid w:val="008864B5"/>
    <w:rsid w:val="00893208"/>
    <w:rsid w:val="008A1E0B"/>
    <w:rsid w:val="008C0300"/>
    <w:rsid w:val="008D5FF4"/>
    <w:rsid w:val="008F0A9A"/>
    <w:rsid w:val="008F6E95"/>
    <w:rsid w:val="009023E2"/>
    <w:rsid w:val="009236CA"/>
    <w:rsid w:val="00936097"/>
    <w:rsid w:val="00946A3E"/>
    <w:rsid w:val="00962DA2"/>
    <w:rsid w:val="00970546"/>
    <w:rsid w:val="00970D2B"/>
    <w:rsid w:val="00994803"/>
    <w:rsid w:val="00995AD6"/>
    <w:rsid w:val="009B5CB6"/>
    <w:rsid w:val="009D02E0"/>
    <w:rsid w:val="009D285D"/>
    <w:rsid w:val="00A01F0F"/>
    <w:rsid w:val="00A1791D"/>
    <w:rsid w:val="00A21F21"/>
    <w:rsid w:val="00A5700D"/>
    <w:rsid w:val="00AB4826"/>
    <w:rsid w:val="00AD1BE4"/>
    <w:rsid w:val="00AD7796"/>
    <w:rsid w:val="00B01897"/>
    <w:rsid w:val="00B05017"/>
    <w:rsid w:val="00B1083F"/>
    <w:rsid w:val="00B17610"/>
    <w:rsid w:val="00B21C95"/>
    <w:rsid w:val="00B22AF8"/>
    <w:rsid w:val="00B36723"/>
    <w:rsid w:val="00B54053"/>
    <w:rsid w:val="00B8178E"/>
    <w:rsid w:val="00B91C7D"/>
    <w:rsid w:val="00B91E3B"/>
    <w:rsid w:val="00BB323C"/>
    <w:rsid w:val="00C027B5"/>
    <w:rsid w:val="00C10811"/>
    <w:rsid w:val="00C17AA8"/>
    <w:rsid w:val="00C201A8"/>
    <w:rsid w:val="00C247B5"/>
    <w:rsid w:val="00C338B6"/>
    <w:rsid w:val="00C52211"/>
    <w:rsid w:val="00C536ED"/>
    <w:rsid w:val="00C55EC6"/>
    <w:rsid w:val="00C618EF"/>
    <w:rsid w:val="00C679CD"/>
    <w:rsid w:val="00C767AD"/>
    <w:rsid w:val="00C904AF"/>
    <w:rsid w:val="00CA7D58"/>
    <w:rsid w:val="00CB471B"/>
    <w:rsid w:val="00CB5738"/>
    <w:rsid w:val="00CC1BB8"/>
    <w:rsid w:val="00CE13A1"/>
    <w:rsid w:val="00CE51CD"/>
    <w:rsid w:val="00CF16E4"/>
    <w:rsid w:val="00CF265F"/>
    <w:rsid w:val="00CF73BA"/>
    <w:rsid w:val="00D06C34"/>
    <w:rsid w:val="00D25D27"/>
    <w:rsid w:val="00D26AB0"/>
    <w:rsid w:val="00D3506F"/>
    <w:rsid w:val="00D44715"/>
    <w:rsid w:val="00D50362"/>
    <w:rsid w:val="00D5330B"/>
    <w:rsid w:val="00D57DE7"/>
    <w:rsid w:val="00D60604"/>
    <w:rsid w:val="00D73B2B"/>
    <w:rsid w:val="00D95A27"/>
    <w:rsid w:val="00E104FD"/>
    <w:rsid w:val="00E20420"/>
    <w:rsid w:val="00E319B1"/>
    <w:rsid w:val="00E41E8E"/>
    <w:rsid w:val="00E43720"/>
    <w:rsid w:val="00E56048"/>
    <w:rsid w:val="00E714C8"/>
    <w:rsid w:val="00E75620"/>
    <w:rsid w:val="00E7733C"/>
    <w:rsid w:val="00E83248"/>
    <w:rsid w:val="00E861F1"/>
    <w:rsid w:val="00EA0F6B"/>
    <w:rsid w:val="00ED5176"/>
    <w:rsid w:val="00EF5E6E"/>
    <w:rsid w:val="00F159E7"/>
    <w:rsid w:val="00F538BD"/>
    <w:rsid w:val="00F75429"/>
    <w:rsid w:val="00F90627"/>
    <w:rsid w:val="00FA79B0"/>
    <w:rsid w:val="00FB14C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JESUS OCIEL BAENA SAUCEDO</cp:lastModifiedBy>
  <cp:revision>2</cp:revision>
  <cp:lastPrinted>2019-04-10T20:46:00Z</cp:lastPrinted>
  <dcterms:created xsi:type="dcterms:W3CDTF">2019-04-30T16:22:00Z</dcterms:created>
  <dcterms:modified xsi:type="dcterms:W3CDTF">2019-04-30T16:22:00Z</dcterms:modified>
</cp:coreProperties>
</file>