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4EE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</w:t>
      </w:r>
      <w:r w:rsidR="000A6B96">
        <w:rPr>
          <w:rFonts w:ascii="Arial" w:hAnsi="Arial" w:cs="Arial"/>
          <w:b/>
          <w:bCs/>
          <w:sz w:val="28"/>
          <w:szCs w:val="28"/>
        </w:rPr>
        <w:t>aron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0A6B96">
        <w:rPr>
          <w:rFonts w:ascii="Arial" w:hAnsi="Arial" w:cs="Arial"/>
          <w:b/>
          <w:bCs/>
          <w:sz w:val="28"/>
          <w:szCs w:val="28"/>
        </w:rPr>
        <w:t>los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proyecto</w:t>
      </w:r>
      <w:r w:rsidR="000A6B96">
        <w:rPr>
          <w:rFonts w:ascii="Arial" w:hAnsi="Arial" w:cs="Arial"/>
          <w:b/>
          <w:bCs/>
          <w:sz w:val="28"/>
          <w:szCs w:val="28"/>
        </w:rPr>
        <w:t>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 la</w:t>
      </w:r>
      <w:r w:rsidR="000A6B96">
        <w:rPr>
          <w:rFonts w:ascii="Arial" w:hAnsi="Arial" w:cs="Arial"/>
          <w:b/>
          <w:bCs/>
          <w:sz w:val="28"/>
          <w:szCs w:val="28"/>
        </w:rPr>
        <w:t>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resoluci</w:t>
      </w:r>
      <w:r w:rsidR="000A6B96">
        <w:rPr>
          <w:rFonts w:ascii="Arial" w:hAnsi="Arial" w:cs="Arial"/>
          <w:b/>
          <w:bCs/>
          <w:sz w:val="28"/>
          <w:szCs w:val="28"/>
        </w:rPr>
        <w:t>ones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que motivó la integración de</w:t>
      </w:r>
      <w:r w:rsidR="000A6B96">
        <w:rPr>
          <w:rFonts w:ascii="Arial" w:hAnsi="Arial" w:cs="Arial"/>
          <w:b/>
          <w:bCs/>
          <w:sz w:val="28"/>
          <w:szCs w:val="28"/>
        </w:rPr>
        <w:t xml:space="preserve"> </w:t>
      </w:r>
      <w:r w:rsidR="00BE5ED0">
        <w:rPr>
          <w:rFonts w:ascii="Arial" w:hAnsi="Arial" w:cs="Arial"/>
          <w:b/>
          <w:bCs/>
          <w:sz w:val="28"/>
          <w:szCs w:val="28"/>
        </w:rPr>
        <w:t>l</w:t>
      </w:r>
      <w:r w:rsidR="000A6B96">
        <w:rPr>
          <w:rFonts w:ascii="Arial" w:hAnsi="Arial" w:cs="Arial"/>
          <w:b/>
          <w:bCs/>
          <w:sz w:val="28"/>
          <w:szCs w:val="28"/>
        </w:rPr>
        <w:t>os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0A6B96">
        <w:rPr>
          <w:rFonts w:ascii="Arial" w:hAnsi="Arial" w:cs="Arial"/>
          <w:b/>
          <w:bCs/>
          <w:sz w:val="28"/>
          <w:szCs w:val="28"/>
        </w:rPr>
        <w:t>s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que a continuación se precisa</w:t>
      </w:r>
      <w:r w:rsidR="000A6B96">
        <w:rPr>
          <w:rFonts w:ascii="Arial" w:hAnsi="Arial" w:cs="Arial"/>
          <w:b/>
          <w:bCs/>
          <w:sz w:val="28"/>
          <w:szCs w:val="28"/>
        </w:rPr>
        <w:t>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DF6136">
        <w:rPr>
          <w:rFonts w:ascii="Arial" w:hAnsi="Arial" w:cs="Arial"/>
          <w:b/>
          <w:bCs/>
          <w:sz w:val="28"/>
          <w:szCs w:val="28"/>
        </w:rPr>
        <w:t>Vigésima</w:t>
      </w:r>
      <w:r w:rsidR="00646341">
        <w:rPr>
          <w:rFonts w:ascii="Arial" w:hAnsi="Arial" w:cs="Arial"/>
          <w:b/>
          <w:bCs/>
          <w:sz w:val="28"/>
          <w:szCs w:val="28"/>
        </w:rPr>
        <w:t xml:space="preserve"> primera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646341">
        <w:rPr>
          <w:rFonts w:ascii="Arial" w:hAnsi="Arial" w:cs="Arial"/>
          <w:b/>
          <w:bCs/>
          <w:sz w:val="28"/>
          <w:szCs w:val="28"/>
        </w:rPr>
        <w:t>ocho</w:t>
      </w:r>
      <w:r w:rsidR="00DF6136">
        <w:rPr>
          <w:rFonts w:ascii="Arial" w:hAnsi="Arial" w:cs="Arial"/>
          <w:b/>
          <w:bCs/>
          <w:sz w:val="28"/>
          <w:szCs w:val="28"/>
        </w:rPr>
        <w:t xml:space="preserve"> de mayo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646341">
        <w:rPr>
          <w:rFonts w:ascii="Arial" w:hAnsi="Arial" w:cs="Arial"/>
          <w:b/>
          <w:bCs/>
          <w:sz w:val="28"/>
          <w:szCs w:val="28"/>
        </w:rPr>
        <w:t>15</w:t>
      </w:r>
      <w:r w:rsidR="00E51C94">
        <w:rPr>
          <w:rFonts w:ascii="Arial" w:hAnsi="Arial" w:cs="Arial"/>
          <w:b/>
          <w:bCs/>
          <w:sz w:val="28"/>
          <w:szCs w:val="28"/>
        </w:rPr>
        <w:t>:</w:t>
      </w:r>
      <w:r w:rsidR="00646341">
        <w:rPr>
          <w:rFonts w:ascii="Arial" w:hAnsi="Arial" w:cs="Arial"/>
          <w:b/>
          <w:bCs/>
          <w:sz w:val="28"/>
          <w:szCs w:val="28"/>
        </w:rPr>
        <w:t>0</w:t>
      </w:r>
      <w:r w:rsidR="00DF6136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0"/>
    </w:p>
    <w:tbl>
      <w:tblPr>
        <w:tblStyle w:val="Tablaconcuadrcul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835"/>
        <w:gridCol w:w="2552"/>
        <w:gridCol w:w="1701"/>
      </w:tblGrid>
      <w:tr w:rsidR="000A6B96" w:rsidRPr="00DF6136" w:rsidTr="00DF6136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bookmarkStart w:id="2" w:name="_GoBack"/>
            <w:r w:rsidRPr="00DF613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>Promoventes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 xml:space="preserve">Autoridad Responsable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>Magistrada/o Ponente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RAP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009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>Lic. Norma Guadalupe Gutiérrez López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>Consejo Municipal Electoral de Tepezal</w:t>
            </w:r>
            <w:r>
              <w:t>á</w:t>
            </w:r>
            <w:r w:rsidRPr="00032A89">
              <w:t xml:space="preserve"> del IEE de Aguascalientes.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DB540F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Claudia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Eloia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Díaz de León González. 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RAP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 xml:space="preserve">Lic. Hilda Maricela Herrera López.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>Consejo Municipal Electoral de Pabellón de Arteaga del IEE de Aguascalientes.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DB540F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DF6136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Jorge Ramón Díaz de León Gutiérrez.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RAP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>Lic. Cynthia Maricela Hern</w:t>
            </w:r>
            <w:r>
              <w:t>á</w:t>
            </w:r>
            <w:r w:rsidRPr="00032A89">
              <w:t>ndez Tapia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>Consejo Municipal Electoral de San Fr</w:t>
            </w:r>
            <w:r>
              <w:t>a</w:t>
            </w:r>
            <w:r w:rsidRPr="00032A89">
              <w:t>ncisco de los Romo del IEE de Aguascalientes, CNE y CEN de MORENA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DB540F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Héctor Salvador Hernández Gallegos.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RAP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>Lic. Francisco Meza Valenciano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>Consejo Municipal Electoral de Jesús María del IEE de Aguascalientes, CNE y CEN de MORENA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DB540F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Claudia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Eloia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Díaz de León González.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RAP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 xml:space="preserve">Lic. </w:t>
            </w:r>
            <w:r w:rsidRPr="00032A89">
              <w:t>Cuauhtémoc</w:t>
            </w:r>
            <w:r w:rsidRPr="00032A89">
              <w:t xml:space="preserve"> Serna </w:t>
            </w:r>
            <w:r w:rsidRPr="00032A89">
              <w:t>Jiménez</w:t>
            </w:r>
            <w:r w:rsidRPr="00032A8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>Consejo Municipal Electoral de Calvillo del IEE de Aguascalientes, CNE y CEN de MORENA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DB540F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Claudia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Eloia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Díaz de León González.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RAP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 xml:space="preserve">Lic. Misael Hernández Rodríguez.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>Consejo Municipal Electoral de El Llano del IEE de Aguascalientes, CNE y CEN de MORENA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DB540F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DF6136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Jorge Ramón Díaz de León Gutiérrez.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RAP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 xml:space="preserve">Lic. Humberto Sánchez Alonso.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>Consejo Municipal Electoral de Rincón de Romos del IEE de Aguascalientes, CNE y CEN de MORENA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DB540F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Claudia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Eloia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Díaz de León González.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RAP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 xml:space="preserve">Lic. Alejandro Sánchez Laguna.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>Consejo Municipal Electoral de Aguascalientes del IEE de Aguascalientes, CNE y CEN de MORENA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DB540F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DF6136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Jorge Ramón Díaz de León Gutiérrez.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</w:t>
            </w:r>
            <w:r>
              <w:rPr>
                <w:rFonts w:ascii="Arial" w:hAnsi="Arial" w:cs="Arial"/>
                <w:sz w:val="20"/>
                <w:szCs w:val="20"/>
              </w:rPr>
              <w:t>RAP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DB540F">
            <w:r w:rsidRPr="00032A89">
              <w:t>Lic. Eloy Ruiz Carrillo.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Default="00DB540F" w:rsidP="00DB540F">
            <w:r w:rsidRPr="00032A89">
              <w:t>Consejo General del IEE en Aguascalientes.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DB540F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Claudia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Eloia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Díaz de León González.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</w:t>
            </w:r>
            <w:r>
              <w:rPr>
                <w:rFonts w:ascii="Arial" w:hAnsi="Arial" w:cs="Arial"/>
                <w:sz w:val="20"/>
                <w:szCs w:val="20"/>
              </w:rPr>
              <w:t>-JDC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FB5DDA" w:rsidRDefault="00DB540F" w:rsidP="00DB540F">
            <w:r w:rsidRPr="00FB5DDA">
              <w:t>C. Isabel Rojas Valle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FB5DDA" w:rsidRDefault="00DB540F" w:rsidP="00DB540F">
            <w:r w:rsidRPr="00FB5DDA">
              <w:t>Consejo Municipal Electoral de Calvillo del IEE de Aguascalientes, CNE y CEN de MORENA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DB540F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Claudia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Eloia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Díaz de León González.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</w:t>
            </w:r>
            <w:r>
              <w:rPr>
                <w:rFonts w:ascii="Arial" w:hAnsi="Arial" w:cs="Arial"/>
                <w:sz w:val="20"/>
                <w:szCs w:val="20"/>
              </w:rPr>
              <w:t>-JDC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FB5DDA" w:rsidRDefault="00DB540F" w:rsidP="00DB540F">
            <w:r w:rsidRPr="00FB5DDA">
              <w:t xml:space="preserve">C.C. Angelica Serna Vargas, Ma. de la Luz Loera </w:t>
            </w:r>
            <w:proofErr w:type="spellStart"/>
            <w:r w:rsidRPr="00FB5DDA">
              <w:t>Loera</w:t>
            </w:r>
            <w:proofErr w:type="spellEnd"/>
            <w:r w:rsidRPr="00FB5DDA">
              <w:t>, María de los Ángeles Vargas Lara, Reyes Ortiz Castillo, Juana María Morales Velasco, Miguel Martínez Rubio, María Guadalupe Ramírez Velasco, Gregorio López Durán y René Ruíz Luevano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FB5DDA" w:rsidRDefault="00DB540F" w:rsidP="00DB540F">
            <w:r w:rsidRPr="00FB5DDA">
              <w:t>Consejo Municipal Electoral de Calvillo del IEE de Aguascalientes, CNE y CEN de MORENA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DB540F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Claudia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Eloia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Díaz de León González.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</w:t>
            </w:r>
            <w:r>
              <w:rPr>
                <w:rFonts w:ascii="Arial" w:hAnsi="Arial" w:cs="Arial"/>
                <w:sz w:val="20"/>
                <w:szCs w:val="20"/>
              </w:rPr>
              <w:t>-JDC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101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FB5DDA" w:rsidRDefault="00DB540F" w:rsidP="00DB540F">
            <w:r w:rsidRPr="00FB5DDA">
              <w:t xml:space="preserve">C. Omar Alejandro Morales López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Default="00DB540F" w:rsidP="00DB540F">
            <w:r w:rsidRPr="00FB5DDA">
              <w:t>Consejo Municipal Electoral de Calvillo del IEE de Aguascalientes, CNE y CEN de MORENA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DB540F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Claudia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Eloia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Díaz de León González.</w:t>
            </w:r>
          </w:p>
        </w:tc>
      </w:tr>
      <w:bookmarkEnd w:id="1"/>
      <w:bookmarkEnd w:id="2"/>
    </w:tbl>
    <w:p w:rsidR="000A6B96" w:rsidRDefault="000A6B96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A6B96" w:rsidRDefault="000A6B96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Pr="00880AA0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712" w:rsidRDefault="00135712" w:rsidP="003028E7">
      <w:pPr>
        <w:spacing w:after="0" w:line="240" w:lineRule="auto"/>
      </w:pPr>
      <w:r>
        <w:separator/>
      </w:r>
    </w:p>
  </w:endnote>
  <w:endnote w:type="continuationSeparator" w:id="0">
    <w:p w:rsidR="00135712" w:rsidRDefault="0013571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175BE7">
    <w:pPr>
      <w:pStyle w:val="Piedepgina"/>
      <w:jc w:val="right"/>
    </w:pPr>
  </w:p>
  <w:p w:rsidR="005F3ABF" w:rsidRDefault="00175B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712" w:rsidRDefault="00135712" w:rsidP="003028E7">
      <w:pPr>
        <w:spacing w:after="0" w:line="240" w:lineRule="auto"/>
      </w:pPr>
      <w:r>
        <w:separator/>
      </w:r>
    </w:p>
  </w:footnote>
  <w:footnote w:type="continuationSeparator" w:id="0">
    <w:p w:rsidR="00135712" w:rsidRDefault="0013571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DF6136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</w:t>
          </w:r>
          <w:r w:rsidR="00DB540F">
            <w:rPr>
              <w:rFonts w:ascii="Arial" w:eastAsia="Times New Roman" w:hAnsi="Arial" w:cs="Arial"/>
              <w:b/>
              <w:bCs/>
              <w:lang w:eastAsia="es-MX"/>
            </w:rPr>
            <w:t>a primera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3" w:name="_Hlk6308296"/>
          <w:r w:rsidR="00DB540F">
            <w:rPr>
              <w:rFonts w:ascii="Arial" w:eastAsia="Times New Roman" w:hAnsi="Arial" w:cs="Arial"/>
              <w:b/>
              <w:bCs/>
              <w:lang w:eastAsia="es-MX"/>
            </w:rPr>
            <w:t>ocho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 mayo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 xml:space="preserve"> dos mil diecinueve.</w:t>
          </w:r>
          <w:bookmarkEnd w:id="3"/>
        </w:p>
      </w:tc>
    </w:tr>
  </w:tbl>
  <w:p w:rsidR="00AF502C" w:rsidRPr="00A46BD3" w:rsidRDefault="00175BE7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27DE"/>
    <w:rsid w:val="000A6B96"/>
    <w:rsid w:val="000A6C3D"/>
    <w:rsid w:val="000C7D66"/>
    <w:rsid w:val="000D3874"/>
    <w:rsid w:val="000E3D2C"/>
    <w:rsid w:val="00100C55"/>
    <w:rsid w:val="00120073"/>
    <w:rsid w:val="00120C8C"/>
    <w:rsid w:val="00135712"/>
    <w:rsid w:val="00144BEA"/>
    <w:rsid w:val="00174D17"/>
    <w:rsid w:val="00175BE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E51"/>
    <w:rsid w:val="0023491A"/>
    <w:rsid w:val="00244201"/>
    <w:rsid w:val="00250701"/>
    <w:rsid w:val="00252ECE"/>
    <w:rsid w:val="00264368"/>
    <w:rsid w:val="002B0D5A"/>
    <w:rsid w:val="002D7364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46FF"/>
    <w:rsid w:val="0044493E"/>
    <w:rsid w:val="00464950"/>
    <w:rsid w:val="0046593C"/>
    <w:rsid w:val="004734E7"/>
    <w:rsid w:val="004808BD"/>
    <w:rsid w:val="00483944"/>
    <w:rsid w:val="00496342"/>
    <w:rsid w:val="004A1479"/>
    <w:rsid w:val="004A3B0D"/>
    <w:rsid w:val="004C09F5"/>
    <w:rsid w:val="004F14EE"/>
    <w:rsid w:val="005007B4"/>
    <w:rsid w:val="00500E8A"/>
    <w:rsid w:val="005029BA"/>
    <w:rsid w:val="00506267"/>
    <w:rsid w:val="00506C9A"/>
    <w:rsid w:val="005458C2"/>
    <w:rsid w:val="00555D6B"/>
    <w:rsid w:val="00572104"/>
    <w:rsid w:val="00572F68"/>
    <w:rsid w:val="00574BCE"/>
    <w:rsid w:val="00576B38"/>
    <w:rsid w:val="005A03F7"/>
    <w:rsid w:val="005D179A"/>
    <w:rsid w:val="005D1D32"/>
    <w:rsid w:val="005D20E9"/>
    <w:rsid w:val="005E2455"/>
    <w:rsid w:val="005F3A62"/>
    <w:rsid w:val="00646341"/>
    <w:rsid w:val="00652A34"/>
    <w:rsid w:val="00673804"/>
    <w:rsid w:val="00692B1C"/>
    <w:rsid w:val="006A7A1F"/>
    <w:rsid w:val="006F1916"/>
    <w:rsid w:val="0070086A"/>
    <w:rsid w:val="00700C74"/>
    <w:rsid w:val="00706B17"/>
    <w:rsid w:val="00745416"/>
    <w:rsid w:val="0076545D"/>
    <w:rsid w:val="00776EF0"/>
    <w:rsid w:val="0078018A"/>
    <w:rsid w:val="007B272E"/>
    <w:rsid w:val="0080381D"/>
    <w:rsid w:val="008211C5"/>
    <w:rsid w:val="00827AD4"/>
    <w:rsid w:val="00872049"/>
    <w:rsid w:val="00880AA0"/>
    <w:rsid w:val="008A281A"/>
    <w:rsid w:val="008C756F"/>
    <w:rsid w:val="008D2CF0"/>
    <w:rsid w:val="008D30BB"/>
    <w:rsid w:val="00900E39"/>
    <w:rsid w:val="00927879"/>
    <w:rsid w:val="00932911"/>
    <w:rsid w:val="00942189"/>
    <w:rsid w:val="009665EF"/>
    <w:rsid w:val="0097767E"/>
    <w:rsid w:val="009A34F7"/>
    <w:rsid w:val="009A740E"/>
    <w:rsid w:val="009C026B"/>
    <w:rsid w:val="00A34CED"/>
    <w:rsid w:val="00A46A05"/>
    <w:rsid w:val="00A72713"/>
    <w:rsid w:val="00A72ABD"/>
    <w:rsid w:val="00A81AEC"/>
    <w:rsid w:val="00A9642E"/>
    <w:rsid w:val="00A97965"/>
    <w:rsid w:val="00AB0399"/>
    <w:rsid w:val="00AB7445"/>
    <w:rsid w:val="00AD08C9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84078"/>
    <w:rsid w:val="00C9380D"/>
    <w:rsid w:val="00CA3048"/>
    <w:rsid w:val="00CA48D1"/>
    <w:rsid w:val="00CB08CD"/>
    <w:rsid w:val="00CB3D04"/>
    <w:rsid w:val="00CD5AC6"/>
    <w:rsid w:val="00D04C55"/>
    <w:rsid w:val="00D149CE"/>
    <w:rsid w:val="00D30E8C"/>
    <w:rsid w:val="00D40581"/>
    <w:rsid w:val="00D65AA0"/>
    <w:rsid w:val="00D836F5"/>
    <w:rsid w:val="00DA3C5D"/>
    <w:rsid w:val="00DA6174"/>
    <w:rsid w:val="00DA6D0F"/>
    <w:rsid w:val="00DB540F"/>
    <w:rsid w:val="00DB55A1"/>
    <w:rsid w:val="00DD2211"/>
    <w:rsid w:val="00DD7FB7"/>
    <w:rsid w:val="00DE32FA"/>
    <w:rsid w:val="00DF6136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026A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884BB3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Notificador</cp:lastModifiedBy>
  <cp:revision>4</cp:revision>
  <cp:lastPrinted>2019-05-08T19:24:00Z</cp:lastPrinted>
  <dcterms:created xsi:type="dcterms:W3CDTF">2019-04-30T16:18:00Z</dcterms:created>
  <dcterms:modified xsi:type="dcterms:W3CDTF">2019-05-08T19:33:00Z</dcterms:modified>
</cp:coreProperties>
</file>