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A6FA000">
                <wp:simplePos x="0" y="0"/>
                <wp:positionH relativeFrom="margin">
                  <wp:posOffset>2998470</wp:posOffset>
                </wp:positionH>
                <wp:positionV relativeFrom="paragraph">
                  <wp:posOffset>0</wp:posOffset>
                </wp:positionV>
                <wp:extent cx="2613660" cy="231330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13305"/>
                        </a:xfrm>
                        <a:prstGeom prst="rect">
                          <a:avLst/>
                        </a:prstGeom>
                        <a:solidFill>
                          <a:srgbClr val="FFFFFF"/>
                        </a:solidFill>
                        <a:ln w="9525">
                          <a:noFill/>
                          <a:miter lim="800000"/>
                          <a:headEnd/>
                          <a:tailEnd/>
                        </a:ln>
                      </wps:spPr>
                      <wps:txbx>
                        <w:txbxContent>
                          <w:p w14:paraId="4695ACCC" w14:textId="12325941" w:rsidR="00145573" w:rsidRPr="00624507" w:rsidRDefault="00145573" w:rsidP="00145573">
                            <w:pPr>
                              <w:spacing w:after="0" w:line="360" w:lineRule="auto"/>
                              <w:jc w:val="both"/>
                              <w:rPr>
                                <w:rFonts w:ascii="Arial" w:hAnsi="Arial" w:cs="Arial"/>
                                <w:b/>
                                <w:sz w:val="20"/>
                                <w:szCs w:val="20"/>
                              </w:rPr>
                            </w:pPr>
                            <w:r w:rsidRPr="00624507">
                              <w:rPr>
                                <w:rFonts w:ascii="Arial" w:hAnsi="Arial" w:cs="Arial"/>
                                <w:b/>
                                <w:sz w:val="20"/>
                                <w:szCs w:val="20"/>
                              </w:rPr>
                              <w:t>Juicio para la protección de los derechos político-electorales de</w:t>
                            </w:r>
                            <w:r w:rsidR="009A1E43" w:rsidRPr="00624507">
                              <w:rPr>
                                <w:rFonts w:ascii="Arial" w:hAnsi="Arial" w:cs="Arial"/>
                                <w:b/>
                                <w:sz w:val="20"/>
                                <w:szCs w:val="20"/>
                              </w:rPr>
                              <w:t xml:space="preserve"> la</w:t>
                            </w:r>
                            <w:r w:rsidRPr="00624507">
                              <w:rPr>
                                <w:rFonts w:ascii="Arial" w:hAnsi="Arial" w:cs="Arial"/>
                                <w:b/>
                                <w:sz w:val="20"/>
                                <w:szCs w:val="20"/>
                              </w:rPr>
                              <w:t xml:space="preserve"> ciudadan</w:t>
                            </w:r>
                            <w:r w:rsidR="009A1E43" w:rsidRPr="00624507">
                              <w:rPr>
                                <w:rFonts w:ascii="Arial" w:hAnsi="Arial" w:cs="Arial"/>
                                <w:b/>
                                <w:sz w:val="20"/>
                                <w:szCs w:val="20"/>
                              </w:rPr>
                              <w:t>ía</w:t>
                            </w:r>
                            <w:r w:rsidRPr="00624507">
                              <w:rPr>
                                <w:rFonts w:ascii="Arial" w:hAnsi="Arial" w:cs="Arial"/>
                                <w:b/>
                                <w:sz w:val="20"/>
                                <w:szCs w:val="20"/>
                              </w:rPr>
                              <w:t>.</w:t>
                            </w:r>
                          </w:p>
                          <w:p w14:paraId="7712F9A1" w14:textId="684FB730"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EXPEDIENTE:</w:t>
                            </w:r>
                            <w:r w:rsidRPr="00624507">
                              <w:rPr>
                                <w:rFonts w:ascii="Arial" w:hAnsi="Arial" w:cs="Arial"/>
                                <w:bCs/>
                                <w:sz w:val="20"/>
                                <w:szCs w:val="20"/>
                              </w:rPr>
                              <w:t xml:space="preserve"> TEEA-JDC-0</w:t>
                            </w:r>
                            <w:r w:rsidR="00A61D80" w:rsidRPr="00624507">
                              <w:rPr>
                                <w:rFonts w:ascii="Arial" w:hAnsi="Arial" w:cs="Arial"/>
                                <w:bCs/>
                                <w:sz w:val="20"/>
                                <w:szCs w:val="20"/>
                              </w:rPr>
                              <w:t>2</w:t>
                            </w:r>
                            <w:r w:rsidR="003E7574">
                              <w:rPr>
                                <w:rFonts w:ascii="Arial" w:hAnsi="Arial" w:cs="Arial"/>
                                <w:bCs/>
                                <w:sz w:val="20"/>
                                <w:szCs w:val="20"/>
                              </w:rPr>
                              <w:t>8</w:t>
                            </w:r>
                            <w:r w:rsidRPr="00624507">
                              <w:rPr>
                                <w:rFonts w:ascii="Arial" w:hAnsi="Arial" w:cs="Arial"/>
                                <w:bCs/>
                                <w:sz w:val="20"/>
                                <w:szCs w:val="20"/>
                              </w:rPr>
                              <w:t>/202</w:t>
                            </w:r>
                            <w:r w:rsidR="00A61D80" w:rsidRPr="00624507">
                              <w:rPr>
                                <w:rFonts w:ascii="Arial" w:hAnsi="Arial" w:cs="Arial"/>
                                <w:bCs/>
                                <w:sz w:val="20"/>
                                <w:szCs w:val="20"/>
                              </w:rPr>
                              <w:t>1</w:t>
                            </w:r>
                          </w:p>
                          <w:p w14:paraId="2DFF886E" w14:textId="231CF825" w:rsidR="00145573" w:rsidRPr="00624507" w:rsidRDefault="003E7574"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624507">
                              <w:rPr>
                                <w:rFonts w:ascii="Arial" w:hAnsi="Arial" w:cs="Arial"/>
                                <w:b/>
                                <w:sz w:val="20"/>
                                <w:szCs w:val="20"/>
                              </w:rPr>
                              <w:t>:</w:t>
                            </w:r>
                            <w:r w:rsidR="00145573" w:rsidRPr="00624507">
                              <w:rPr>
                                <w:rFonts w:ascii="Arial" w:hAnsi="Arial" w:cs="Arial"/>
                                <w:bCs/>
                                <w:sz w:val="20"/>
                                <w:szCs w:val="20"/>
                              </w:rPr>
                              <w:t xml:space="preserve"> </w:t>
                            </w:r>
                            <w:r>
                              <w:rPr>
                                <w:rFonts w:ascii="Arial" w:hAnsi="Arial" w:cs="Arial"/>
                                <w:bCs/>
                                <w:sz w:val="20"/>
                                <w:szCs w:val="20"/>
                              </w:rPr>
                              <w:t>Dato protegido.</w:t>
                            </w:r>
                          </w:p>
                          <w:p w14:paraId="3F21B003" w14:textId="2B68354E" w:rsidR="00145573" w:rsidRPr="00624507" w:rsidRDefault="003E7574"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624507">
                              <w:rPr>
                                <w:rFonts w:ascii="Arial" w:hAnsi="Arial" w:cs="Arial"/>
                                <w:b/>
                                <w:sz w:val="20"/>
                                <w:szCs w:val="20"/>
                              </w:rPr>
                              <w:t>:</w:t>
                            </w:r>
                            <w:r w:rsidR="00145573" w:rsidRPr="00624507">
                              <w:rPr>
                                <w:rFonts w:ascii="Arial" w:hAnsi="Arial" w:cs="Arial"/>
                                <w:bCs/>
                                <w:sz w:val="20"/>
                                <w:szCs w:val="20"/>
                              </w:rPr>
                              <w:t xml:space="preserve"> </w:t>
                            </w:r>
                            <w:r w:rsidRPr="003E7574">
                              <w:rPr>
                                <w:rFonts w:ascii="Arial" w:hAnsi="Arial" w:cs="Arial"/>
                                <w:bCs/>
                                <w:sz w:val="20"/>
                                <w:szCs w:val="20"/>
                              </w:rPr>
                              <w:t>CC. Víctor Díaz de León, Luis Fernando Landeros Ortiz y/o quien resulte responsable.</w:t>
                            </w:r>
                            <w:r>
                              <w:rPr>
                                <w:rFonts w:ascii="Arial" w:hAnsi="Arial" w:cs="Arial"/>
                                <w:bCs/>
                                <w:sz w:val="20"/>
                                <w:szCs w:val="20"/>
                              </w:rPr>
                              <w:t xml:space="preserve"> </w:t>
                            </w:r>
                          </w:p>
                          <w:p w14:paraId="6C966CDF" w14:textId="6EE73FAF" w:rsidR="00757D9D"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MAGISTRADA PONENTE:</w:t>
                            </w:r>
                            <w:r w:rsidR="00E127D5" w:rsidRPr="00624507">
                              <w:rPr>
                                <w:rFonts w:ascii="Arial" w:hAnsi="Arial" w:cs="Arial"/>
                                <w:bCs/>
                                <w:sz w:val="20"/>
                                <w:szCs w:val="20"/>
                              </w:rPr>
                              <w:t xml:space="preserve"> </w:t>
                            </w:r>
                            <w:r w:rsidR="003E7574" w:rsidRPr="003E7574">
                              <w:rPr>
                                <w:rFonts w:ascii="Arial" w:hAnsi="Arial" w:cs="Arial"/>
                                <w:bCs/>
                                <w:sz w:val="20"/>
                                <w:szCs w:val="20"/>
                              </w:rPr>
                              <w:t>Héctor Salvador Hernández Gallegos.</w:t>
                            </w:r>
                            <w:r w:rsidR="003E7574">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8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" stroked="f">
                <v:textbox>
                  <w:txbxContent>
                    <w:p w14:paraId="4695ACCC" w14:textId="12325941" w:rsidR="00145573" w:rsidRPr="00624507" w:rsidRDefault="00145573" w:rsidP="00145573">
                      <w:pPr>
                        <w:spacing w:after="0" w:line="360" w:lineRule="auto"/>
                        <w:jc w:val="both"/>
                        <w:rPr>
                          <w:rFonts w:ascii="Arial" w:hAnsi="Arial" w:cs="Arial"/>
                          <w:b/>
                          <w:sz w:val="20"/>
                          <w:szCs w:val="20"/>
                        </w:rPr>
                      </w:pPr>
                      <w:r w:rsidRPr="00624507">
                        <w:rPr>
                          <w:rFonts w:ascii="Arial" w:hAnsi="Arial" w:cs="Arial"/>
                          <w:b/>
                          <w:sz w:val="20"/>
                          <w:szCs w:val="20"/>
                        </w:rPr>
                        <w:t>Juicio para la protección de los derechos político-electorales de</w:t>
                      </w:r>
                      <w:r w:rsidR="009A1E43" w:rsidRPr="00624507">
                        <w:rPr>
                          <w:rFonts w:ascii="Arial" w:hAnsi="Arial" w:cs="Arial"/>
                          <w:b/>
                          <w:sz w:val="20"/>
                          <w:szCs w:val="20"/>
                        </w:rPr>
                        <w:t xml:space="preserve"> la</w:t>
                      </w:r>
                      <w:r w:rsidRPr="00624507">
                        <w:rPr>
                          <w:rFonts w:ascii="Arial" w:hAnsi="Arial" w:cs="Arial"/>
                          <w:b/>
                          <w:sz w:val="20"/>
                          <w:szCs w:val="20"/>
                        </w:rPr>
                        <w:t xml:space="preserve"> ciudadan</w:t>
                      </w:r>
                      <w:r w:rsidR="009A1E43" w:rsidRPr="00624507">
                        <w:rPr>
                          <w:rFonts w:ascii="Arial" w:hAnsi="Arial" w:cs="Arial"/>
                          <w:b/>
                          <w:sz w:val="20"/>
                          <w:szCs w:val="20"/>
                        </w:rPr>
                        <w:t>ía</w:t>
                      </w:r>
                      <w:r w:rsidRPr="00624507">
                        <w:rPr>
                          <w:rFonts w:ascii="Arial" w:hAnsi="Arial" w:cs="Arial"/>
                          <w:b/>
                          <w:sz w:val="20"/>
                          <w:szCs w:val="20"/>
                        </w:rPr>
                        <w:t>.</w:t>
                      </w:r>
                    </w:p>
                    <w:p w14:paraId="7712F9A1" w14:textId="684FB730"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EXPEDIENTE:</w:t>
                      </w:r>
                      <w:r w:rsidRPr="00624507">
                        <w:rPr>
                          <w:rFonts w:ascii="Arial" w:hAnsi="Arial" w:cs="Arial"/>
                          <w:bCs/>
                          <w:sz w:val="20"/>
                          <w:szCs w:val="20"/>
                        </w:rPr>
                        <w:t xml:space="preserve"> TEEA-JDC-0</w:t>
                      </w:r>
                      <w:r w:rsidR="00A61D80" w:rsidRPr="00624507">
                        <w:rPr>
                          <w:rFonts w:ascii="Arial" w:hAnsi="Arial" w:cs="Arial"/>
                          <w:bCs/>
                          <w:sz w:val="20"/>
                          <w:szCs w:val="20"/>
                        </w:rPr>
                        <w:t>2</w:t>
                      </w:r>
                      <w:r w:rsidR="003E7574">
                        <w:rPr>
                          <w:rFonts w:ascii="Arial" w:hAnsi="Arial" w:cs="Arial"/>
                          <w:bCs/>
                          <w:sz w:val="20"/>
                          <w:szCs w:val="20"/>
                        </w:rPr>
                        <w:t>8</w:t>
                      </w:r>
                      <w:r w:rsidRPr="00624507">
                        <w:rPr>
                          <w:rFonts w:ascii="Arial" w:hAnsi="Arial" w:cs="Arial"/>
                          <w:bCs/>
                          <w:sz w:val="20"/>
                          <w:szCs w:val="20"/>
                        </w:rPr>
                        <w:t>/202</w:t>
                      </w:r>
                      <w:r w:rsidR="00A61D80" w:rsidRPr="00624507">
                        <w:rPr>
                          <w:rFonts w:ascii="Arial" w:hAnsi="Arial" w:cs="Arial"/>
                          <w:bCs/>
                          <w:sz w:val="20"/>
                          <w:szCs w:val="20"/>
                        </w:rPr>
                        <w:t>1</w:t>
                      </w:r>
                    </w:p>
                    <w:p w14:paraId="2DFF886E" w14:textId="231CF825" w:rsidR="00145573" w:rsidRPr="00624507" w:rsidRDefault="003E7574"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624507">
                        <w:rPr>
                          <w:rFonts w:ascii="Arial" w:hAnsi="Arial" w:cs="Arial"/>
                          <w:b/>
                          <w:sz w:val="20"/>
                          <w:szCs w:val="20"/>
                        </w:rPr>
                        <w:t>:</w:t>
                      </w:r>
                      <w:r w:rsidR="00145573" w:rsidRPr="00624507">
                        <w:rPr>
                          <w:rFonts w:ascii="Arial" w:hAnsi="Arial" w:cs="Arial"/>
                          <w:bCs/>
                          <w:sz w:val="20"/>
                          <w:szCs w:val="20"/>
                        </w:rPr>
                        <w:t xml:space="preserve"> </w:t>
                      </w:r>
                      <w:r>
                        <w:rPr>
                          <w:rFonts w:ascii="Arial" w:hAnsi="Arial" w:cs="Arial"/>
                          <w:bCs/>
                          <w:sz w:val="20"/>
                          <w:szCs w:val="20"/>
                        </w:rPr>
                        <w:t>Dato protegido.</w:t>
                      </w:r>
                    </w:p>
                    <w:p w14:paraId="3F21B003" w14:textId="2B68354E" w:rsidR="00145573" w:rsidRPr="00624507" w:rsidRDefault="003E7574"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624507">
                        <w:rPr>
                          <w:rFonts w:ascii="Arial" w:hAnsi="Arial" w:cs="Arial"/>
                          <w:b/>
                          <w:sz w:val="20"/>
                          <w:szCs w:val="20"/>
                        </w:rPr>
                        <w:t>:</w:t>
                      </w:r>
                      <w:r w:rsidR="00145573" w:rsidRPr="00624507">
                        <w:rPr>
                          <w:rFonts w:ascii="Arial" w:hAnsi="Arial" w:cs="Arial"/>
                          <w:bCs/>
                          <w:sz w:val="20"/>
                          <w:szCs w:val="20"/>
                        </w:rPr>
                        <w:t xml:space="preserve"> </w:t>
                      </w:r>
                      <w:r w:rsidRPr="003E7574">
                        <w:rPr>
                          <w:rFonts w:ascii="Arial" w:hAnsi="Arial" w:cs="Arial"/>
                          <w:bCs/>
                          <w:sz w:val="20"/>
                          <w:szCs w:val="20"/>
                        </w:rPr>
                        <w:t>CC. Víctor Díaz de León, Luis Fernando Landeros Ortiz y/o quien resulte responsable.</w:t>
                      </w:r>
                      <w:r>
                        <w:rPr>
                          <w:rFonts w:ascii="Arial" w:hAnsi="Arial" w:cs="Arial"/>
                          <w:bCs/>
                          <w:sz w:val="20"/>
                          <w:szCs w:val="20"/>
                        </w:rPr>
                        <w:t xml:space="preserve"> </w:t>
                      </w:r>
                    </w:p>
                    <w:p w14:paraId="6C966CDF" w14:textId="6EE73FAF" w:rsidR="00757D9D"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MAGISTRADA PONENTE:</w:t>
                      </w:r>
                      <w:r w:rsidR="00E127D5" w:rsidRPr="00624507">
                        <w:rPr>
                          <w:rFonts w:ascii="Arial" w:hAnsi="Arial" w:cs="Arial"/>
                          <w:bCs/>
                          <w:sz w:val="20"/>
                          <w:szCs w:val="20"/>
                        </w:rPr>
                        <w:t xml:space="preserve"> </w:t>
                      </w:r>
                      <w:r w:rsidR="003E7574" w:rsidRPr="003E7574">
                        <w:rPr>
                          <w:rFonts w:ascii="Arial" w:hAnsi="Arial" w:cs="Arial"/>
                          <w:bCs/>
                          <w:sz w:val="20"/>
                          <w:szCs w:val="20"/>
                        </w:rPr>
                        <w:t>Héctor Salvador Hernández Gallegos.</w:t>
                      </w:r>
                      <w:r w:rsidR="003E7574">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EBBBED5" w14:textId="77777777" w:rsidR="003D4A3B" w:rsidRDefault="003D4A3B" w:rsidP="00892F6F">
      <w:pPr>
        <w:jc w:val="both"/>
        <w:rPr>
          <w:rFonts w:ascii="Arial" w:eastAsia="Times New Roman" w:hAnsi="Arial" w:cs="Arial"/>
          <w:b/>
          <w:sz w:val="20"/>
          <w:szCs w:val="20"/>
          <w:lang w:eastAsia="es-ES"/>
        </w:rPr>
      </w:pPr>
    </w:p>
    <w:p w14:paraId="24BA5031" w14:textId="1503CFC6"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w:t>
      </w:r>
      <w:r w:rsidR="004B6243">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l</w:t>
      </w:r>
      <w:r w:rsidR="004B6243">
        <w:rPr>
          <w:rFonts w:ascii="Arial" w:eastAsia="Times New Roman" w:hAnsi="Arial" w:cs="Arial"/>
          <w:sz w:val="20"/>
          <w:szCs w:val="20"/>
          <w:lang w:eastAsia="es-ES"/>
        </w:rPr>
        <w:t>a</w:t>
      </w:r>
      <w:r w:rsidR="00145573" w:rsidRPr="00145573">
        <w:rPr>
          <w:rFonts w:ascii="Arial" w:eastAsia="Times New Roman" w:hAnsi="Arial" w:cs="Arial"/>
          <w:sz w:val="20"/>
          <w:szCs w:val="20"/>
          <w:lang w:eastAsia="es-ES"/>
        </w:rPr>
        <w:t xml:space="preserve"> ciudadan</w:t>
      </w:r>
      <w:r w:rsidR="004B6243">
        <w:rPr>
          <w:rFonts w:ascii="Arial" w:eastAsia="Times New Roman" w:hAnsi="Arial" w:cs="Arial"/>
          <w:sz w:val="20"/>
          <w:szCs w:val="20"/>
          <w:lang w:eastAsia="es-ES"/>
        </w:rPr>
        <w:t>ía</w:t>
      </w:r>
      <w:r w:rsidR="00DB2702" w:rsidRPr="004069F0">
        <w:rPr>
          <w:rFonts w:ascii="Arial" w:eastAsia="Times New Roman" w:hAnsi="Arial" w:cs="Arial"/>
          <w:sz w:val="20"/>
          <w:szCs w:val="20"/>
          <w:lang w:eastAsia="es-ES"/>
        </w:rPr>
        <w:t>, promovido por</w:t>
      </w:r>
      <w:r w:rsidR="003E7574">
        <w:rPr>
          <w:rFonts w:ascii="Arial" w:eastAsia="Times New Roman" w:hAnsi="Arial" w:cs="Arial"/>
          <w:sz w:val="20"/>
          <w:szCs w:val="20"/>
          <w:lang w:eastAsia="es-ES"/>
        </w:rPr>
        <w:t xml:space="preserve"> una ciudadana</w:t>
      </w:r>
      <w:r w:rsidR="00A61D80">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w:t>
      </w:r>
      <w:r w:rsidR="003E7574">
        <w:rPr>
          <w:rFonts w:ascii="Arial" w:eastAsia="Times New Roman" w:hAnsi="Arial" w:cs="Arial"/>
          <w:sz w:val="20"/>
          <w:szCs w:val="20"/>
          <w:lang w:eastAsia="es-ES"/>
        </w:rPr>
        <w:t xml:space="preserve"> de los </w:t>
      </w:r>
      <w:r w:rsidR="003E7574" w:rsidRPr="003E7574">
        <w:rPr>
          <w:rFonts w:ascii="Arial" w:eastAsia="Times New Roman" w:hAnsi="Arial" w:cs="Arial"/>
          <w:sz w:val="20"/>
          <w:szCs w:val="20"/>
          <w:lang w:eastAsia="es-ES"/>
        </w:rPr>
        <w:t>CC. Víctor Díaz de León, Luis Fernando Landeros Ortiz y/o quien resulte responsable</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e</w:t>
      </w:r>
      <w:r w:rsidR="003E7574">
        <w:rPr>
          <w:rFonts w:ascii="Arial" w:eastAsia="Times New Roman" w:hAnsi="Arial" w:cs="Arial"/>
          <w:sz w:val="20"/>
          <w:szCs w:val="20"/>
          <w:lang w:eastAsia="es-ES"/>
        </w:rPr>
        <w:t xml:space="preserve"> 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3E7574">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244C7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3E7574">
        <w:rPr>
          <w:rFonts w:ascii="Arial" w:eastAsia="Times New Roman" w:hAnsi="Arial" w:cs="Arial"/>
          <w:b/>
          <w:color w:val="000000"/>
          <w:sz w:val="20"/>
          <w:szCs w:val="20"/>
          <w:lang w:eastAsia="es-ES"/>
        </w:rPr>
        <w:t>5</w:t>
      </w:r>
      <w:r w:rsidR="00260787" w:rsidRPr="00AA0979">
        <w:rPr>
          <w:rFonts w:ascii="Arial" w:eastAsia="Times New Roman" w:hAnsi="Arial" w:cs="Arial"/>
          <w:b/>
          <w:color w:val="000000"/>
          <w:sz w:val="20"/>
          <w:szCs w:val="20"/>
          <w:lang w:eastAsia="es-ES"/>
        </w:rPr>
        <w:t>:</w:t>
      </w:r>
      <w:r w:rsidR="003E7574">
        <w:rPr>
          <w:rFonts w:ascii="Arial" w:eastAsia="Times New Roman" w:hAnsi="Arial" w:cs="Arial"/>
          <w:b/>
          <w:color w:val="000000"/>
          <w:sz w:val="20"/>
          <w:szCs w:val="20"/>
          <w:lang w:eastAsia="es-ES"/>
        </w:rPr>
        <w:t>25</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D4A3B">
        <w:rPr>
          <w:rFonts w:ascii="Arial" w:eastAsia="Times New Roman" w:hAnsi="Arial" w:cs="Arial"/>
          <w:b/>
          <w:sz w:val="20"/>
          <w:szCs w:val="20"/>
          <w:lang w:eastAsia="es-ES"/>
        </w:rPr>
        <w:t>treinta y uno</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3E7574">
        <w:rPr>
          <w:rFonts w:ascii="Arial" w:eastAsia="Times New Roman" w:hAnsi="Arial" w:cs="Arial"/>
          <w:b/>
          <w:sz w:val="20"/>
          <w:szCs w:val="20"/>
          <w:lang w:eastAsia="es-ES"/>
        </w:rPr>
        <w:t>segunda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3E7574">
    <w:pPr>
      <w:pStyle w:val="Piedepgina"/>
      <w:jc w:val="right"/>
    </w:pPr>
  </w:p>
  <w:p w14:paraId="299EE23D" w14:textId="77777777" w:rsidR="005F3ABF" w:rsidRDefault="003E75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E7574" w:rsidP="0083232F">
    <w:pPr>
      <w:pStyle w:val="Encabezado"/>
      <w:jc w:val="right"/>
      <w:rPr>
        <w:rFonts w:ascii="Century Gothic" w:hAnsi="Century Gothic"/>
        <w:b/>
        <w:sz w:val="18"/>
        <w:szCs w:val="18"/>
      </w:rPr>
    </w:pPr>
  </w:p>
  <w:p w14:paraId="0C9D10D5" w14:textId="786432A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624507">
      <w:rPr>
        <w:rFonts w:ascii="Century Gothic" w:hAnsi="Century Gothic"/>
        <w:b/>
        <w:sz w:val="20"/>
        <w:szCs w:val="18"/>
      </w:rPr>
      <w:t>treinta</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E757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E7574" w:rsidP="0083232F">
    <w:pPr>
      <w:pStyle w:val="Encabezado"/>
      <w:jc w:val="right"/>
      <w:rPr>
        <w:rFonts w:ascii="Century Gothic" w:hAnsi="Century Gothic"/>
      </w:rPr>
    </w:pPr>
  </w:p>
  <w:p w14:paraId="54369A33" w14:textId="77777777" w:rsidR="0083232F" w:rsidRPr="00A46BD3" w:rsidRDefault="003E757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E7574"/>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18</cp:revision>
  <cp:lastPrinted>2021-03-23T18:32:00Z</cp:lastPrinted>
  <dcterms:created xsi:type="dcterms:W3CDTF">2021-02-03T20:40:00Z</dcterms:created>
  <dcterms:modified xsi:type="dcterms:W3CDTF">2021-04-01T16:44:00Z</dcterms:modified>
</cp:coreProperties>
</file>