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667E2787"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 xml:space="preserve">vigésima </w:t>
      </w:r>
      <w:r w:rsidR="00A001A8">
        <w:rPr>
          <w:rFonts w:ascii="Arial" w:hAnsi="Arial" w:cs="Arial"/>
          <w:b/>
          <w:sz w:val="24"/>
          <w:szCs w:val="24"/>
        </w:rPr>
        <w:t>sexta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A001A8">
        <w:rPr>
          <w:rFonts w:ascii="Arial" w:hAnsi="Arial" w:cs="Arial"/>
          <w:b/>
          <w:sz w:val="24"/>
          <w:szCs w:val="24"/>
        </w:rPr>
        <w:t>trece</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F23361">
        <w:rPr>
          <w:rFonts w:ascii="Arial" w:hAnsi="Arial" w:cs="Arial"/>
          <w:b/>
          <w:sz w:val="24"/>
          <w:szCs w:val="24"/>
        </w:rPr>
        <w:t>d</w:t>
      </w:r>
      <w:r w:rsidR="00A001A8">
        <w:rPr>
          <w:rFonts w:ascii="Arial" w:hAnsi="Arial" w:cs="Arial"/>
          <w:b/>
          <w:sz w:val="24"/>
          <w:szCs w:val="24"/>
        </w:rPr>
        <w:t>oce</w:t>
      </w:r>
      <w:r w:rsidR="00E82D41" w:rsidRPr="00F3623F">
        <w:rPr>
          <w:rFonts w:ascii="Arial" w:hAnsi="Arial" w:cs="Arial"/>
          <w:b/>
          <w:sz w:val="24"/>
          <w:szCs w:val="24"/>
        </w:rPr>
        <w:t xml:space="preserve"> horas</w:t>
      </w:r>
      <w:r w:rsidR="00A001A8">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77CA77E" w14:textId="77777777" w:rsidR="00514E67" w:rsidRPr="00514E67" w:rsidRDefault="00514E67" w:rsidP="00514E67">
      <w:pPr>
        <w:jc w:val="both"/>
        <w:rPr>
          <w:rFonts w:ascii="Arial" w:hAnsi="Arial" w:cs="Arial"/>
          <w:sz w:val="24"/>
          <w:szCs w:val="24"/>
        </w:rPr>
      </w:pPr>
      <w:r w:rsidRPr="00514E67">
        <w:rPr>
          <w:rFonts w:ascii="Arial" w:hAnsi="Arial" w:cs="Arial"/>
          <w:sz w:val="24"/>
          <w:szCs w:val="24"/>
        </w:rPr>
        <w:t xml:space="preserve">Aprobación del orden del día; </w:t>
      </w:r>
    </w:p>
    <w:p w14:paraId="24325262" w14:textId="0B7219D0" w:rsidR="00514E67" w:rsidRPr="00514E67" w:rsidRDefault="00514E67" w:rsidP="00514E67">
      <w:pPr>
        <w:jc w:val="both"/>
        <w:rPr>
          <w:rFonts w:ascii="Arial" w:hAnsi="Arial" w:cs="Arial"/>
          <w:sz w:val="24"/>
          <w:szCs w:val="24"/>
        </w:rPr>
      </w:pPr>
      <w:r w:rsidRPr="00514E67">
        <w:rPr>
          <w:rFonts w:ascii="Arial" w:hAnsi="Arial" w:cs="Arial"/>
          <w:sz w:val="24"/>
          <w:szCs w:val="24"/>
        </w:rPr>
        <w:t xml:space="preserve">Proyecto de resolución del </w:t>
      </w:r>
      <w:r w:rsidR="00A001A8">
        <w:rPr>
          <w:rFonts w:ascii="Arial" w:hAnsi="Arial" w:cs="Arial"/>
          <w:sz w:val="24"/>
          <w:szCs w:val="24"/>
        </w:rPr>
        <w:t>J</w:t>
      </w:r>
      <w:r w:rsidRPr="00514E67">
        <w:rPr>
          <w:rFonts w:ascii="Arial" w:hAnsi="Arial" w:cs="Arial"/>
          <w:sz w:val="24"/>
          <w:szCs w:val="24"/>
        </w:rPr>
        <w:t>uicio para la protección de los derechos político- electorales de la ciudadanía, identificado con el número de expediente TEEA-JDC-070, y sus acumulados 71, 72, 73, 74 y 75, todos de este año, propuestos por la ponencia de la Magistrada Laura Hortensia Llamas Hernández; y</w:t>
      </w:r>
    </w:p>
    <w:p w14:paraId="398F49A0" w14:textId="23627D14" w:rsidR="00514E67" w:rsidRPr="00514E67" w:rsidRDefault="00514E67" w:rsidP="00514E67">
      <w:pPr>
        <w:jc w:val="both"/>
        <w:rPr>
          <w:rFonts w:ascii="Arial" w:hAnsi="Arial" w:cs="Arial"/>
          <w:sz w:val="24"/>
          <w:szCs w:val="24"/>
        </w:rPr>
      </w:pPr>
      <w:r w:rsidRPr="00514E67">
        <w:rPr>
          <w:rFonts w:ascii="Arial" w:hAnsi="Arial" w:cs="Arial"/>
          <w:sz w:val="24"/>
          <w:szCs w:val="24"/>
        </w:rPr>
        <w:t xml:space="preserve">Proyecto de resolución del </w:t>
      </w:r>
      <w:r w:rsidR="00A001A8">
        <w:rPr>
          <w:rFonts w:ascii="Arial" w:hAnsi="Arial" w:cs="Arial"/>
          <w:sz w:val="24"/>
          <w:szCs w:val="24"/>
        </w:rPr>
        <w:t>J</w:t>
      </w:r>
      <w:r w:rsidRPr="00514E67">
        <w:rPr>
          <w:rFonts w:ascii="Arial" w:hAnsi="Arial" w:cs="Arial"/>
          <w:sz w:val="24"/>
          <w:szCs w:val="24"/>
        </w:rPr>
        <w:t>uicio para la protección de los derechos político- electorales de la ciudadanía, identificado con el número de expediente TEEA-JDC-076, y sus acumulados 77, al 87, Recurso de Apelación 11 y 12, todos de este año, propuestos por la ponencia del Magistrado Héctor Salvador Hernández Gallegos;</w:t>
      </w:r>
    </w:p>
    <w:p w14:paraId="79C9596C" w14:textId="47E8EFA4" w:rsidR="0025773B" w:rsidRDefault="0025773B" w:rsidP="00396ECF">
      <w:pPr>
        <w:jc w:val="both"/>
        <w:rPr>
          <w:rFonts w:ascii="Arial" w:hAnsi="Arial" w:cs="Arial"/>
          <w:sz w:val="24"/>
          <w:szCs w:val="24"/>
        </w:rPr>
      </w:pP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A001A8" w:rsidP="009023E2">
    <w:pPr>
      <w:pStyle w:val="Piedepgina"/>
      <w:jc w:val="center"/>
    </w:pPr>
  </w:p>
  <w:p w14:paraId="4F6CF03E" w14:textId="77777777" w:rsidR="006C0934" w:rsidRDefault="00A001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19560E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A001A8">
      <w:rPr>
        <w:rFonts w:cstheme="minorHAnsi"/>
        <w:b/>
        <w:sz w:val="24"/>
        <w:szCs w:val="20"/>
      </w:rPr>
      <w:t>doce</w:t>
    </w:r>
    <w:r w:rsidR="00F23361">
      <w:rPr>
        <w:rFonts w:cstheme="minorHAnsi"/>
        <w:b/>
        <w:sz w:val="24"/>
        <w:szCs w:val="20"/>
      </w:rPr>
      <w:t xml:space="preserv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3"/>
  </w:num>
  <w:num w:numId="3">
    <w:abstractNumId w:val="0"/>
  </w:num>
  <w:num w:numId="4">
    <w:abstractNumId w:val="6"/>
  </w:num>
  <w:num w:numId="5">
    <w:abstractNumId w:val="24"/>
  </w:num>
  <w:num w:numId="6">
    <w:abstractNumId w:val="25"/>
  </w:num>
  <w:num w:numId="7">
    <w:abstractNumId w:val="9"/>
  </w:num>
  <w:num w:numId="8">
    <w:abstractNumId w:val="18"/>
  </w:num>
  <w:num w:numId="9">
    <w:abstractNumId w:val="20"/>
  </w:num>
  <w:num w:numId="10">
    <w:abstractNumId w:val="19"/>
  </w:num>
  <w:num w:numId="11">
    <w:abstractNumId w:val="13"/>
  </w:num>
  <w:num w:numId="12">
    <w:abstractNumId w:val="21"/>
  </w:num>
  <w:num w:numId="13">
    <w:abstractNumId w:val="17"/>
  </w:num>
  <w:num w:numId="14">
    <w:abstractNumId w:val="12"/>
  </w:num>
  <w:num w:numId="15">
    <w:abstractNumId w:val="16"/>
  </w:num>
  <w:num w:numId="16">
    <w:abstractNumId w:val="10"/>
  </w:num>
  <w:num w:numId="17">
    <w:abstractNumId w:val="4"/>
  </w:num>
  <w:num w:numId="18">
    <w:abstractNumId w:val="15"/>
  </w:num>
  <w:num w:numId="19">
    <w:abstractNumId w:val="2"/>
  </w:num>
  <w:num w:numId="20">
    <w:abstractNumId w:val="3"/>
  </w:num>
  <w:num w:numId="21">
    <w:abstractNumId w:val="26"/>
  </w:num>
  <w:num w:numId="22">
    <w:abstractNumId w:val="7"/>
  </w:num>
  <w:num w:numId="23">
    <w:abstractNumId w:val="28"/>
  </w:num>
  <w:num w:numId="24">
    <w:abstractNumId w:val="27"/>
  </w:num>
  <w:num w:numId="25">
    <w:abstractNumId w:val="5"/>
  </w:num>
  <w:num w:numId="26">
    <w:abstractNumId w:val="8"/>
  </w:num>
  <w:num w:numId="27">
    <w:abstractNumId w:val="22"/>
  </w:num>
  <w:num w:numId="28">
    <w:abstractNumId w:val="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4E67"/>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01A8"/>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220</Words>
  <Characters>1211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19</cp:revision>
  <cp:lastPrinted>2021-02-16T15:49:00Z</cp:lastPrinted>
  <dcterms:created xsi:type="dcterms:W3CDTF">2021-02-03T20:45:00Z</dcterms:created>
  <dcterms:modified xsi:type="dcterms:W3CDTF">2021-05-02T19:16:00Z</dcterms:modified>
</cp:coreProperties>
</file>