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1766B3A">
                <wp:simplePos x="0" y="0"/>
                <wp:positionH relativeFrom="margin">
                  <wp:align>right</wp:align>
                </wp:positionH>
                <wp:positionV relativeFrom="paragraph">
                  <wp:posOffset>0</wp:posOffset>
                </wp:positionV>
                <wp:extent cx="2613660" cy="20764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76450"/>
                        </a:xfrm>
                        <a:prstGeom prst="rect">
                          <a:avLst/>
                        </a:prstGeom>
                        <a:solidFill>
                          <a:srgbClr val="FFFFFF"/>
                        </a:solidFill>
                        <a:ln w="9525">
                          <a:noFill/>
                          <a:miter lim="800000"/>
                          <a:headEnd/>
                          <a:tailEnd/>
                        </a:ln>
                      </wps:spPr>
                      <wps:txbx>
                        <w:txbxContent>
                          <w:p w14:paraId="06B9C168" w14:textId="3E8792EE" w:rsidR="008A4866" w:rsidRPr="008A4866" w:rsidRDefault="008A4866" w:rsidP="008A4866">
                            <w:pPr>
                              <w:spacing w:after="0"/>
                              <w:jc w:val="both"/>
                              <w:rPr>
                                <w:rFonts w:ascii="Arial" w:hAnsi="Arial" w:cs="Arial"/>
                                <w:b/>
                                <w:sz w:val="20"/>
                                <w:szCs w:val="20"/>
                              </w:rPr>
                            </w:pPr>
                            <w:r w:rsidRPr="008A4866">
                              <w:rPr>
                                <w:rFonts w:ascii="Arial" w:hAnsi="Arial" w:cs="Arial"/>
                                <w:b/>
                                <w:sz w:val="20"/>
                                <w:szCs w:val="20"/>
                              </w:rPr>
                              <w:t>Juicio para la protección de los derechos político-electorales del ciudadano</w:t>
                            </w:r>
                          </w:p>
                          <w:p w14:paraId="7712F9A1" w14:textId="688E1E9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8A4866">
                              <w:rPr>
                                <w:rFonts w:ascii="Arial" w:hAnsi="Arial" w:cs="Arial"/>
                                <w:sz w:val="20"/>
                                <w:szCs w:val="20"/>
                              </w:rPr>
                              <w:t>JDC</w:t>
                            </w:r>
                            <w:r w:rsidR="009950F6">
                              <w:rPr>
                                <w:rFonts w:ascii="Arial" w:hAnsi="Arial" w:cs="Arial"/>
                                <w:sz w:val="20"/>
                                <w:szCs w:val="20"/>
                              </w:rPr>
                              <w:t>-</w:t>
                            </w:r>
                            <w:r w:rsidR="008A4866">
                              <w:rPr>
                                <w:rFonts w:ascii="Arial" w:hAnsi="Arial" w:cs="Arial"/>
                                <w:sz w:val="20"/>
                                <w:szCs w:val="20"/>
                              </w:rPr>
                              <w:t>112</w:t>
                            </w:r>
                            <w:r w:rsidR="009950F6" w:rsidRPr="00F0229D">
                              <w:rPr>
                                <w:rFonts w:ascii="Arial" w:hAnsi="Arial" w:cs="Arial"/>
                                <w:sz w:val="20"/>
                                <w:szCs w:val="20"/>
                              </w:rPr>
                              <w:t>/2021</w:t>
                            </w:r>
                          </w:p>
                          <w:p w14:paraId="1B2014FA" w14:textId="5592C367" w:rsidR="00DA5E0B"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716297"/>
                            <w:r>
                              <w:rPr>
                                <w:rFonts w:ascii="Arial" w:hAnsi="Arial" w:cs="Arial"/>
                                <w:sz w:val="20"/>
                                <w:szCs w:val="20"/>
                              </w:rPr>
                              <w:t>C. Néstor Armando Camacho Mauricio</w:t>
                            </w:r>
                          </w:p>
                          <w:bookmarkEnd w:id="0"/>
                          <w:p w14:paraId="3F21B003" w14:textId="1F3EBF8F" w:rsidR="00145573"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sz w:val="20"/>
                                <w:szCs w:val="20"/>
                              </w:rPr>
                              <w:t>Comisión Nacional de Justicia Partidaria del PRI</w:t>
                            </w:r>
                          </w:p>
                          <w:p w14:paraId="6C966CDF" w14:textId="514AF948"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A4866">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A4866">
                              <w:rPr>
                                <w:rFonts w:ascii="Arial" w:eastAsia="Times New Roman" w:hAnsi="Arial" w:cs="Arial"/>
                                <w:bCs/>
                                <w:sz w:val="20"/>
                                <w:szCs w:val="20"/>
                                <w:lang w:eastAsia="es-MX"/>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0;width:205.8pt;height:1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" stroked="f">
                <v:textbox>
                  <w:txbxContent>
                    <w:p w14:paraId="06B9C168" w14:textId="3E8792EE" w:rsidR="008A4866" w:rsidRPr="008A4866" w:rsidRDefault="008A4866" w:rsidP="008A4866">
                      <w:pPr>
                        <w:spacing w:after="0"/>
                        <w:jc w:val="both"/>
                        <w:rPr>
                          <w:rFonts w:ascii="Arial" w:hAnsi="Arial" w:cs="Arial"/>
                          <w:b/>
                          <w:sz w:val="20"/>
                          <w:szCs w:val="20"/>
                        </w:rPr>
                      </w:pPr>
                      <w:r w:rsidRPr="008A4866">
                        <w:rPr>
                          <w:rFonts w:ascii="Arial" w:hAnsi="Arial" w:cs="Arial"/>
                          <w:b/>
                          <w:sz w:val="20"/>
                          <w:szCs w:val="20"/>
                        </w:rPr>
                        <w:t>Juicio para la protección de los derechos político-electorales del ciudadano</w:t>
                      </w:r>
                    </w:p>
                    <w:p w14:paraId="7712F9A1" w14:textId="688E1E9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8A4866">
                        <w:rPr>
                          <w:rFonts w:ascii="Arial" w:hAnsi="Arial" w:cs="Arial"/>
                          <w:sz w:val="20"/>
                          <w:szCs w:val="20"/>
                        </w:rPr>
                        <w:t>JDC</w:t>
                      </w:r>
                      <w:r w:rsidR="009950F6">
                        <w:rPr>
                          <w:rFonts w:ascii="Arial" w:hAnsi="Arial" w:cs="Arial"/>
                          <w:sz w:val="20"/>
                          <w:szCs w:val="20"/>
                        </w:rPr>
                        <w:t>-</w:t>
                      </w:r>
                      <w:r w:rsidR="008A4866">
                        <w:rPr>
                          <w:rFonts w:ascii="Arial" w:hAnsi="Arial" w:cs="Arial"/>
                          <w:sz w:val="20"/>
                          <w:szCs w:val="20"/>
                        </w:rPr>
                        <w:t>112</w:t>
                      </w:r>
                      <w:r w:rsidR="009950F6" w:rsidRPr="00F0229D">
                        <w:rPr>
                          <w:rFonts w:ascii="Arial" w:hAnsi="Arial" w:cs="Arial"/>
                          <w:sz w:val="20"/>
                          <w:szCs w:val="20"/>
                        </w:rPr>
                        <w:t>/2021</w:t>
                      </w:r>
                    </w:p>
                    <w:p w14:paraId="1B2014FA" w14:textId="5592C367" w:rsidR="00DA5E0B"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16297"/>
                      <w:r>
                        <w:rPr>
                          <w:rFonts w:ascii="Arial" w:hAnsi="Arial" w:cs="Arial"/>
                          <w:sz w:val="20"/>
                          <w:szCs w:val="20"/>
                        </w:rPr>
                        <w:t>C. Néstor Armando Camacho Mauricio</w:t>
                      </w:r>
                    </w:p>
                    <w:bookmarkEnd w:id="1"/>
                    <w:p w14:paraId="3F21B003" w14:textId="1F3EBF8F" w:rsidR="00145573"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sz w:val="20"/>
                          <w:szCs w:val="20"/>
                        </w:rPr>
                        <w:t>Comisión Nacional de Justicia Partidaria del PRI</w:t>
                      </w:r>
                    </w:p>
                    <w:p w14:paraId="6C966CDF" w14:textId="514AF948"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A4866">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A4866">
                        <w:rPr>
                          <w:rFonts w:ascii="Arial" w:eastAsia="Times New Roman" w:hAnsi="Arial" w:cs="Arial"/>
                          <w:bCs/>
                          <w:sz w:val="20"/>
                          <w:szCs w:val="20"/>
                          <w:lang w:eastAsia="es-MX"/>
                        </w:rPr>
                        <w:t>Héctor Salvador Hernández Gallegos</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092E333B"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D5624" w:rsidRPr="003D5624">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8A4866">
        <w:rPr>
          <w:rFonts w:ascii="Arial" w:hAnsi="Arial" w:cs="Arial"/>
          <w:sz w:val="20"/>
          <w:szCs w:val="20"/>
        </w:rPr>
        <w:t>C. Néstor Armando Camacho Mauricio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8A4866">
        <w:rPr>
          <w:rFonts w:ascii="Arial" w:eastAsia="Times New Roman" w:hAnsi="Arial" w:cs="Arial"/>
          <w:sz w:val="20"/>
          <w:szCs w:val="20"/>
          <w:lang w:eastAsia="es-ES"/>
        </w:rPr>
        <w:t xml:space="preserve"> la</w:t>
      </w:r>
      <w:r w:rsidR="00D42FC5" w:rsidRPr="00124D89">
        <w:rPr>
          <w:rFonts w:ascii="Arial" w:eastAsia="Times New Roman" w:hAnsi="Arial" w:cs="Arial"/>
          <w:sz w:val="20"/>
          <w:szCs w:val="20"/>
          <w:lang w:eastAsia="es-ES"/>
        </w:rPr>
        <w:t xml:space="preserve"> </w:t>
      </w:r>
      <w:r w:rsidR="008A4866">
        <w:rPr>
          <w:rFonts w:ascii="Arial" w:hAnsi="Arial" w:cs="Arial"/>
          <w:sz w:val="20"/>
          <w:szCs w:val="20"/>
        </w:rPr>
        <w:t>Comisión Nacional de Justicia Partidaria del PRI</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A4866">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A4866">
        <w:rPr>
          <w:rFonts w:ascii="Arial" w:eastAsia="Times New Roman" w:hAnsi="Arial" w:cs="Arial"/>
          <w:sz w:val="20"/>
          <w:szCs w:val="20"/>
          <w:lang w:eastAsia="es-ES"/>
        </w:rPr>
        <w:t>o</w:t>
      </w:r>
      <w:r w:rsidR="009950F6">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FEDBAF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9950F6">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950F6">
        <w:rPr>
          <w:rFonts w:ascii="Arial" w:eastAsia="Times New Roman" w:hAnsi="Arial" w:cs="Arial"/>
          <w:b/>
          <w:sz w:val="20"/>
          <w:szCs w:val="20"/>
          <w:lang w:eastAsia="es-ES"/>
        </w:rPr>
        <w:t>veintiuno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9950F6">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3D5624">
    <w:pPr>
      <w:pStyle w:val="Piedepgina"/>
      <w:jc w:val="right"/>
    </w:pPr>
  </w:p>
  <w:p w14:paraId="299EE23D" w14:textId="77777777" w:rsidR="005F3ABF" w:rsidRDefault="003D56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D5624" w:rsidP="0083232F">
    <w:pPr>
      <w:pStyle w:val="Encabezado"/>
      <w:jc w:val="right"/>
      <w:rPr>
        <w:rFonts w:ascii="Century Gothic" w:hAnsi="Century Gothic"/>
        <w:b/>
        <w:sz w:val="18"/>
        <w:szCs w:val="18"/>
      </w:rPr>
    </w:pPr>
  </w:p>
  <w:p w14:paraId="0C9D10D5" w14:textId="0300D13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9950F6">
      <w:rPr>
        <w:rFonts w:ascii="Century Gothic" w:hAnsi="Century Gothic"/>
        <w:b/>
        <w:sz w:val="20"/>
        <w:szCs w:val="18"/>
      </w:rPr>
      <w:t>veinte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D5624"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D5624" w:rsidP="0083232F">
    <w:pPr>
      <w:pStyle w:val="Encabezado"/>
      <w:jc w:val="right"/>
      <w:rPr>
        <w:rFonts w:ascii="Century Gothic" w:hAnsi="Century Gothic"/>
      </w:rPr>
    </w:pPr>
  </w:p>
  <w:p w14:paraId="54369A33" w14:textId="77777777" w:rsidR="0083232F" w:rsidRPr="00A46BD3" w:rsidRDefault="003D5624"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2B4D"/>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5624"/>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4866"/>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950F6"/>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243</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26</cp:revision>
  <cp:lastPrinted>2021-03-23T18:32:00Z</cp:lastPrinted>
  <dcterms:created xsi:type="dcterms:W3CDTF">2021-02-03T20:40:00Z</dcterms:created>
  <dcterms:modified xsi:type="dcterms:W3CDTF">2021-05-12T19:06:00Z</dcterms:modified>
</cp:coreProperties>
</file>