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31D44193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545E6">
        <w:rPr>
          <w:rFonts w:ascii="Arial" w:hAnsi="Arial" w:cs="Arial"/>
          <w:b/>
          <w:sz w:val="24"/>
          <w:szCs w:val="24"/>
        </w:rPr>
        <w:t xml:space="preserve">quincuagésima </w:t>
      </w:r>
      <w:r w:rsidR="003C7876">
        <w:rPr>
          <w:rFonts w:ascii="Arial" w:hAnsi="Arial" w:cs="Arial"/>
          <w:b/>
          <w:sz w:val="24"/>
          <w:szCs w:val="24"/>
        </w:rPr>
        <w:t>octava</w:t>
      </w:r>
      <w:r w:rsidR="003D5ADF" w:rsidRPr="002147B7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3C7876">
        <w:rPr>
          <w:rFonts w:ascii="Arial" w:hAnsi="Arial" w:cs="Arial"/>
          <w:b/>
          <w:sz w:val="24"/>
          <w:szCs w:val="24"/>
        </w:rPr>
        <w:t>veintiocho</w:t>
      </w:r>
      <w:r w:rsidR="00223E64">
        <w:rPr>
          <w:rFonts w:ascii="Arial" w:hAnsi="Arial" w:cs="Arial"/>
          <w:b/>
          <w:sz w:val="24"/>
          <w:szCs w:val="24"/>
        </w:rPr>
        <w:t xml:space="preserve"> de julio</w:t>
      </w:r>
      <w:r w:rsidR="002A4B34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iuno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595799">
        <w:rPr>
          <w:rFonts w:ascii="Arial" w:hAnsi="Arial" w:cs="Arial"/>
          <w:b/>
          <w:sz w:val="24"/>
          <w:szCs w:val="24"/>
        </w:rPr>
        <w:t>trece</w:t>
      </w:r>
      <w:r w:rsidR="00E82D41" w:rsidRPr="00F3623F">
        <w:rPr>
          <w:rFonts w:ascii="Arial" w:hAnsi="Arial" w:cs="Arial"/>
          <w:b/>
          <w:sz w:val="24"/>
          <w:szCs w:val="24"/>
        </w:rPr>
        <w:t xml:space="preserve"> 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C7A5C70" w14:textId="77777777" w:rsidR="003C7876" w:rsidRPr="003C7876" w:rsidRDefault="003C7876" w:rsidP="003C7876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3C7876">
        <w:rPr>
          <w:rFonts w:ascii="Arial" w:hAnsi="Arial" w:cs="Arial"/>
          <w:sz w:val="24"/>
          <w:szCs w:val="24"/>
        </w:rPr>
        <w:t xml:space="preserve">Aprobación del orden del día;  </w:t>
      </w:r>
    </w:p>
    <w:p w14:paraId="5D391904" w14:textId="77777777" w:rsidR="003C7876" w:rsidRPr="003C7876" w:rsidRDefault="003C7876" w:rsidP="003C7876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3C7876">
        <w:rPr>
          <w:rFonts w:ascii="Arial" w:hAnsi="Arial" w:cs="Arial"/>
          <w:sz w:val="24"/>
          <w:szCs w:val="24"/>
        </w:rPr>
        <w:t>Dos proyectos de resolución de Procedimiento Especial Sancionador, identificados con los números de expediente TEEA-PES-078 y 090 ambos de este año, propuestos por la ponencia de la Magistrada Presidenta Claudia Díaz de León González;</w:t>
      </w:r>
    </w:p>
    <w:p w14:paraId="7281909B" w14:textId="391C544D" w:rsidR="003C7876" w:rsidRPr="003C7876" w:rsidRDefault="003C7876" w:rsidP="003C7876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3C7876">
        <w:rPr>
          <w:rFonts w:ascii="Arial" w:hAnsi="Arial" w:cs="Arial"/>
          <w:sz w:val="24"/>
          <w:szCs w:val="24"/>
        </w:rPr>
        <w:t xml:space="preserve">Dos proyectos de resolución de Procedimiento Especial Sancionador, identificados con los números de expediente TEEA-PES-085 y 088; así como un proyecto de resolución del Juicio para la protección de los derechos político-electorales de la ciudadanía, identificado con el número de expediente TEEA-JDC-127, y sus acumulados JDC-128; 130; 131; 132; 135; y 136; Recursos de nulidad-024; 025; 026; 029; 031; 034; y Recursos de Apelación-032; 033; y 034 todos del presente año, propuestos por la ponencia de la Magistrada Laura Llamas Hernández; </w:t>
      </w:r>
    </w:p>
    <w:p w14:paraId="6F95888F" w14:textId="77777777" w:rsidR="003C7876" w:rsidRPr="003C7876" w:rsidRDefault="003C7876" w:rsidP="003C7876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3C7876">
        <w:rPr>
          <w:rFonts w:ascii="Arial" w:hAnsi="Arial" w:cs="Arial"/>
          <w:sz w:val="24"/>
          <w:szCs w:val="24"/>
        </w:rPr>
        <w:t>Tres proyectos de resolución de juicio para la protección de los derechos político- electorales de la ciudadanía, el primero de ellos identificado con el número de expediente TEEA-JDC-126, y sus acumulados JDC-133; 134; 138 y 139; Recursos de Nulidad 027; 028; 030; 033; 035; y 036; así como los Recursos de Apelación 035 y 036; el segundo proyecto es el relativo al número de expediente TEEA-JDC-137; finalmente, el tercer proyecto es el relativo al número de expediente TEEA-JDC-140; todos de este año, propuestos por la ponencia del Magistrado Héctor Salvador Hernández Gallegos.</w:t>
      </w:r>
    </w:p>
    <w:p w14:paraId="068DBBD0" w14:textId="37974F67" w:rsidR="00595799" w:rsidRDefault="00595799" w:rsidP="003C7876">
      <w:pPr>
        <w:jc w:val="both"/>
        <w:rPr>
          <w:rFonts w:ascii="Arial" w:hAnsi="Arial" w:cs="Arial"/>
          <w:sz w:val="24"/>
          <w:szCs w:val="24"/>
        </w:rPr>
      </w:pPr>
    </w:p>
    <w:p w14:paraId="42CDF9C9" w14:textId="77777777" w:rsidR="00595799" w:rsidRPr="00595799" w:rsidRDefault="00595799" w:rsidP="00595799">
      <w:pPr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3C7876" w:rsidP="009023E2">
    <w:pPr>
      <w:pStyle w:val="Piedepgina"/>
      <w:jc w:val="center"/>
    </w:pPr>
  </w:p>
  <w:p w14:paraId="4F6CF03E" w14:textId="77777777" w:rsidR="006C0934" w:rsidRDefault="003C78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041C4457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3C7876">
      <w:rPr>
        <w:rFonts w:cstheme="minorHAnsi"/>
        <w:b/>
        <w:sz w:val="24"/>
        <w:szCs w:val="20"/>
      </w:rPr>
      <w:t>veintisiete</w:t>
    </w:r>
    <w:r w:rsidR="00FA3527">
      <w:rPr>
        <w:rFonts w:cstheme="minorHAnsi"/>
        <w:b/>
        <w:sz w:val="24"/>
        <w:szCs w:val="20"/>
      </w:rPr>
      <w:t xml:space="preserve"> de julio</w:t>
    </w:r>
    <w:r w:rsidR="00BB7FF2" w:rsidRPr="003D5ADF">
      <w:rPr>
        <w:rFonts w:cstheme="minorHAnsi"/>
        <w:b/>
        <w:sz w:val="24"/>
        <w:szCs w:val="20"/>
      </w:rPr>
      <w:t xml:space="preserve"> </w:t>
    </w:r>
  </w:p>
  <w:p w14:paraId="12EA6766" w14:textId="6B7C49B7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iuno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56"/>
    <w:multiLevelType w:val="hybridMultilevel"/>
    <w:tmpl w:val="D3AABF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E556DA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0"/>
  </w:num>
  <w:num w:numId="4">
    <w:abstractNumId w:val="9"/>
  </w:num>
  <w:num w:numId="5">
    <w:abstractNumId w:val="28"/>
  </w:num>
  <w:num w:numId="6">
    <w:abstractNumId w:val="29"/>
  </w:num>
  <w:num w:numId="7">
    <w:abstractNumId w:val="12"/>
  </w:num>
  <w:num w:numId="8">
    <w:abstractNumId w:val="22"/>
  </w:num>
  <w:num w:numId="9">
    <w:abstractNumId w:val="24"/>
  </w:num>
  <w:num w:numId="10">
    <w:abstractNumId w:val="23"/>
  </w:num>
  <w:num w:numId="11">
    <w:abstractNumId w:val="16"/>
  </w:num>
  <w:num w:numId="12">
    <w:abstractNumId w:val="25"/>
  </w:num>
  <w:num w:numId="13">
    <w:abstractNumId w:val="21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8"/>
  </w:num>
  <w:num w:numId="19">
    <w:abstractNumId w:val="4"/>
  </w:num>
  <w:num w:numId="20">
    <w:abstractNumId w:val="6"/>
  </w:num>
  <w:num w:numId="21">
    <w:abstractNumId w:val="30"/>
  </w:num>
  <w:num w:numId="22">
    <w:abstractNumId w:val="10"/>
  </w:num>
  <w:num w:numId="23">
    <w:abstractNumId w:val="32"/>
  </w:num>
  <w:num w:numId="24">
    <w:abstractNumId w:val="31"/>
  </w:num>
  <w:num w:numId="25">
    <w:abstractNumId w:val="8"/>
  </w:num>
  <w:num w:numId="26">
    <w:abstractNumId w:val="11"/>
  </w:num>
  <w:num w:numId="27">
    <w:abstractNumId w:val="26"/>
  </w:num>
  <w:num w:numId="28">
    <w:abstractNumId w:val="2"/>
  </w:num>
  <w:num w:numId="29">
    <w:abstractNumId w:val="17"/>
  </w:num>
  <w:num w:numId="30">
    <w:abstractNumId w:val="19"/>
  </w:num>
  <w:num w:numId="31">
    <w:abstractNumId w:val="1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7876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95799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27</cp:revision>
  <cp:lastPrinted>2021-02-16T15:49:00Z</cp:lastPrinted>
  <dcterms:created xsi:type="dcterms:W3CDTF">2021-02-03T20:45:00Z</dcterms:created>
  <dcterms:modified xsi:type="dcterms:W3CDTF">2021-08-12T17:57:00Z</dcterms:modified>
</cp:coreProperties>
</file>