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C4153" w14:textId="77777777" w:rsidR="00B535E3" w:rsidRDefault="00B535E3" w:rsidP="001E1341">
      <w:pPr>
        <w:spacing w:line="360" w:lineRule="auto"/>
        <w:jc w:val="both"/>
        <w:rPr>
          <w:rFonts w:ascii="Arial" w:hAnsi="Arial" w:cs="Arial"/>
          <w:sz w:val="28"/>
          <w:szCs w:val="28"/>
        </w:rPr>
      </w:pPr>
    </w:p>
    <w:p w14:paraId="1F352DF0" w14:textId="7D7984F1" w:rsidR="005C1998" w:rsidRPr="002B64DE" w:rsidRDefault="003028E7" w:rsidP="001E1341">
      <w:pPr>
        <w:spacing w:line="360" w:lineRule="auto"/>
        <w:jc w:val="both"/>
        <w:rPr>
          <w:rFonts w:ascii="Arial" w:hAnsi="Arial" w:cs="Arial"/>
          <w:b/>
          <w:sz w:val="20"/>
          <w:szCs w:val="20"/>
        </w:rPr>
      </w:pPr>
      <w:r w:rsidRPr="00965846">
        <w:rPr>
          <w:rFonts w:ascii="Arial" w:hAnsi="Arial" w:cs="Arial"/>
        </w:rPr>
        <w:t>Con fundamento en los artículos 357, fracción I, del Código Electoral del Estado de Aguascalientes</w:t>
      </w:r>
      <w:r w:rsidR="00E434C5" w:rsidRPr="00965846">
        <w:rPr>
          <w:rFonts w:ascii="Arial" w:hAnsi="Arial" w:cs="Arial"/>
        </w:rPr>
        <w:t xml:space="preserve"> </w:t>
      </w:r>
      <w:r w:rsidRPr="00965846">
        <w:rPr>
          <w:rFonts w:ascii="Arial" w:hAnsi="Arial" w:cs="Arial"/>
        </w:rPr>
        <w:t xml:space="preserve">18, fracción I y 21, fracción I, inciso a), del </w:t>
      </w:r>
      <w:r w:rsidR="00D8125D" w:rsidRPr="00965846">
        <w:rPr>
          <w:rFonts w:ascii="Arial" w:hAnsi="Arial" w:cs="Arial"/>
        </w:rPr>
        <w:t>R</w:t>
      </w:r>
      <w:r w:rsidRPr="00965846">
        <w:rPr>
          <w:rFonts w:ascii="Arial" w:hAnsi="Arial" w:cs="Arial"/>
        </w:rPr>
        <w:t>eglamento Interior del Tribunal Electora</w:t>
      </w:r>
      <w:r w:rsidR="00AB0399" w:rsidRPr="00965846">
        <w:rPr>
          <w:rFonts w:ascii="Arial" w:hAnsi="Arial" w:cs="Arial"/>
        </w:rPr>
        <w:t>l</w:t>
      </w:r>
      <w:bookmarkStart w:id="0" w:name="_Hlk514256524"/>
      <w:r w:rsidR="0082138F">
        <w:rPr>
          <w:rFonts w:ascii="Arial" w:hAnsi="Arial" w:cs="Arial"/>
          <w:bCs/>
        </w:rPr>
        <w:t>,</w:t>
      </w:r>
      <w:r w:rsidR="00BC0997" w:rsidRPr="00965846">
        <w:rPr>
          <w:rFonts w:ascii="Arial" w:hAnsi="Arial" w:cs="Arial"/>
          <w:bCs/>
        </w:rPr>
        <w:t xml:space="preserve"> </w:t>
      </w:r>
      <w:bookmarkEnd w:id="0"/>
      <w:r w:rsidR="002B64DE" w:rsidRPr="002B64DE">
        <w:rPr>
          <w:rFonts w:ascii="Arial" w:hAnsi="Arial" w:cs="Arial"/>
          <w:b/>
        </w:rPr>
        <w:t>se convoca</w:t>
      </w:r>
      <w:r w:rsidR="005C1998" w:rsidRPr="005C1998">
        <w:rPr>
          <w:rFonts w:ascii="Arial" w:hAnsi="Arial" w:cs="Arial"/>
          <w:bCs/>
        </w:rPr>
        <w:t xml:space="preserve"> la </w:t>
      </w:r>
      <w:r w:rsidR="001964E3">
        <w:rPr>
          <w:rFonts w:ascii="Arial" w:hAnsi="Arial" w:cs="Arial"/>
          <w:b/>
        </w:rPr>
        <w:t xml:space="preserve">Segunda </w:t>
      </w:r>
      <w:r w:rsidR="005C1998" w:rsidRPr="005C1998">
        <w:rPr>
          <w:rFonts w:ascii="Arial" w:hAnsi="Arial" w:cs="Arial"/>
          <w:b/>
        </w:rPr>
        <w:t>sesión</w:t>
      </w:r>
      <w:r w:rsidR="005C1998" w:rsidRPr="005C1998">
        <w:rPr>
          <w:rFonts w:ascii="Arial" w:hAnsi="Arial" w:cs="Arial"/>
          <w:bCs/>
        </w:rPr>
        <w:t xml:space="preserve"> </w:t>
      </w:r>
      <w:r w:rsidR="005C1998" w:rsidRPr="005C1998">
        <w:rPr>
          <w:rFonts w:ascii="Arial" w:hAnsi="Arial" w:cs="Arial"/>
          <w:b/>
        </w:rPr>
        <w:t>pública de resolución</w:t>
      </w:r>
      <w:r w:rsidR="00D201A1">
        <w:rPr>
          <w:rFonts w:ascii="Arial" w:hAnsi="Arial" w:cs="Arial"/>
          <w:bCs/>
        </w:rPr>
        <w:t xml:space="preserve"> para </w:t>
      </w:r>
      <w:r w:rsidR="005C1998" w:rsidRPr="005C1998">
        <w:rPr>
          <w:rFonts w:ascii="Arial" w:hAnsi="Arial" w:cs="Arial"/>
          <w:bCs/>
        </w:rPr>
        <w:t xml:space="preserve">el día </w:t>
      </w:r>
      <w:r w:rsidR="001964E3">
        <w:rPr>
          <w:rFonts w:ascii="Arial" w:hAnsi="Arial" w:cs="Arial"/>
          <w:b/>
        </w:rPr>
        <w:t>once</w:t>
      </w:r>
      <w:r w:rsidR="002B64DE">
        <w:rPr>
          <w:rFonts w:ascii="Arial" w:hAnsi="Arial" w:cs="Arial"/>
          <w:b/>
        </w:rPr>
        <w:t xml:space="preserve"> </w:t>
      </w:r>
      <w:r w:rsidR="005C1998" w:rsidRPr="005C1998">
        <w:rPr>
          <w:rFonts w:ascii="Arial" w:hAnsi="Arial" w:cs="Arial"/>
          <w:b/>
        </w:rPr>
        <w:t>de</w:t>
      </w:r>
      <w:r w:rsidR="002B64DE">
        <w:rPr>
          <w:rFonts w:ascii="Arial" w:hAnsi="Arial" w:cs="Arial"/>
          <w:b/>
        </w:rPr>
        <w:t xml:space="preserve"> </w:t>
      </w:r>
      <w:r w:rsidR="001754BF">
        <w:rPr>
          <w:rFonts w:ascii="Arial" w:hAnsi="Arial" w:cs="Arial"/>
          <w:b/>
        </w:rPr>
        <w:t>enero</w:t>
      </w:r>
      <w:r w:rsidR="005C1998">
        <w:rPr>
          <w:rFonts w:ascii="Arial" w:hAnsi="Arial" w:cs="Arial"/>
          <w:b/>
        </w:rPr>
        <w:t xml:space="preserve"> </w:t>
      </w:r>
      <w:r w:rsidR="005C1998" w:rsidRPr="005C1998">
        <w:rPr>
          <w:rFonts w:ascii="Arial" w:hAnsi="Arial" w:cs="Arial"/>
          <w:bCs/>
        </w:rPr>
        <w:t xml:space="preserve">del año en curso, a las </w:t>
      </w:r>
      <w:r w:rsidR="002B64DE" w:rsidRPr="001964E3">
        <w:rPr>
          <w:rFonts w:ascii="Arial" w:hAnsi="Arial" w:cs="Arial"/>
          <w:b/>
          <w:color w:val="000000" w:themeColor="text1"/>
          <w:highlight w:val="yellow"/>
        </w:rPr>
        <w:t>doce</w:t>
      </w:r>
      <w:r w:rsidR="005C1998" w:rsidRPr="001964E3">
        <w:rPr>
          <w:rFonts w:ascii="Arial" w:hAnsi="Arial" w:cs="Arial"/>
          <w:b/>
          <w:color w:val="000000" w:themeColor="text1"/>
          <w:highlight w:val="yellow"/>
        </w:rPr>
        <w:t xml:space="preserve"> </w:t>
      </w:r>
      <w:r w:rsidR="005C1998" w:rsidRPr="001964E3">
        <w:rPr>
          <w:rFonts w:ascii="Arial" w:hAnsi="Arial" w:cs="Arial"/>
          <w:b/>
          <w:highlight w:val="yellow"/>
        </w:rPr>
        <w:t>horas</w:t>
      </w:r>
      <w:r w:rsidR="005C1998" w:rsidRPr="005C1998">
        <w:rPr>
          <w:rFonts w:ascii="Arial" w:hAnsi="Arial" w:cs="Arial"/>
          <w:b/>
        </w:rPr>
        <w:t xml:space="preserve"> con cero minutos</w:t>
      </w:r>
      <w:r w:rsidR="002B64DE">
        <w:rPr>
          <w:rFonts w:ascii="Arial" w:hAnsi="Arial" w:cs="Arial"/>
          <w:b/>
        </w:rPr>
        <w:t xml:space="preserve">, </w:t>
      </w:r>
      <w:r w:rsidR="004B4783">
        <w:rPr>
          <w:rFonts w:ascii="Arial" w:hAnsi="Arial" w:cs="Arial"/>
          <w:b/>
        </w:rPr>
        <w:t xml:space="preserve">en el salón del pleno </w:t>
      </w:r>
      <w:r w:rsidR="00D201A1">
        <w:rPr>
          <w:rFonts w:ascii="Arial" w:hAnsi="Arial" w:cs="Arial"/>
          <w:b/>
        </w:rPr>
        <w:t xml:space="preserve">de este Tribunal, </w:t>
      </w:r>
      <w:r w:rsidR="002B64DE">
        <w:rPr>
          <w:rFonts w:ascii="Arial" w:hAnsi="Arial" w:cs="Arial"/>
          <w:b/>
        </w:rPr>
        <w:t>en la que se resolverá</w:t>
      </w:r>
      <w:r w:rsidR="004B4783">
        <w:rPr>
          <w:rFonts w:ascii="Arial" w:hAnsi="Arial" w:cs="Arial"/>
          <w:b/>
        </w:rPr>
        <w:t>n</w:t>
      </w:r>
      <w:r w:rsidR="002B64DE">
        <w:rPr>
          <w:rFonts w:ascii="Arial" w:hAnsi="Arial" w:cs="Arial"/>
          <w:b/>
        </w:rPr>
        <w:t xml:space="preserve"> los siguientes asuntos: </w:t>
      </w:r>
    </w:p>
    <w:p w14:paraId="083570A9" w14:textId="77777777" w:rsidR="00F47D67" w:rsidRPr="00CE6DB3" w:rsidRDefault="00F47D67" w:rsidP="00F47D67">
      <w:pPr>
        <w:spacing w:line="360" w:lineRule="auto"/>
        <w:jc w:val="both"/>
        <w:rPr>
          <w:rFonts w:ascii="Arial" w:hAnsi="Arial" w:cs="Arial"/>
          <w:bCs/>
        </w:rPr>
      </w:pPr>
    </w:p>
    <w:tbl>
      <w:tblPr>
        <w:tblStyle w:val="Tablaconcuadrcula"/>
        <w:tblpPr w:leftFromText="141" w:rightFromText="141" w:vertAnchor="text" w:horzAnchor="margin" w:tblpY="-30"/>
        <w:tblW w:w="9351" w:type="dxa"/>
        <w:tblLayout w:type="fixed"/>
        <w:tblLook w:val="04A0" w:firstRow="1" w:lastRow="0" w:firstColumn="1" w:lastColumn="0" w:noHBand="0" w:noVBand="1"/>
      </w:tblPr>
      <w:tblGrid>
        <w:gridCol w:w="562"/>
        <w:gridCol w:w="1560"/>
        <w:gridCol w:w="2693"/>
        <w:gridCol w:w="1417"/>
        <w:gridCol w:w="1701"/>
        <w:gridCol w:w="1418"/>
      </w:tblGrid>
      <w:tr w:rsidR="00F47D67" w:rsidRPr="0084625C" w14:paraId="5EE3F273" w14:textId="77777777" w:rsidTr="00B825B9">
        <w:trPr>
          <w:trHeight w:val="482"/>
        </w:trPr>
        <w:tc>
          <w:tcPr>
            <w:tcW w:w="5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52FC5A3" w14:textId="77777777" w:rsidR="00F47D67" w:rsidRPr="0084625C" w:rsidRDefault="00F47D67" w:rsidP="00B825B9">
            <w:pPr>
              <w:spacing w:after="0" w:line="360" w:lineRule="auto"/>
              <w:jc w:val="center"/>
              <w:rPr>
                <w:rFonts w:ascii="Arial" w:hAnsi="Arial" w:cs="Arial"/>
                <w:b/>
                <w:sz w:val="20"/>
                <w:szCs w:val="20"/>
              </w:rPr>
            </w:pPr>
            <w:bookmarkStart w:id="1" w:name="_Hlk517868725"/>
            <w:r w:rsidRPr="0084625C">
              <w:rPr>
                <w:rFonts w:ascii="Arial" w:hAnsi="Arial" w:cs="Arial"/>
                <w:b/>
                <w:sz w:val="20"/>
                <w:szCs w:val="20"/>
              </w:rPr>
              <w:t>No.</w:t>
            </w:r>
          </w:p>
        </w:tc>
        <w:tc>
          <w:tcPr>
            <w:tcW w:w="15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BDA13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Expediente</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9DE416D"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Temática</w:t>
            </w:r>
          </w:p>
        </w:tc>
        <w:tc>
          <w:tcPr>
            <w:tcW w:w="141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E80BDE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Promoventes/ Denunciantes</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C020F72"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Autoridad responsable/ Denunciados</w:t>
            </w:r>
          </w:p>
        </w:tc>
        <w:tc>
          <w:tcPr>
            <w:tcW w:w="14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178206" w14:textId="77777777" w:rsidR="00F47D67" w:rsidRPr="0084625C" w:rsidRDefault="00F47D67" w:rsidP="00B825B9">
            <w:pPr>
              <w:spacing w:after="0" w:line="360" w:lineRule="auto"/>
              <w:jc w:val="center"/>
              <w:rPr>
                <w:rFonts w:ascii="Arial" w:hAnsi="Arial" w:cs="Arial"/>
                <w:b/>
                <w:sz w:val="20"/>
                <w:szCs w:val="20"/>
              </w:rPr>
            </w:pPr>
            <w:r w:rsidRPr="0084625C">
              <w:rPr>
                <w:rFonts w:ascii="Arial" w:hAnsi="Arial" w:cs="Arial"/>
                <w:b/>
                <w:sz w:val="20"/>
                <w:szCs w:val="20"/>
              </w:rPr>
              <w:t>Magistr</w:t>
            </w:r>
            <w:r>
              <w:rPr>
                <w:rFonts w:ascii="Arial" w:hAnsi="Arial" w:cs="Arial"/>
                <w:b/>
                <w:sz w:val="20"/>
                <w:szCs w:val="20"/>
              </w:rPr>
              <w:t>atura</w:t>
            </w:r>
            <w:r w:rsidRPr="0084625C">
              <w:rPr>
                <w:rFonts w:ascii="Arial" w:hAnsi="Arial" w:cs="Arial"/>
                <w:b/>
                <w:sz w:val="20"/>
                <w:szCs w:val="20"/>
              </w:rPr>
              <w:t xml:space="preserve"> Ponente</w:t>
            </w:r>
          </w:p>
        </w:tc>
      </w:tr>
      <w:tr w:rsidR="00F47D67" w:rsidRPr="0084625C" w14:paraId="2F1EE174" w14:textId="77777777" w:rsidTr="00B825B9">
        <w:trPr>
          <w:trHeight w:val="484"/>
        </w:trPr>
        <w:tc>
          <w:tcPr>
            <w:tcW w:w="562" w:type="dxa"/>
            <w:tcBorders>
              <w:top w:val="single" w:sz="4" w:space="0" w:color="auto"/>
              <w:left w:val="single" w:sz="4" w:space="0" w:color="auto"/>
              <w:bottom w:val="single" w:sz="4" w:space="0" w:color="auto"/>
              <w:right w:val="single" w:sz="4" w:space="0" w:color="auto"/>
            </w:tcBorders>
            <w:vAlign w:val="center"/>
          </w:tcPr>
          <w:p w14:paraId="69D9108C" w14:textId="77777777" w:rsidR="00F47D67" w:rsidRPr="0084625C" w:rsidRDefault="00F47D67" w:rsidP="00B825B9">
            <w:pPr>
              <w:spacing w:after="0" w:line="360" w:lineRule="auto"/>
              <w:jc w:val="center"/>
              <w:rPr>
                <w:rFonts w:ascii="Arial" w:hAnsi="Arial" w:cs="Arial"/>
                <w:b/>
                <w:bCs/>
                <w:sz w:val="20"/>
                <w:szCs w:val="20"/>
              </w:rPr>
            </w:pPr>
            <w:r w:rsidRPr="0084625C">
              <w:rPr>
                <w:rFonts w:ascii="Arial" w:hAnsi="Arial" w:cs="Arial"/>
                <w:b/>
                <w:bCs/>
                <w:sz w:val="20"/>
                <w:szCs w:val="20"/>
              </w:rPr>
              <w:t>1</w:t>
            </w:r>
          </w:p>
        </w:tc>
        <w:tc>
          <w:tcPr>
            <w:tcW w:w="1560" w:type="dxa"/>
            <w:vAlign w:val="center"/>
          </w:tcPr>
          <w:p w14:paraId="475CC4D8" w14:textId="2157AE2D" w:rsidR="00F47D67" w:rsidRPr="0084625C" w:rsidRDefault="00F47D67" w:rsidP="00B825B9">
            <w:pPr>
              <w:spacing w:after="0" w:line="240" w:lineRule="atLeast"/>
              <w:jc w:val="center"/>
              <w:rPr>
                <w:rFonts w:ascii="Arial" w:hAnsi="Arial" w:cs="Arial"/>
                <w:sz w:val="20"/>
                <w:szCs w:val="20"/>
              </w:rPr>
            </w:pPr>
            <w:r>
              <w:rPr>
                <w:rFonts w:ascii="Arial" w:hAnsi="Arial" w:cs="Arial"/>
                <w:sz w:val="20"/>
                <w:szCs w:val="20"/>
              </w:rPr>
              <w:t>TEEA-</w:t>
            </w:r>
            <w:r w:rsidR="00130CD6">
              <w:rPr>
                <w:rFonts w:ascii="Arial" w:hAnsi="Arial" w:cs="Arial"/>
                <w:sz w:val="20"/>
                <w:szCs w:val="20"/>
              </w:rPr>
              <w:t>JDC</w:t>
            </w:r>
            <w:r>
              <w:rPr>
                <w:rFonts w:ascii="Arial" w:hAnsi="Arial" w:cs="Arial"/>
                <w:sz w:val="20"/>
                <w:szCs w:val="20"/>
              </w:rPr>
              <w:t>-0</w:t>
            </w:r>
            <w:r w:rsidR="00130CD6">
              <w:rPr>
                <w:rFonts w:ascii="Arial" w:hAnsi="Arial" w:cs="Arial"/>
                <w:sz w:val="20"/>
                <w:szCs w:val="20"/>
              </w:rPr>
              <w:t>26</w:t>
            </w:r>
            <w:r>
              <w:rPr>
                <w:rFonts w:ascii="Arial" w:hAnsi="Arial" w:cs="Arial"/>
                <w:sz w:val="20"/>
                <w:szCs w:val="20"/>
              </w:rPr>
              <w:t>/2023 Y ACUMULADOS.</w:t>
            </w:r>
          </w:p>
        </w:tc>
        <w:tc>
          <w:tcPr>
            <w:tcW w:w="2693" w:type="dxa"/>
            <w:vAlign w:val="center"/>
          </w:tcPr>
          <w:p w14:paraId="4CF86138" w14:textId="73593142" w:rsidR="00F47D67" w:rsidRPr="0084625C" w:rsidRDefault="00130CD6" w:rsidP="00B825B9">
            <w:pPr>
              <w:spacing w:after="0" w:line="240" w:lineRule="atLeast"/>
              <w:jc w:val="both"/>
              <w:rPr>
                <w:rFonts w:ascii="Arial" w:hAnsi="Arial" w:cs="Arial"/>
                <w:sz w:val="20"/>
                <w:szCs w:val="20"/>
              </w:rPr>
            </w:pPr>
            <w:r w:rsidRPr="00130CD6">
              <w:rPr>
                <w:rFonts w:ascii="Arial" w:hAnsi="Arial" w:cs="Arial"/>
                <w:sz w:val="20"/>
                <w:szCs w:val="20"/>
              </w:rPr>
              <w:t>La omisión legislativa absoluta del Congreso del Estado de Aguascalientes de dictar medidas legislativas para dar cumplimiento con el artículo segundo transitorio del DECRETO por el que se reforman los artículos 55 y 91, de la Constitución Política de los Estados Unidos Mexicanos, en materia de edad mínima para ocupar un cargo público, publicado en el Diario Oficial de la Federación, el seis de junio del presente año.</w:t>
            </w:r>
          </w:p>
        </w:tc>
        <w:tc>
          <w:tcPr>
            <w:tcW w:w="1417" w:type="dxa"/>
            <w:vAlign w:val="center"/>
          </w:tcPr>
          <w:p w14:paraId="6FB67782" w14:textId="4A133B31" w:rsidR="00F47D67" w:rsidRPr="00F44D9E" w:rsidRDefault="00130CD6" w:rsidP="00B825B9">
            <w:pPr>
              <w:spacing w:after="0" w:line="240" w:lineRule="atLeast"/>
              <w:jc w:val="center"/>
              <w:rPr>
                <w:rFonts w:ascii="Arial" w:hAnsi="Arial" w:cs="Arial"/>
                <w:sz w:val="20"/>
                <w:szCs w:val="20"/>
              </w:rPr>
            </w:pPr>
            <w:r w:rsidRPr="00130CD6">
              <w:rPr>
                <w:rFonts w:ascii="Arial" w:hAnsi="Arial" w:cs="Arial"/>
                <w:sz w:val="20"/>
                <w:szCs w:val="20"/>
              </w:rPr>
              <w:t>C. Sarahi Priscila Ramos Padilla</w:t>
            </w:r>
          </w:p>
        </w:tc>
        <w:tc>
          <w:tcPr>
            <w:tcW w:w="1701" w:type="dxa"/>
            <w:tcBorders>
              <w:right w:val="single" w:sz="4" w:space="0" w:color="auto"/>
            </w:tcBorders>
            <w:vAlign w:val="center"/>
          </w:tcPr>
          <w:p w14:paraId="4613B215" w14:textId="111F9307" w:rsidR="00F47D67" w:rsidRPr="00F44D9E" w:rsidRDefault="00130CD6" w:rsidP="00B825B9">
            <w:pPr>
              <w:spacing w:after="0" w:line="240" w:lineRule="atLeast"/>
              <w:jc w:val="center"/>
              <w:rPr>
                <w:rFonts w:ascii="Arial" w:hAnsi="Arial" w:cs="Arial"/>
                <w:sz w:val="20"/>
                <w:szCs w:val="20"/>
              </w:rPr>
            </w:pPr>
            <w:r w:rsidRPr="00130CD6">
              <w:rPr>
                <w:rFonts w:ascii="Arial" w:hAnsi="Arial" w:cs="Arial"/>
                <w:sz w:val="20"/>
                <w:szCs w:val="20"/>
              </w:rPr>
              <w:t>Poder Legislativo del Estado de Aguascalientes</w:t>
            </w:r>
          </w:p>
        </w:tc>
        <w:tc>
          <w:tcPr>
            <w:tcW w:w="1418" w:type="dxa"/>
            <w:tcBorders>
              <w:top w:val="single" w:sz="4" w:space="0" w:color="auto"/>
              <w:left w:val="single" w:sz="4" w:space="0" w:color="auto"/>
              <w:bottom w:val="single" w:sz="4" w:space="0" w:color="auto"/>
              <w:right w:val="single" w:sz="4" w:space="0" w:color="auto"/>
            </w:tcBorders>
            <w:vAlign w:val="center"/>
          </w:tcPr>
          <w:p w14:paraId="7CA3B335" w14:textId="77777777" w:rsidR="00F47D67" w:rsidRPr="00F44D9E" w:rsidRDefault="00F47D67" w:rsidP="00B825B9">
            <w:pPr>
              <w:spacing w:after="0" w:line="240" w:lineRule="atLeast"/>
              <w:jc w:val="center"/>
              <w:rPr>
                <w:rFonts w:ascii="Arial" w:hAnsi="Arial" w:cs="Arial"/>
                <w:sz w:val="20"/>
                <w:szCs w:val="20"/>
              </w:rPr>
            </w:pPr>
            <w:r>
              <w:rPr>
                <w:rFonts w:ascii="Arial" w:hAnsi="Arial" w:cs="Arial"/>
                <w:sz w:val="20"/>
                <w:szCs w:val="20"/>
              </w:rPr>
              <w:t>Héctor Salvador Hernández Gallegos.</w:t>
            </w:r>
          </w:p>
        </w:tc>
      </w:tr>
      <w:tr w:rsidR="00F47D67" w:rsidRPr="0084625C" w14:paraId="0672E9D1" w14:textId="77777777" w:rsidTr="00B825B9">
        <w:trPr>
          <w:trHeight w:val="484"/>
        </w:trPr>
        <w:tc>
          <w:tcPr>
            <w:tcW w:w="562" w:type="dxa"/>
            <w:tcBorders>
              <w:top w:val="single" w:sz="4" w:space="0" w:color="auto"/>
              <w:left w:val="single" w:sz="4" w:space="0" w:color="auto"/>
              <w:bottom w:val="single" w:sz="4" w:space="0" w:color="auto"/>
              <w:right w:val="single" w:sz="4" w:space="0" w:color="auto"/>
            </w:tcBorders>
            <w:vAlign w:val="center"/>
          </w:tcPr>
          <w:p w14:paraId="4EBBF9E1" w14:textId="77777777" w:rsidR="00F47D67" w:rsidRPr="0084625C" w:rsidRDefault="00F47D67" w:rsidP="00B825B9">
            <w:pPr>
              <w:spacing w:after="0" w:line="360" w:lineRule="auto"/>
              <w:jc w:val="center"/>
              <w:rPr>
                <w:rFonts w:ascii="Arial" w:hAnsi="Arial" w:cs="Arial"/>
                <w:b/>
                <w:bCs/>
                <w:sz w:val="20"/>
                <w:szCs w:val="20"/>
              </w:rPr>
            </w:pPr>
            <w:r>
              <w:rPr>
                <w:rFonts w:ascii="Arial" w:hAnsi="Arial" w:cs="Arial"/>
                <w:b/>
                <w:bCs/>
                <w:sz w:val="20"/>
                <w:szCs w:val="20"/>
              </w:rPr>
              <w:t>2</w:t>
            </w:r>
          </w:p>
        </w:tc>
        <w:tc>
          <w:tcPr>
            <w:tcW w:w="1560" w:type="dxa"/>
            <w:vAlign w:val="center"/>
          </w:tcPr>
          <w:p w14:paraId="1C6E054E" w14:textId="7B5792B5" w:rsidR="00F47D67" w:rsidRDefault="00F47D67" w:rsidP="00B825B9">
            <w:pPr>
              <w:spacing w:after="0" w:line="240" w:lineRule="atLeast"/>
              <w:jc w:val="center"/>
              <w:rPr>
                <w:rFonts w:ascii="Arial" w:hAnsi="Arial" w:cs="Arial"/>
                <w:sz w:val="20"/>
                <w:szCs w:val="20"/>
              </w:rPr>
            </w:pPr>
            <w:r>
              <w:rPr>
                <w:rFonts w:ascii="Arial" w:hAnsi="Arial" w:cs="Arial"/>
                <w:sz w:val="20"/>
                <w:szCs w:val="20"/>
              </w:rPr>
              <w:t>TEEA-</w:t>
            </w:r>
            <w:r w:rsidR="00130CD6">
              <w:rPr>
                <w:rFonts w:ascii="Arial" w:hAnsi="Arial" w:cs="Arial"/>
                <w:sz w:val="20"/>
                <w:szCs w:val="20"/>
              </w:rPr>
              <w:t>JDC</w:t>
            </w:r>
            <w:r>
              <w:rPr>
                <w:rFonts w:ascii="Arial" w:hAnsi="Arial" w:cs="Arial"/>
                <w:sz w:val="20"/>
                <w:szCs w:val="20"/>
              </w:rPr>
              <w:t>-0</w:t>
            </w:r>
            <w:r w:rsidR="00130CD6">
              <w:rPr>
                <w:rFonts w:ascii="Arial" w:hAnsi="Arial" w:cs="Arial"/>
                <w:sz w:val="20"/>
                <w:szCs w:val="20"/>
              </w:rPr>
              <w:t>2</w:t>
            </w:r>
            <w:r>
              <w:rPr>
                <w:rFonts w:ascii="Arial" w:hAnsi="Arial" w:cs="Arial"/>
                <w:sz w:val="20"/>
                <w:szCs w:val="20"/>
              </w:rPr>
              <w:t>7/2023</w:t>
            </w:r>
          </w:p>
        </w:tc>
        <w:tc>
          <w:tcPr>
            <w:tcW w:w="2693" w:type="dxa"/>
            <w:vAlign w:val="center"/>
          </w:tcPr>
          <w:p w14:paraId="5CD1F2EF" w14:textId="323EFCD4" w:rsidR="00F47D67" w:rsidRPr="00907832" w:rsidRDefault="00130CD6" w:rsidP="00B825B9">
            <w:pPr>
              <w:spacing w:after="0" w:line="240" w:lineRule="atLeast"/>
              <w:jc w:val="both"/>
              <w:rPr>
                <w:rFonts w:ascii="Arial" w:hAnsi="Arial" w:cs="Arial"/>
                <w:sz w:val="20"/>
                <w:szCs w:val="20"/>
              </w:rPr>
            </w:pPr>
            <w:r w:rsidRPr="00130CD6">
              <w:rPr>
                <w:rFonts w:ascii="Calibri" w:hAnsi="Calibri" w:cs="Calibri"/>
                <w:color w:val="000000"/>
              </w:rPr>
              <w:t>La omisión legislativa absoluta del Congreso del Estado de Aguascalientes de dictar medidas legislativas para dar cumplimiento con el artículo segundo transitorio del DECRETO por el que se reforman y adicionan los artículos 38 y 102, de la Constitución Política de los Estados Unidos Mexicanos, en materia de suspensión de derechos para ocupar cargo, empleo o comisión del servicio público, publicado en el Diario Oficial de la Federación, el veintinueve de mayo del presente año</w:t>
            </w:r>
          </w:p>
        </w:tc>
        <w:tc>
          <w:tcPr>
            <w:tcW w:w="1417" w:type="dxa"/>
            <w:vAlign w:val="center"/>
          </w:tcPr>
          <w:p w14:paraId="7D61A90A" w14:textId="6861C959" w:rsidR="00F47D67" w:rsidRDefault="00130CD6" w:rsidP="00B825B9">
            <w:pPr>
              <w:spacing w:after="0" w:line="240" w:lineRule="atLeast"/>
              <w:jc w:val="center"/>
              <w:rPr>
                <w:rFonts w:ascii="Arial" w:hAnsi="Arial" w:cs="Arial"/>
                <w:sz w:val="20"/>
                <w:szCs w:val="20"/>
              </w:rPr>
            </w:pPr>
            <w:r w:rsidRPr="00130CD6">
              <w:rPr>
                <w:rFonts w:ascii="Arial" w:hAnsi="Arial" w:cs="Arial"/>
                <w:sz w:val="20"/>
                <w:szCs w:val="20"/>
              </w:rPr>
              <w:t>C. María de los Ángeles López Becerra</w:t>
            </w:r>
          </w:p>
        </w:tc>
        <w:tc>
          <w:tcPr>
            <w:tcW w:w="1701" w:type="dxa"/>
            <w:tcBorders>
              <w:right w:val="single" w:sz="4" w:space="0" w:color="auto"/>
            </w:tcBorders>
            <w:vAlign w:val="center"/>
          </w:tcPr>
          <w:p w14:paraId="269EEC41" w14:textId="65E375C6" w:rsidR="00F47D67" w:rsidRDefault="00130CD6" w:rsidP="00B825B9">
            <w:pPr>
              <w:spacing w:after="0" w:line="240" w:lineRule="atLeast"/>
              <w:jc w:val="center"/>
              <w:rPr>
                <w:rFonts w:ascii="Arial" w:hAnsi="Arial" w:cs="Arial"/>
                <w:sz w:val="20"/>
                <w:szCs w:val="20"/>
              </w:rPr>
            </w:pPr>
            <w:r w:rsidRPr="00130CD6">
              <w:rPr>
                <w:rFonts w:ascii="Arial" w:hAnsi="Arial" w:cs="Arial"/>
                <w:sz w:val="20"/>
                <w:szCs w:val="20"/>
              </w:rPr>
              <w:t>Poder Legislativo del Estado de Aguascalientes</w:t>
            </w:r>
          </w:p>
        </w:tc>
        <w:tc>
          <w:tcPr>
            <w:tcW w:w="1418" w:type="dxa"/>
            <w:tcBorders>
              <w:top w:val="single" w:sz="4" w:space="0" w:color="auto"/>
              <w:left w:val="single" w:sz="4" w:space="0" w:color="auto"/>
              <w:bottom w:val="single" w:sz="4" w:space="0" w:color="auto"/>
              <w:right w:val="single" w:sz="4" w:space="0" w:color="auto"/>
            </w:tcBorders>
            <w:vAlign w:val="center"/>
          </w:tcPr>
          <w:p w14:paraId="39DA4AC3" w14:textId="1B6D48B2" w:rsidR="00F47D67" w:rsidRDefault="00130CD6" w:rsidP="00B825B9">
            <w:pPr>
              <w:spacing w:after="0" w:line="240" w:lineRule="atLeast"/>
              <w:jc w:val="center"/>
              <w:rPr>
                <w:rFonts w:ascii="Arial" w:hAnsi="Arial" w:cs="Arial"/>
                <w:sz w:val="20"/>
                <w:szCs w:val="20"/>
              </w:rPr>
            </w:pPr>
            <w:r w:rsidRPr="00130CD6">
              <w:rPr>
                <w:rFonts w:ascii="Arial" w:hAnsi="Arial" w:cs="Arial"/>
                <w:sz w:val="20"/>
                <w:szCs w:val="20"/>
              </w:rPr>
              <w:t>Néstor Enrique Rivera López</w:t>
            </w:r>
          </w:p>
        </w:tc>
      </w:tr>
      <w:bookmarkEnd w:id="1"/>
    </w:tbl>
    <w:p w14:paraId="5D13F38A" w14:textId="77777777" w:rsidR="002B64DE" w:rsidRDefault="002B64DE" w:rsidP="002B64DE">
      <w:pPr>
        <w:shd w:val="clear" w:color="auto" w:fill="FFFFFF"/>
        <w:spacing w:before="100" w:beforeAutospacing="1" w:after="100" w:afterAutospacing="1" w:line="360" w:lineRule="auto"/>
        <w:jc w:val="both"/>
        <w:rPr>
          <w:rFonts w:ascii="Arial" w:hAnsi="Arial" w:cs="Arial"/>
        </w:rPr>
      </w:pPr>
    </w:p>
    <w:p w14:paraId="0087CBF1" w14:textId="77777777" w:rsidR="009342F4" w:rsidRDefault="009342F4" w:rsidP="009C0B12">
      <w:pPr>
        <w:spacing w:line="240" w:lineRule="auto"/>
        <w:rPr>
          <w:rFonts w:ascii="Arial" w:hAnsi="Arial" w:cs="Arial"/>
          <w:b/>
        </w:rPr>
      </w:pPr>
    </w:p>
    <w:p w14:paraId="51291703" w14:textId="746344A3" w:rsidR="00312622" w:rsidRDefault="00312622" w:rsidP="009C0B12">
      <w:pPr>
        <w:spacing w:line="240" w:lineRule="auto"/>
        <w:rPr>
          <w:rFonts w:ascii="Arial" w:hAnsi="Arial" w:cs="Arial"/>
          <w:b/>
        </w:rPr>
      </w:pPr>
    </w:p>
    <w:p w14:paraId="1F4D1D73" w14:textId="77777777" w:rsidR="00AA7A6F" w:rsidRPr="00965846" w:rsidRDefault="00AA7A6F" w:rsidP="009C0B12">
      <w:pPr>
        <w:spacing w:line="240" w:lineRule="auto"/>
        <w:rPr>
          <w:rFonts w:ascii="Arial" w:hAnsi="Arial" w:cs="Arial"/>
          <w:b/>
        </w:rPr>
      </w:pPr>
    </w:p>
    <w:p w14:paraId="46FFDA31" w14:textId="10748A7A" w:rsidR="00965846" w:rsidRPr="00965846" w:rsidRDefault="003028E7" w:rsidP="002B64DE">
      <w:pPr>
        <w:spacing w:line="240" w:lineRule="auto"/>
        <w:jc w:val="center"/>
        <w:rPr>
          <w:rFonts w:ascii="Arial" w:hAnsi="Arial" w:cs="Arial"/>
          <w:b/>
        </w:rPr>
      </w:pPr>
      <w:r w:rsidRPr="00965846">
        <w:rPr>
          <w:rFonts w:ascii="Arial" w:hAnsi="Arial" w:cs="Arial"/>
          <w:b/>
        </w:rPr>
        <w:t>A t e n t a m e n t e</w:t>
      </w:r>
    </w:p>
    <w:p w14:paraId="1657A98C" w14:textId="59A944F1" w:rsidR="00747B3C" w:rsidRPr="00965846" w:rsidRDefault="00747B3C" w:rsidP="00483944">
      <w:pPr>
        <w:spacing w:after="0" w:line="240" w:lineRule="auto"/>
        <w:jc w:val="center"/>
        <w:rPr>
          <w:rFonts w:ascii="Arial" w:hAnsi="Arial" w:cs="Arial"/>
          <w:b/>
        </w:rPr>
      </w:pPr>
    </w:p>
    <w:p w14:paraId="4DC6B74E" w14:textId="77777777" w:rsidR="00747B3C" w:rsidRPr="00965846" w:rsidRDefault="00747B3C" w:rsidP="00483944">
      <w:pPr>
        <w:spacing w:after="0" w:line="240" w:lineRule="auto"/>
        <w:jc w:val="center"/>
        <w:rPr>
          <w:rFonts w:ascii="Arial" w:hAnsi="Arial" w:cs="Arial"/>
          <w:b/>
        </w:rPr>
      </w:pPr>
    </w:p>
    <w:p w14:paraId="729A3678" w14:textId="7C4E9D8B" w:rsidR="003028E7" w:rsidRPr="00965846" w:rsidRDefault="009B0DC7" w:rsidP="00483944">
      <w:pPr>
        <w:spacing w:after="0" w:line="240" w:lineRule="auto"/>
        <w:jc w:val="center"/>
        <w:rPr>
          <w:rFonts w:ascii="Arial" w:hAnsi="Arial" w:cs="Arial"/>
          <w:b/>
        </w:rPr>
      </w:pPr>
      <w:r>
        <w:rPr>
          <w:rFonts w:ascii="Arial" w:hAnsi="Arial" w:cs="Arial"/>
          <w:b/>
        </w:rPr>
        <w:t xml:space="preserve">Héctor </w:t>
      </w:r>
      <w:r w:rsidR="00801979">
        <w:rPr>
          <w:rFonts w:ascii="Arial" w:hAnsi="Arial" w:cs="Arial"/>
          <w:b/>
        </w:rPr>
        <w:t>S</w:t>
      </w:r>
      <w:r>
        <w:rPr>
          <w:rFonts w:ascii="Arial" w:hAnsi="Arial" w:cs="Arial"/>
          <w:b/>
        </w:rPr>
        <w:t xml:space="preserve">alvador Hernández </w:t>
      </w:r>
      <w:r w:rsidR="00801979">
        <w:rPr>
          <w:rFonts w:ascii="Arial" w:hAnsi="Arial" w:cs="Arial"/>
          <w:b/>
        </w:rPr>
        <w:t>G</w:t>
      </w:r>
      <w:r>
        <w:rPr>
          <w:rFonts w:ascii="Arial" w:hAnsi="Arial" w:cs="Arial"/>
          <w:b/>
        </w:rPr>
        <w:t>allegos</w:t>
      </w:r>
    </w:p>
    <w:p w14:paraId="212885DE" w14:textId="1F67E04F" w:rsidR="003028E7" w:rsidRPr="00965846" w:rsidRDefault="001762EF" w:rsidP="00483944">
      <w:pPr>
        <w:spacing w:after="0" w:line="240" w:lineRule="auto"/>
        <w:jc w:val="center"/>
        <w:rPr>
          <w:rFonts w:ascii="Arial" w:hAnsi="Arial" w:cs="Arial"/>
          <w:b/>
        </w:rPr>
      </w:pPr>
      <w:r w:rsidRPr="00965846">
        <w:rPr>
          <w:rFonts w:ascii="Arial" w:hAnsi="Arial" w:cs="Arial"/>
          <w:b/>
        </w:rPr>
        <w:t>Magistrad</w:t>
      </w:r>
      <w:r w:rsidR="009B0DC7">
        <w:rPr>
          <w:rFonts w:ascii="Arial" w:hAnsi="Arial" w:cs="Arial"/>
          <w:b/>
        </w:rPr>
        <w:t>o</w:t>
      </w:r>
      <w:r w:rsidR="003028E7" w:rsidRPr="00965846">
        <w:rPr>
          <w:rFonts w:ascii="Arial" w:hAnsi="Arial" w:cs="Arial"/>
          <w:b/>
        </w:rPr>
        <w:t xml:space="preserve"> </w:t>
      </w:r>
      <w:r w:rsidR="00401BBB" w:rsidRPr="00965846">
        <w:rPr>
          <w:rFonts w:ascii="Arial" w:hAnsi="Arial" w:cs="Arial"/>
          <w:b/>
        </w:rPr>
        <w:t>P</w:t>
      </w:r>
      <w:r w:rsidRPr="00965846">
        <w:rPr>
          <w:rFonts w:ascii="Arial" w:hAnsi="Arial" w:cs="Arial"/>
          <w:b/>
        </w:rPr>
        <w:t>resident</w:t>
      </w:r>
      <w:r w:rsidR="009B0DC7">
        <w:rPr>
          <w:rFonts w:ascii="Arial" w:hAnsi="Arial" w:cs="Arial"/>
          <w:b/>
        </w:rPr>
        <w:t>e</w:t>
      </w:r>
      <w:r w:rsidR="003028E7" w:rsidRPr="00965846">
        <w:rPr>
          <w:rFonts w:ascii="Arial" w:hAnsi="Arial" w:cs="Arial"/>
          <w:b/>
        </w:rPr>
        <w:t xml:space="preserve"> del Tribunal Electoral del </w:t>
      </w:r>
    </w:p>
    <w:p w14:paraId="5FD34FC2" w14:textId="6F7FF12F" w:rsidR="00FF5118" w:rsidRPr="00965846" w:rsidRDefault="003028E7" w:rsidP="0033174E">
      <w:pPr>
        <w:spacing w:after="0" w:line="240" w:lineRule="auto"/>
        <w:jc w:val="center"/>
      </w:pPr>
      <w:r w:rsidRPr="00965846">
        <w:rPr>
          <w:rFonts w:ascii="Arial" w:hAnsi="Arial" w:cs="Arial"/>
          <w:b/>
        </w:rPr>
        <w:t>Estado de Aguascalientes.</w:t>
      </w:r>
    </w:p>
    <w:sectPr w:rsidR="00FF5118" w:rsidRPr="00965846" w:rsidSect="005C2039">
      <w:headerReference w:type="default" r:id="rId6"/>
      <w:footerReference w:type="default" r:id="rId7"/>
      <w:pgSz w:w="12240" w:h="20160" w:code="5"/>
      <w:pgMar w:top="272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3344" w14:textId="77777777" w:rsidR="00D43B99" w:rsidRDefault="00D43B99" w:rsidP="003028E7">
      <w:pPr>
        <w:spacing w:after="0" w:line="240" w:lineRule="auto"/>
      </w:pPr>
      <w:r>
        <w:separator/>
      </w:r>
    </w:p>
  </w:endnote>
  <w:endnote w:type="continuationSeparator" w:id="0">
    <w:p w14:paraId="671DBF3B" w14:textId="77777777" w:rsidR="00D43B99" w:rsidRDefault="00D43B99" w:rsidP="0030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A9DAE" w14:textId="77777777" w:rsidR="003C51BC" w:rsidRDefault="003C51BC">
    <w:pPr>
      <w:pStyle w:val="Piedepgina"/>
      <w:jc w:val="right"/>
    </w:pPr>
  </w:p>
  <w:p w14:paraId="7B801511" w14:textId="77777777" w:rsidR="003C51BC" w:rsidRDefault="003C51B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2893F" w14:textId="77777777" w:rsidR="00D43B99" w:rsidRDefault="00D43B99" w:rsidP="003028E7">
      <w:pPr>
        <w:spacing w:after="0" w:line="240" w:lineRule="auto"/>
      </w:pPr>
      <w:r>
        <w:separator/>
      </w:r>
    </w:p>
  </w:footnote>
  <w:footnote w:type="continuationSeparator" w:id="0">
    <w:p w14:paraId="02121183" w14:textId="77777777" w:rsidR="00D43B99" w:rsidRDefault="00D43B99" w:rsidP="003028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A6A95" w14:textId="5813A13E" w:rsidR="0033174E" w:rsidRPr="0033174E" w:rsidRDefault="00402231" w:rsidP="0033174E">
    <w:pPr>
      <w:pStyle w:val="Encabezado"/>
      <w:tabs>
        <w:tab w:val="left" w:pos="5103"/>
      </w:tabs>
      <w:rPr>
        <w:rFonts w:ascii="Century Gothic" w:hAnsi="Century Gothic"/>
        <w:noProof/>
        <w:lang w:eastAsia="es-MX"/>
      </w:rPr>
    </w:pPr>
    <w:r w:rsidRPr="00A46BD3">
      <w:rPr>
        <w:rFonts w:ascii="Century Gothic" w:hAnsi="Century Gothic"/>
        <w:noProof/>
        <w:lang w:eastAsia="es-MX"/>
      </w:rPr>
      <w:drawing>
        <wp:anchor distT="0" distB="0" distL="114300" distR="114300" simplePos="0" relativeHeight="251659264" behindDoc="0" locked="0" layoutInCell="1" allowOverlap="1" wp14:anchorId="42F0EFA4" wp14:editId="173A6360">
          <wp:simplePos x="0" y="0"/>
          <wp:positionH relativeFrom="margin">
            <wp:posOffset>-306197</wp:posOffset>
          </wp:positionH>
          <wp:positionV relativeFrom="paragraph">
            <wp:posOffset>164400</wp:posOffset>
          </wp:positionV>
          <wp:extent cx="1017767" cy="1211602"/>
          <wp:effectExtent l="0" t="0" r="0" b="762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017767" cy="1211602"/>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noProof/>
          <w:lang w:eastAsia="es-MX"/>
        </w:rPr>
        <w:id w:val="-91324963"/>
        <w:docPartObj>
          <w:docPartGallery w:val="Page Numbers (Margins)"/>
          <w:docPartUnique/>
        </w:docPartObj>
      </w:sdtPr>
      <w:sdtEndPr/>
      <w:sdtContent>
        <w:r w:rsidR="00CD5AC6" w:rsidRPr="00CD5AC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64512FA2" wp14:editId="199D4F1E">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449F3045" w14:textId="7CEE9EDF"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C56E8"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12FA2" id="Rectángulo 1" o:spid="_x0000_s1026"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Content>
                          <w:p w14:paraId="449F3045" w14:textId="7CEE9EDF" w:rsidR="00CD5AC6" w:rsidRDefault="00CD5AC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5C56E8" w:rsidRPr="005C56E8">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p w14:paraId="5F97B5E3" w14:textId="2FD6A20D" w:rsidR="003C51BC" w:rsidRPr="00A46BD3" w:rsidRDefault="003E5E52" w:rsidP="00A46BD3">
    <w:pPr>
      <w:pStyle w:val="Encabezado"/>
      <w:rPr>
        <w:rFonts w:ascii="Century Gothic" w:hAnsi="Century Gothic"/>
        <w:b/>
      </w:rPr>
    </w:pPr>
    <w:r>
      <w:rPr>
        <w:rFonts w:ascii="Century Gothic" w:hAnsi="Century Gothic"/>
        <w:b/>
      </w:rPr>
      <w:tab/>
    </w:r>
  </w:p>
  <w:tbl>
    <w:tblPr>
      <w:tblW w:w="8263" w:type="dxa"/>
      <w:tblInd w:w="1102" w:type="dxa"/>
      <w:shd w:val="clear" w:color="auto" w:fill="FFFFFF"/>
      <w:tblCellMar>
        <w:left w:w="0" w:type="dxa"/>
        <w:right w:w="0" w:type="dxa"/>
      </w:tblCellMar>
      <w:tblLook w:val="04A0" w:firstRow="1" w:lastRow="0" w:firstColumn="1" w:lastColumn="0" w:noHBand="0" w:noVBand="1"/>
    </w:tblPr>
    <w:tblGrid>
      <w:gridCol w:w="8263"/>
    </w:tblGrid>
    <w:tr w:rsidR="00873FCD" w:rsidRPr="00355DD7" w14:paraId="0A9A7BF5" w14:textId="77777777" w:rsidTr="00873FCD">
      <w:trPr>
        <w:trHeight w:val="264"/>
      </w:trPr>
      <w:tc>
        <w:tcPr>
          <w:tcW w:w="0" w:type="auto"/>
          <w:shd w:val="clear" w:color="auto" w:fill="FFFFFF"/>
          <w:vAlign w:val="center"/>
          <w:hideMark/>
        </w:tcPr>
        <w:p w14:paraId="5A29A48C" w14:textId="77777777" w:rsidR="003C51BC" w:rsidRPr="00355DD7" w:rsidRDefault="00BC0997"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Tribunal Electoral del Estado de Aguascalientes</w:t>
          </w:r>
        </w:p>
      </w:tc>
    </w:tr>
    <w:tr w:rsidR="00873FCD" w:rsidRPr="00355DD7" w14:paraId="799A3650" w14:textId="77777777" w:rsidTr="00873FCD">
      <w:trPr>
        <w:trHeight w:val="280"/>
      </w:trPr>
      <w:tc>
        <w:tcPr>
          <w:tcW w:w="0" w:type="auto"/>
          <w:shd w:val="clear" w:color="auto" w:fill="FFFFFF"/>
          <w:vAlign w:val="center"/>
          <w:hideMark/>
        </w:tcPr>
        <w:p w14:paraId="63922B76" w14:textId="77777777" w:rsidR="003C51BC" w:rsidRPr="00355DD7" w:rsidRDefault="00BC0997"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p>
      </w:tc>
    </w:tr>
    <w:tr w:rsidR="00873FCD" w:rsidRPr="00355DD7" w14:paraId="47DC03BE" w14:textId="77777777" w:rsidTr="00873FCD">
      <w:trPr>
        <w:trHeight w:val="264"/>
      </w:trPr>
      <w:tc>
        <w:tcPr>
          <w:tcW w:w="0" w:type="auto"/>
          <w:shd w:val="clear" w:color="auto" w:fill="FFFFFF"/>
          <w:vAlign w:val="center"/>
          <w:hideMark/>
        </w:tcPr>
        <w:p w14:paraId="2C22A335" w14:textId="77777777" w:rsidR="003C51BC" w:rsidRPr="00355DD7" w:rsidRDefault="00BC0997" w:rsidP="00873FCD">
          <w:pPr>
            <w:spacing w:after="0" w:line="240" w:lineRule="auto"/>
            <w:jc w:val="center"/>
            <w:rPr>
              <w:rFonts w:ascii="Arial" w:eastAsia="Times New Roman" w:hAnsi="Arial" w:cs="Arial"/>
              <w:b/>
              <w:bCs/>
              <w:szCs w:val="20"/>
              <w:lang w:eastAsia="es-MX"/>
            </w:rPr>
          </w:pPr>
          <w:r w:rsidRPr="00355DD7">
            <w:rPr>
              <w:rFonts w:ascii="Arial" w:eastAsia="Times New Roman" w:hAnsi="Arial" w:cs="Arial"/>
              <w:b/>
              <w:bCs/>
              <w:szCs w:val="20"/>
              <w:lang w:eastAsia="es-MX"/>
            </w:rPr>
            <w:t>Secretaría General de Acuerdos</w:t>
          </w:r>
        </w:p>
      </w:tc>
    </w:tr>
    <w:tr w:rsidR="00873FCD" w:rsidRPr="00355DD7" w14:paraId="31130350" w14:textId="77777777" w:rsidTr="00873FCD">
      <w:trPr>
        <w:trHeight w:val="295"/>
      </w:trPr>
      <w:tc>
        <w:tcPr>
          <w:tcW w:w="0" w:type="auto"/>
          <w:shd w:val="clear" w:color="auto" w:fill="FFFFFF"/>
          <w:vAlign w:val="center"/>
          <w:hideMark/>
        </w:tcPr>
        <w:p w14:paraId="5E88618B" w14:textId="49A26EA7" w:rsidR="003C51BC" w:rsidRPr="00355DD7" w:rsidRDefault="003E5E52" w:rsidP="00873FCD">
          <w:pPr>
            <w:spacing w:after="0" w:line="240" w:lineRule="auto"/>
            <w:rPr>
              <w:rFonts w:ascii="Trebuchet MS" w:eastAsia="Times New Roman" w:hAnsi="Trebuchet MS" w:cs="Times New Roman"/>
              <w:szCs w:val="20"/>
              <w:lang w:eastAsia="es-MX"/>
            </w:rPr>
          </w:pPr>
          <w:r w:rsidRPr="00355DD7">
            <w:rPr>
              <w:rFonts w:ascii="Trebuchet MS" w:eastAsia="Times New Roman" w:hAnsi="Trebuchet MS" w:cs="Times New Roman"/>
              <w:szCs w:val="20"/>
              <w:lang w:eastAsia="es-MX"/>
            </w:rPr>
            <w:t> </w:t>
          </w:r>
          <w:r w:rsidR="00536844" w:rsidRPr="00355DD7">
            <w:rPr>
              <w:rFonts w:ascii="Trebuchet MS" w:eastAsia="Times New Roman" w:hAnsi="Trebuchet MS" w:cs="Times New Roman"/>
              <w:szCs w:val="20"/>
              <w:lang w:eastAsia="es-MX"/>
            </w:rPr>
            <w:t xml:space="preserve"> </w:t>
          </w:r>
        </w:p>
      </w:tc>
    </w:tr>
    <w:tr w:rsidR="00873FCD" w:rsidRPr="00355DD7" w14:paraId="709C2E68" w14:textId="77777777" w:rsidTr="00873FCD">
      <w:trPr>
        <w:trHeight w:val="264"/>
      </w:trPr>
      <w:tc>
        <w:tcPr>
          <w:tcW w:w="0" w:type="auto"/>
          <w:shd w:val="clear" w:color="auto" w:fill="FFFFFF"/>
          <w:vAlign w:val="center"/>
          <w:hideMark/>
        </w:tcPr>
        <w:p w14:paraId="4172EA88" w14:textId="6A6C6DF4" w:rsidR="003C51BC" w:rsidRPr="00355DD7" w:rsidRDefault="001964E3" w:rsidP="00873FCD">
          <w:pPr>
            <w:spacing w:after="0" w:line="240" w:lineRule="auto"/>
            <w:jc w:val="center"/>
            <w:rPr>
              <w:rFonts w:ascii="Arial" w:eastAsia="Times New Roman" w:hAnsi="Arial" w:cs="Arial"/>
              <w:b/>
              <w:bCs/>
              <w:szCs w:val="20"/>
              <w:lang w:eastAsia="es-MX"/>
            </w:rPr>
          </w:pPr>
          <w:r>
            <w:rPr>
              <w:rFonts w:ascii="Arial" w:eastAsia="Times New Roman" w:hAnsi="Arial" w:cs="Arial"/>
              <w:b/>
              <w:bCs/>
              <w:szCs w:val="20"/>
              <w:lang w:eastAsia="es-MX"/>
            </w:rPr>
            <w:t xml:space="preserve">Segunda </w:t>
          </w:r>
          <w:r w:rsidR="002E3AFE" w:rsidRPr="00355DD7">
            <w:rPr>
              <w:rFonts w:ascii="Arial" w:eastAsia="Times New Roman" w:hAnsi="Arial" w:cs="Arial"/>
              <w:b/>
              <w:bCs/>
              <w:szCs w:val="20"/>
              <w:lang w:eastAsia="es-MX"/>
            </w:rPr>
            <w:t>sesión</w:t>
          </w:r>
          <w:r w:rsidR="007E07BC" w:rsidRPr="00355DD7">
            <w:rPr>
              <w:rFonts w:ascii="Arial" w:eastAsia="Times New Roman" w:hAnsi="Arial" w:cs="Arial"/>
              <w:b/>
              <w:bCs/>
              <w:szCs w:val="20"/>
              <w:lang w:eastAsia="es-MX"/>
            </w:rPr>
            <w:t xml:space="preserve"> </w:t>
          </w:r>
          <w:r w:rsidR="00AE2092" w:rsidRPr="00355DD7">
            <w:rPr>
              <w:rFonts w:ascii="Arial" w:eastAsia="Times New Roman" w:hAnsi="Arial" w:cs="Arial"/>
              <w:b/>
              <w:bCs/>
              <w:szCs w:val="20"/>
              <w:lang w:eastAsia="es-MX"/>
            </w:rPr>
            <w:t xml:space="preserve">pública de resolución </w:t>
          </w:r>
          <w:r w:rsidR="00BC0997" w:rsidRPr="00355DD7">
            <w:rPr>
              <w:rFonts w:ascii="Arial" w:eastAsia="Times New Roman" w:hAnsi="Arial" w:cs="Arial"/>
              <w:b/>
              <w:bCs/>
              <w:szCs w:val="20"/>
              <w:lang w:eastAsia="es-MX"/>
            </w:rPr>
            <w:t>del</w:t>
          </w:r>
          <w:bookmarkStart w:id="2" w:name="_Hlk6308296"/>
          <w:r w:rsidR="002E3AFE">
            <w:rPr>
              <w:rFonts w:ascii="Arial" w:eastAsia="Times New Roman" w:hAnsi="Arial" w:cs="Arial"/>
              <w:b/>
              <w:bCs/>
              <w:szCs w:val="20"/>
              <w:lang w:eastAsia="es-MX"/>
            </w:rPr>
            <w:t xml:space="preserve"> </w:t>
          </w:r>
          <w:r w:rsidR="00B92FC8">
            <w:rPr>
              <w:rFonts w:ascii="Arial" w:eastAsia="Times New Roman" w:hAnsi="Arial" w:cs="Arial"/>
              <w:b/>
              <w:bCs/>
              <w:szCs w:val="20"/>
              <w:lang w:eastAsia="es-MX"/>
            </w:rPr>
            <w:t xml:space="preserve">día </w:t>
          </w:r>
          <w:r>
            <w:rPr>
              <w:rFonts w:ascii="Arial" w:eastAsia="Times New Roman" w:hAnsi="Arial" w:cs="Arial"/>
              <w:b/>
              <w:bCs/>
              <w:szCs w:val="20"/>
              <w:lang w:eastAsia="es-MX"/>
            </w:rPr>
            <w:t>once</w:t>
          </w:r>
          <w:r w:rsidR="002B64DE">
            <w:rPr>
              <w:rFonts w:ascii="Arial" w:eastAsia="Times New Roman" w:hAnsi="Arial" w:cs="Arial"/>
              <w:b/>
              <w:bCs/>
              <w:szCs w:val="20"/>
              <w:lang w:eastAsia="es-MX"/>
            </w:rPr>
            <w:t xml:space="preserve"> </w:t>
          </w:r>
          <w:r w:rsidR="007F21BC">
            <w:rPr>
              <w:rFonts w:ascii="Arial" w:eastAsia="Times New Roman" w:hAnsi="Arial" w:cs="Arial"/>
              <w:b/>
              <w:bCs/>
              <w:szCs w:val="20"/>
              <w:lang w:eastAsia="es-MX"/>
            </w:rPr>
            <w:t xml:space="preserve">de </w:t>
          </w:r>
          <w:r w:rsidR="00B92FC8">
            <w:rPr>
              <w:rFonts w:ascii="Arial" w:eastAsia="Times New Roman" w:hAnsi="Arial" w:cs="Arial"/>
              <w:b/>
              <w:bCs/>
              <w:szCs w:val="20"/>
              <w:lang w:eastAsia="es-MX"/>
            </w:rPr>
            <w:t>e</w:t>
          </w:r>
          <w:r w:rsidR="001754BF">
            <w:rPr>
              <w:rFonts w:ascii="Arial" w:eastAsia="Times New Roman" w:hAnsi="Arial" w:cs="Arial"/>
              <w:b/>
              <w:bCs/>
              <w:szCs w:val="20"/>
              <w:lang w:eastAsia="es-MX"/>
            </w:rPr>
            <w:t>nero</w:t>
          </w:r>
          <w:r w:rsidR="00F44D9E">
            <w:rPr>
              <w:rFonts w:ascii="Arial" w:eastAsia="Times New Roman" w:hAnsi="Arial" w:cs="Arial"/>
              <w:b/>
              <w:bCs/>
              <w:szCs w:val="20"/>
              <w:lang w:eastAsia="es-MX"/>
            </w:rPr>
            <w:t xml:space="preserve"> </w:t>
          </w:r>
          <w:r w:rsidR="00D8125D" w:rsidRPr="00355DD7">
            <w:rPr>
              <w:rFonts w:ascii="Arial" w:eastAsia="Times New Roman" w:hAnsi="Arial" w:cs="Arial"/>
              <w:b/>
              <w:bCs/>
              <w:szCs w:val="20"/>
              <w:lang w:eastAsia="es-MX"/>
            </w:rPr>
            <w:t>de dos mil veint</w:t>
          </w:r>
          <w:r w:rsidR="00AE2092">
            <w:rPr>
              <w:rFonts w:ascii="Arial" w:eastAsia="Times New Roman" w:hAnsi="Arial" w:cs="Arial"/>
              <w:b/>
              <w:bCs/>
              <w:szCs w:val="20"/>
              <w:lang w:eastAsia="es-MX"/>
            </w:rPr>
            <w:t>i</w:t>
          </w:r>
          <w:r w:rsidR="001754BF">
            <w:rPr>
              <w:rFonts w:ascii="Arial" w:eastAsia="Times New Roman" w:hAnsi="Arial" w:cs="Arial"/>
              <w:b/>
              <w:bCs/>
              <w:szCs w:val="20"/>
              <w:lang w:eastAsia="es-MX"/>
            </w:rPr>
            <w:t>cuatro</w:t>
          </w:r>
          <w:r w:rsidR="00700C74" w:rsidRPr="00355DD7">
            <w:rPr>
              <w:rFonts w:ascii="Arial" w:eastAsia="Times New Roman" w:hAnsi="Arial" w:cs="Arial"/>
              <w:b/>
              <w:bCs/>
              <w:szCs w:val="20"/>
              <w:lang w:eastAsia="es-MX"/>
            </w:rPr>
            <w:t>.</w:t>
          </w:r>
          <w:bookmarkEnd w:id="2"/>
        </w:p>
      </w:tc>
    </w:tr>
  </w:tbl>
  <w:p w14:paraId="32AD452B" w14:textId="77777777" w:rsidR="003C51BC" w:rsidRPr="00A46BD3" w:rsidRDefault="003C51BC" w:rsidP="00873FCD">
    <w:pPr>
      <w:pStyle w:val="Encabezado"/>
      <w:ind w:left="1418"/>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8E7"/>
    <w:rsid w:val="00030230"/>
    <w:rsid w:val="00030C10"/>
    <w:rsid w:val="000407F9"/>
    <w:rsid w:val="00045132"/>
    <w:rsid w:val="00047591"/>
    <w:rsid w:val="0006219B"/>
    <w:rsid w:val="00064611"/>
    <w:rsid w:val="00066958"/>
    <w:rsid w:val="00080A66"/>
    <w:rsid w:val="00080C5E"/>
    <w:rsid w:val="000A26B8"/>
    <w:rsid w:val="000A27DE"/>
    <w:rsid w:val="000A6B96"/>
    <w:rsid w:val="000A6C3D"/>
    <w:rsid w:val="000B202A"/>
    <w:rsid w:val="000C7D66"/>
    <w:rsid w:val="000D3874"/>
    <w:rsid w:val="000E3D2C"/>
    <w:rsid w:val="000F6738"/>
    <w:rsid w:val="00100C55"/>
    <w:rsid w:val="00105E73"/>
    <w:rsid w:val="001127E8"/>
    <w:rsid w:val="00114BDC"/>
    <w:rsid w:val="00120073"/>
    <w:rsid w:val="00120C8C"/>
    <w:rsid w:val="001301FB"/>
    <w:rsid w:val="00130CD6"/>
    <w:rsid w:val="00135712"/>
    <w:rsid w:val="00144BEA"/>
    <w:rsid w:val="00174D17"/>
    <w:rsid w:val="001754BF"/>
    <w:rsid w:val="001762EF"/>
    <w:rsid w:val="001964E3"/>
    <w:rsid w:val="001A59A3"/>
    <w:rsid w:val="001B0004"/>
    <w:rsid w:val="001B1B69"/>
    <w:rsid w:val="001C0A36"/>
    <w:rsid w:val="001C3BEA"/>
    <w:rsid w:val="001C6B9A"/>
    <w:rsid w:val="001D10F4"/>
    <w:rsid w:val="001D3920"/>
    <w:rsid w:val="001E1341"/>
    <w:rsid w:val="001E3CE9"/>
    <w:rsid w:val="001E57C9"/>
    <w:rsid w:val="001F24AB"/>
    <w:rsid w:val="001F7ECF"/>
    <w:rsid w:val="00206D7B"/>
    <w:rsid w:val="00210C3C"/>
    <w:rsid w:val="002119DD"/>
    <w:rsid w:val="00221D79"/>
    <w:rsid w:val="00225B4A"/>
    <w:rsid w:val="00225E51"/>
    <w:rsid w:val="0023491A"/>
    <w:rsid w:val="00244201"/>
    <w:rsid w:val="00244BF7"/>
    <w:rsid w:val="00250701"/>
    <w:rsid w:val="0025210C"/>
    <w:rsid w:val="00252ECE"/>
    <w:rsid w:val="00257B71"/>
    <w:rsid w:val="00260347"/>
    <w:rsid w:val="00264368"/>
    <w:rsid w:val="00290696"/>
    <w:rsid w:val="002B091A"/>
    <w:rsid w:val="002B0D5A"/>
    <w:rsid w:val="002B64DE"/>
    <w:rsid w:val="002D7364"/>
    <w:rsid w:val="002E2AFF"/>
    <w:rsid w:val="002E3AFE"/>
    <w:rsid w:val="002F428B"/>
    <w:rsid w:val="003028E7"/>
    <w:rsid w:val="00312622"/>
    <w:rsid w:val="0032164F"/>
    <w:rsid w:val="00321F17"/>
    <w:rsid w:val="003240FF"/>
    <w:rsid w:val="00330BE0"/>
    <w:rsid w:val="0033174E"/>
    <w:rsid w:val="00341613"/>
    <w:rsid w:val="00347B0B"/>
    <w:rsid w:val="003504E5"/>
    <w:rsid w:val="00351ADA"/>
    <w:rsid w:val="00355DD7"/>
    <w:rsid w:val="00366F96"/>
    <w:rsid w:val="00367D8C"/>
    <w:rsid w:val="0037092C"/>
    <w:rsid w:val="00385B49"/>
    <w:rsid w:val="00390823"/>
    <w:rsid w:val="00392972"/>
    <w:rsid w:val="0039746C"/>
    <w:rsid w:val="003A6B27"/>
    <w:rsid w:val="003C29F3"/>
    <w:rsid w:val="003C51BC"/>
    <w:rsid w:val="003C5F62"/>
    <w:rsid w:val="003D34D2"/>
    <w:rsid w:val="003E0BB3"/>
    <w:rsid w:val="003E18FF"/>
    <w:rsid w:val="003E5E52"/>
    <w:rsid w:val="003E78C3"/>
    <w:rsid w:val="003F22E8"/>
    <w:rsid w:val="003F5A46"/>
    <w:rsid w:val="003F74B8"/>
    <w:rsid w:val="003F78FB"/>
    <w:rsid w:val="00401BBB"/>
    <w:rsid w:val="00402231"/>
    <w:rsid w:val="004057C9"/>
    <w:rsid w:val="00420EBA"/>
    <w:rsid w:val="0042155E"/>
    <w:rsid w:val="00422DD6"/>
    <w:rsid w:val="004246FF"/>
    <w:rsid w:val="0044493E"/>
    <w:rsid w:val="00457FD7"/>
    <w:rsid w:val="00464950"/>
    <w:rsid w:val="0046593C"/>
    <w:rsid w:val="004734E7"/>
    <w:rsid w:val="004808BD"/>
    <w:rsid w:val="00483944"/>
    <w:rsid w:val="00496342"/>
    <w:rsid w:val="0049777D"/>
    <w:rsid w:val="004A1479"/>
    <w:rsid w:val="004A3B0D"/>
    <w:rsid w:val="004A7A54"/>
    <w:rsid w:val="004B4783"/>
    <w:rsid w:val="004C09F5"/>
    <w:rsid w:val="004F14EE"/>
    <w:rsid w:val="004F2946"/>
    <w:rsid w:val="005007B4"/>
    <w:rsid w:val="00500E8A"/>
    <w:rsid w:val="005029BA"/>
    <w:rsid w:val="00503E5A"/>
    <w:rsid w:val="00506267"/>
    <w:rsid w:val="00506C9A"/>
    <w:rsid w:val="00510301"/>
    <w:rsid w:val="005133B9"/>
    <w:rsid w:val="00521F02"/>
    <w:rsid w:val="005259BF"/>
    <w:rsid w:val="00525A1D"/>
    <w:rsid w:val="00530A59"/>
    <w:rsid w:val="00533C08"/>
    <w:rsid w:val="00536844"/>
    <w:rsid w:val="005458C2"/>
    <w:rsid w:val="00545BA8"/>
    <w:rsid w:val="0055456D"/>
    <w:rsid w:val="00555D6B"/>
    <w:rsid w:val="005620BB"/>
    <w:rsid w:val="00572104"/>
    <w:rsid w:val="00572F68"/>
    <w:rsid w:val="00574BCE"/>
    <w:rsid w:val="00576B38"/>
    <w:rsid w:val="00580BFD"/>
    <w:rsid w:val="00591758"/>
    <w:rsid w:val="005A03F7"/>
    <w:rsid w:val="005A3315"/>
    <w:rsid w:val="005A6213"/>
    <w:rsid w:val="005C1998"/>
    <w:rsid w:val="005C2039"/>
    <w:rsid w:val="005C56E8"/>
    <w:rsid w:val="005D179A"/>
    <w:rsid w:val="005D1D32"/>
    <w:rsid w:val="005D20E9"/>
    <w:rsid w:val="005E0D46"/>
    <w:rsid w:val="005E2455"/>
    <w:rsid w:val="005F3A62"/>
    <w:rsid w:val="00600CEA"/>
    <w:rsid w:val="0060158D"/>
    <w:rsid w:val="00644C00"/>
    <w:rsid w:val="00651B29"/>
    <w:rsid w:val="00652A34"/>
    <w:rsid w:val="00657439"/>
    <w:rsid w:val="00657C20"/>
    <w:rsid w:val="00673804"/>
    <w:rsid w:val="00692B1C"/>
    <w:rsid w:val="00694FF9"/>
    <w:rsid w:val="006A2C48"/>
    <w:rsid w:val="006A7A1F"/>
    <w:rsid w:val="006B38F2"/>
    <w:rsid w:val="006B5572"/>
    <w:rsid w:val="006C2655"/>
    <w:rsid w:val="006C4872"/>
    <w:rsid w:val="006C6180"/>
    <w:rsid w:val="006D34E2"/>
    <w:rsid w:val="006E063B"/>
    <w:rsid w:val="006E29E3"/>
    <w:rsid w:val="006E3AFA"/>
    <w:rsid w:val="006F18B2"/>
    <w:rsid w:val="006F1916"/>
    <w:rsid w:val="006F6001"/>
    <w:rsid w:val="006F6F12"/>
    <w:rsid w:val="0070086A"/>
    <w:rsid w:val="00700C74"/>
    <w:rsid w:val="00702669"/>
    <w:rsid w:val="00706B17"/>
    <w:rsid w:val="00716714"/>
    <w:rsid w:val="00716FA9"/>
    <w:rsid w:val="007204A7"/>
    <w:rsid w:val="0073599D"/>
    <w:rsid w:val="00737DD2"/>
    <w:rsid w:val="00740026"/>
    <w:rsid w:val="007403A4"/>
    <w:rsid w:val="00743AE0"/>
    <w:rsid w:val="00745416"/>
    <w:rsid w:val="00747B3C"/>
    <w:rsid w:val="0076545D"/>
    <w:rsid w:val="00771377"/>
    <w:rsid w:val="007739AF"/>
    <w:rsid w:val="00776EF0"/>
    <w:rsid w:val="0078018A"/>
    <w:rsid w:val="00780CC1"/>
    <w:rsid w:val="00785044"/>
    <w:rsid w:val="00790A31"/>
    <w:rsid w:val="00793F14"/>
    <w:rsid w:val="007A0B77"/>
    <w:rsid w:val="007B272E"/>
    <w:rsid w:val="007B670C"/>
    <w:rsid w:val="007C76AC"/>
    <w:rsid w:val="007D11D2"/>
    <w:rsid w:val="007D3DCD"/>
    <w:rsid w:val="007E07BC"/>
    <w:rsid w:val="007E342A"/>
    <w:rsid w:val="007F21BC"/>
    <w:rsid w:val="00801979"/>
    <w:rsid w:val="0080381D"/>
    <w:rsid w:val="008100D6"/>
    <w:rsid w:val="008211C5"/>
    <w:rsid w:val="0082138F"/>
    <w:rsid w:val="00822742"/>
    <w:rsid w:val="00827AD4"/>
    <w:rsid w:val="00840585"/>
    <w:rsid w:val="00841459"/>
    <w:rsid w:val="0085700F"/>
    <w:rsid w:val="00862DDC"/>
    <w:rsid w:val="00872049"/>
    <w:rsid w:val="00880AA0"/>
    <w:rsid w:val="00887D5E"/>
    <w:rsid w:val="00895B50"/>
    <w:rsid w:val="00895F66"/>
    <w:rsid w:val="008A281A"/>
    <w:rsid w:val="008A2890"/>
    <w:rsid w:val="008A684E"/>
    <w:rsid w:val="008B1B2D"/>
    <w:rsid w:val="008B52F2"/>
    <w:rsid w:val="008C756F"/>
    <w:rsid w:val="008D2CF0"/>
    <w:rsid w:val="008D30BB"/>
    <w:rsid w:val="008D77CB"/>
    <w:rsid w:val="008F003C"/>
    <w:rsid w:val="00900E39"/>
    <w:rsid w:val="00901758"/>
    <w:rsid w:val="00914CE6"/>
    <w:rsid w:val="00927879"/>
    <w:rsid w:val="00927CC0"/>
    <w:rsid w:val="00930B65"/>
    <w:rsid w:val="00932911"/>
    <w:rsid w:val="009342F4"/>
    <w:rsid w:val="0093766D"/>
    <w:rsid w:val="00942189"/>
    <w:rsid w:val="00965846"/>
    <w:rsid w:val="009665EF"/>
    <w:rsid w:val="0097767E"/>
    <w:rsid w:val="009818AC"/>
    <w:rsid w:val="00981F7E"/>
    <w:rsid w:val="0099178C"/>
    <w:rsid w:val="009A34F7"/>
    <w:rsid w:val="009A740E"/>
    <w:rsid w:val="009B0DC7"/>
    <w:rsid w:val="009B2310"/>
    <w:rsid w:val="009C026B"/>
    <w:rsid w:val="009C0B12"/>
    <w:rsid w:val="009C2D7D"/>
    <w:rsid w:val="009C6951"/>
    <w:rsid w:val="009E73E9"/>
    <w:rsid w:val="009F54F2"/>
    <w:rsid w:val="00A05AD9"/>
    <w:rsid w:val="00A206E2"/>
    <w:rsid w:val="00A30001"/>
    <w:rsid w:val="00A34CED"/>
    <w:rsid w:val="00A35D71"/>
    <w:rsid w:val="00A46A05"/>
    <w:rsid w:val="00A52905"/>
    <w:rsid w:val="00A62328"/>
    <w:rsid w:val="00A632C3"/>
    <w:rsid w:val="00A72713"/>
    <w:rsid w:val="00A72ABD"/>
    <w:rsid w:val="00A81AEC"/>
    <w:rsid w:val="00A92FAE"/>
    <w:rsid w:val="00A9642E"/>
    <w:rsid w:val="00A97965"/>
    <w:rsid w:val="00AA7A6F"/>
    <w:rsid w:val="00AB0399"/>
    <w:rsid w:val="00AB7445"/>
    <w:rsid w:val="00AB765B"/>
    <w:rsid w:val="00AC1415"/>
    <w:rsid w:val="00AD08C9"/>
    <w:rsid w:val="00AD207C"/>
    <w:rsid w:val="00AE1C32"/>
    <w:rsid w:val="00AE2092"/>
    <w:rsid w:val="00AF1D2C"/>
    <w:rsid w:val="00AF24C3"/>
    <w:rsid w:val="00AF3D55"/>
    <w:rsid w:val="00B00251"/>
    <w:rsid w:val="00B01A07"/>
    <w:rsid w:val="00B02E1A"/>
    <w:rsid w:val="00B12681"/>
    <w:rsid w:val="00B13AFE"/>
    <w:rsid w:val="00B16C95"/>
    <w:rsid w:val="00B201F1"/>
    <w:rsid w:val="00B254B7"/>
    <w:rsid w:val="00B417C3"/>
    <w:rsid w:val="00B4337E"/>
    <w:rsid w:val="00B474AD"/>
    <w:rsid w:val="00B535E3"/>
    <w:rsid w:val="00B63EB0"/>
    <w:rsid w:val="00B641BA"/>
    <w:rsid w:val="00B641C3"/>
    <w:rsid w:val="00B748E1"/>
    <w:rsid w:val="00B84637"/>
    <w:rsid w:val="00B92FC8"/>
    <w:rsid w:val="00B940DF"/>
    <w:rsid w:val="00BA0158"/>
    <w:rsid w:val="00BA440F"/>
    <w:rsid w:val="00BA4584"/>
    <w:rsid w:val="00BC0779"/>
    <w:rsid w:val="00BC0997"/>
    <w:rsid w:val="00BE0007"/>
    <w:rsid w:val="00BE5AB1"/>
    <w:rsid w:val="00BE5ED0"/>
    <w:rsid w:val="00BE5F33"/>
    <w:rsid w:val="00BE7677"/>
    <w:rsid w:val="00C260E8"/>
    <w:rsid w:val="00C26D07"/>
    <w:rsid w:val="00C32336"/>
    <w:rsid w:val="00C36B5E"/>
    <w:rsid w:val="00C54E0F"/>
    <w:rsid w:val="00C61E42"/>
    <w:rsid w:val="00C66FC6"/>
    <w:rsid w:val="00C67BF9"/>
    <w:rsid w:val="00C72509"/>
    <w:rsid w:val="00C7438C"/>
    <w:rsid w:val="00C81F61"/>
    <w:rsid w:val="00C84078"/>
    <w:rsid w:val="00C9380D"/>
    <w:rsid w:val="00CA3048"/>
    <w:rsid w:val="00CA48D1"/>
    <w:rsid w:val="00CA5FEA"/>
    <w:rsid w:val="00CB08CD"/>
    <w:rsid w:val="00CB3D04"/>
    <w:rsid w:val="00CB6D84"/>
    <w:rsid w:val="00CC60FD"/>
    <w:rsid w:val="00CD549F"/>
    <w:rsid w:val="00CD5AC6"/>
    <w:rsid w:val="00CD71A8"/>
    <w:rsid w:val="00CF26DE"/>
    <w:rsid w:val="00D0197B"/>
    <w:rsid w:val="00D04C55"/>
    <w:rsid w:val="00D149CE"/>
    <w:rsid w:val="00D201A1"/>
    <w:rsid w:val="00D30E8C"/>
    <w:rsid w:val="00D35B67"/>
    <w:rsid w:val="00D40581"/>
    <w:rsid w:val="00D43B99"/>
    <w:rsid w:val="00D45E95"/>
    <w:rsid w:val="00D649A2"/>
    <w:rsid w:val="00D65AA0"/>
    <w:rsid w:val="00D65ED1"/>
    <w:rsid w:val="00D7018A"/>
    <w:rsid w:val="00D8125D"/>
    <w:rsid w:val="00D836F5"/>
    <w:rsid w:val="00DA3C5D"/>
    <w:rsid w:val="00DA6174"/>
    <w:rsid w:val="00DA6D0F"/>
    <w:rsid w:val="00DB55A1"/>
    <w:rsid w:val="00DD1A88"/>
    <w:rsid w:val="00DD2211"/>
    <w:rsid w:val="00DD7FB7"/>
    <w:rsid w:val="00DE32FA"/>
    <w:rsid w:val="00DF6136"/>
    <w:rsid w:val="00E33833"/>
    <w:rsid w:val="00E33A76"/>
    <w:rsid w:val="00E34636"/>
    <w:rsid w:val="00E43442"/>
    <w:rsid w:val="00E434C5"/>
    <w:rsid w:val="00E440AC"/>
    <w:rsid w:val="00E44C2C"/>
    <w:rsid w:val="00E44DC5"/>
    <w:rsid w:val="00E50CCA"/>
    <w:rsid w:val="00E51C94"/>
    <w:rsid w:val="00E52162"/>
    <w:rsid w:val="00E52E1C"/>
    <w:rsid w:val="00E53842"/>
    <w:rsid w:val="00E55621"/>
    <w:rsid w:val="00E60646"/>
    <w:rsid w:val="00E61B31"/>
    <w:rsid w:val="00E94834"/>
    <w:rsid w:val="00E9644B"/>
    <w:rsid w:val="00EA311E"/>
    <w:rsid w:val="00EA6D7C"/>
    <w:rsid w:val="00EB26AC"/>
    <w:rsid w:val="00EB3014"/>
    <w:rsid w:val="00EB404E"/>
    <w:rsid w:val="00EC1D66"/>
    <w:rsid w:val="00ED2B92"/>
    <w:rsid w:val="00EE7A44"/>
    <w:rsid w:val="00F0229D"/>
    <w:rsid w:val="00F11D0E"/>
    <w:rsid w:val="00F13CAF"/>
    <w:rsid w:val="00F2745B"/>
    <w:rsid w:val="00F30258"/>
    <w:rsid w:val="00F34DE9"/>
    <w:rsid w:val="00F42D6A"/>
    <w:rsid w:val="00F44D9E"/>
    <w:rsid w:val="00F453B1"/>
    <w:rsid w:val="00F45A2F"/>
    <w:rsid w:val="00F46D83"/>
    <w:rsid w:val="00F46EA3"/>
    <w:rsid w:val="00F47D67"/>
    <w:rsid w:val="00F5341D"/>
    <w:rsid w:val="00F60550"/>
    <w:rsid w:val="00F62843"/>
    <w:rsid w:val="00F721F4"/>
    <w:rsid w:val="00F74E13"/>
    <w:rsid w:val="00F8026A"/>
    <w:rsid w:val="00F812F5"/>
    <w:rsid w:val="00F826F2"/>
    <w:rsid w:val="00F905AA"/>
    <w:rsid w:val="00FB4D5D"/>
    <w:rsid w:val="00FB7903"/>
    <w:rsid w:val="00FD4F08"/>
    <w:rsid w:val="00FD7B82"/>
    <w:rsid w:val="00FD7C40"/>
    <w:rsid w:val="00FD7E91"/>
    <w:rsid w:val="00FE0775"/>
    <w:rsid w:val="00FF51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243C7"/>
  <w15:docId w15:val="{AD69FD5C-2A44-4D01-82C2-8500151EE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99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028E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028E7"/>
  </w:style>
  <w:style w:type="table" w:styleId="Tablaconcuadrcula">
    <w:name w:val="Table Grid"/>
    <w:basedOn w:val="Tablanormal"/>
    <w:uiPriority w:val="39"/>
    <w:rsid w:val="00302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3028E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028E7"/>
  </w:style>
  <w:style w:type="paragraph" w:styleId="Textodeglobo">
    <w:name w:val="Balloon Text"/>
    <w:basedOn w:val="Normal"/>
    <w:link w:val="TextodegloboCar"/>
    <w:uiPriority w:val="99"/>
    <w:semiHidden/>
    <w:unhideWhenUsed/>
    <w:rsid w:val="00B0025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02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587">
      <w:bodyDiv w:val="1"/>
      <w:marLeft w:val="0"/>
      <w:marRight w:val="0"/>
      <w:marTop w:val="0"/>
      <w:marBottom w:val="0"/>
      <w:divBdr>
        <w:top w:val="none" w:sz="0" w:space="0" w:color="auto"/>
        <w:left w:val="none" w:sz="0" w:space="0" w:color="auto"/>
        <w:bottom w:val="none" w:sz="0" w:space="0" w:color="auto"/>
        <w:right w:val="none" w:sz="0" w:space="0" w:color="auto"/>
      </w:divBdr>
    </w:div>
    <w:div w:id="104203163">
      <w:bodyDiv w:val="1"/>
      <w:marLeft w:val="0"/>
      <w:marRight w:val="0"/>
      <w:marTop w:val="0"/>
      <w:marBottom w:val="0"/>
      <w:divBdr>
        <w:top w:val="none" w:sz="0" w:space="0" w:color="auto"/>
        <w:left w:val="none" w:sz="0" w:space="0" w:color="auto"/>
        <w:bottom w:val="none" w:sz="0" w:space="0" w:color="auto"/>
        <w:right w:val="none" w:sz="0" w:space="0" w:color="auto"/>
      </w:divBdr>
    </w:div>
    <w:div w:id="395202671">
      <w:bodyDiv w:val="1"/>
      <w:marLeft w:val="0"/>
      <w:marRight w:val="0"/>
      <w:marTop w:val="0"/>
      <w:marBottom w:val="0"/>
      <w:divBdr>
        <w:top w:val="none" w:sz="0" w:space="0" w:color="auto"/>
        <w:left w:val="none" w:sz="0" w:space="0" w:color="auto"/>
        <w:bottom w:val="none" w:sz="0" w:space="0" w:color="auto"/>
        <w:right w:val="none" w:sz="0" w:space="0" w:color="auto"/>
      </w:divBdr>
    </w:div>
    <w:div w:id="633675177">
      <w:bodyDiv w:val="1"/>
      <w:marLeft w:val="0"/>
      <w:marRight w:val="0"/>
      <w:marTop w:val="0"/>
      <w:marBottom w:val="0"/>
      <w:divBdr>
        <w:top w:val="none" w:sz="0" w:space="0" w:color="auto"/>
        <w:left w:val="none" w:sz="0" w:space="0" w:color="auto"/>
        <w:bottom w:val="none" w:sz="0" w:space="0" w:color="auto"/>
        <w:right w:val="none" w:sz="0" w:space="0" w:color="auto"/>
      </w:divBdr>
    </w:div>
    <w:div w:id="649598729">
      <w:bodyDiv w:val="1"/>
      <w:marLeft w:val="0"/>
      <w:marRight w:val="0"/>
      <w:marTop w:val="0"/>
      <w:marBottom w:val="0"/>
      <w:divBdr>
        <w:top w:val="none" w:sz="0" w:space="0" w:color="auto"/>
        <w:left w:val="none" w:sz="0" w:space="0" w:color="auto"/>
        <w:bottom w:val="none" w:sz="0" w:space="0" w:color="auto"/>
        <w:right w:val="none" w:sz="0" w:space="0" w:color="auto"/>
      </w:divBdr>
    </w:div>
    <w:div w:id="674693801">
      <w:bodyDiv w:val="1"/>
      <w:marLeft w:val="0"/>
      <w:marRight w:val="0"/>
      <w:marTop w:val="0"/>
      <w:marBottom w:val="0"/>
      <w:divBdr>
        <w:top w:val="none" w:sz="0" w:space="0" w:color="auto"/>
        <w:left w:val="none" w:sz="0" w:space="0" w:color="auto"/>
        <w:bottom w:val="none" w:sz="0" w:space="0" w:color="auto"/>
        <w:right w:val="none" w:sz="0" w:space="0" w:color="auto"/>
      </w:divBdr>
    </w:div>
    <w:div w:id="790174232">
      <w:bodyDiv w:val="1"/>
      <w:marLeft w:val="0"/>
      <w:marRight w:val="0"/>
      <w:marTop w:val="0"/>
      <w:marBottom w:val="0"/>
      <w:divBdr>
        <w:top w:val="none" w:sz="0" w:space="0" w:color="auto"/>
        <w:left w:val="none" w:sz="0" w:space="0" w:color="auto"/>
        <w:bottom w:val="none" w:sz="0" w:space="0" w:color="auto"/>
        <w:right w:val="none" w:sz="0" w:space="0" w:color="auto"/>
      </w:divBdr>
    </w:div>
    <w:div w:id="806780602">
      <w:bodyDiv w:val="1"/>
      <w:marLeft w:val="0"/>
      <w:marRight w:val="0"/>
      <w:marTop w:val="0"/>
      <w:marBottom w:val="0"/>
      <w:divBdr>
        <w:top w:val="none" w:sz="0" w:space="0" w:color="auto"/>
        <w:left w:val="none" w:sz="0" w:space="0" w:color="auto"/>
        <w:bottom w:val="none" w:sz="0" w:space="0" w:color="auto"/>
        <w:right w:val="none" w:sz="0" w:space="0" w:color="auto"/>
      </w:divBdr>
    </w:div>
    <w:div w:id="1526212920">
      <w:bodyDiv w:val="1"/>
      <w:marLeft w:val="0"/>
      <w:marRight w:val="0"/>
      <w:marTop w:val="0"/>
      <w:marBottom w:val="0"/>
      <w:divBdr>
        <w:top w:val="none" w:sz="0" w:space="0" w:color="auto"/>
        <w:left w:val="none" w:sz="0" w:space="0" w:color="auto"/>
        <w:bottom w:val="none" w:sz="0" w:space="0" w:color="auto"/>
        <w:right w:val="none" w:sz="0" w:space="0" w:color="auto"/>
      </w:divBdr>
    </w:div>
    <w:div w:id="1982924401">
      <w:bodyDiv w:val="1"/>
      <w:marLeft w:val="0"/>
      <w:marRight w:val="0"/>
      <w:marTop w:val="0"/>
      <w:marBottom w:val="0"/>
      <w:divBdr>
        <w:top w:val="none" w:sz="0" w:space="0" w:color="auto"/>
        <w:left w:val="none" w:sz="0" w:space="0" w:color="auto"/>
        <w:bottom w:val="none" w:sz="0" w:space="0" w:color="auto"/>
        <w:right w:val="none" w:sz="0" w:space="0" w:color="auto"/>
      </w:divBdr>
    </w:div>
    <w:div w:id="2037732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283</Words>
  <Characters>1562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clara martinez vasques</cp:lastModifiedBy>
  <cp:revision>3</cp:revision>
  <cp:lastPrinted>2024-01-03T18:13:00Z</cp:lastPrinted>
  <dcterms:created xsi:type="dcterms:W3CDTF">2024-01-10T15:16:00Z</dcterms:created>
  <dcterms:modified xsi:type="dcterms:W3CDTF">2024-01-10T15:38:00Z</dcterms:modified>
</cp:coreProperties>
</file>