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A9BF" w14:textId="77777777" w:rsidR="00BC60D9" w:rsidRPr="00942FE7" w:rsidRDefault="00BC60D9" w:rsidP="00BC60D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DD59272" w14:textId="1E378BCD" w:rsidR="00BC60D9" w:rsidRPr="00942FE7" w:rsidRDefault="00BC60D9" w:rsidP="00BC60D9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42FE7">
        <w:rPr>
          <w:rFonts w:ascii="Arial" w:hAnsi="Arial" w:cs="Arial"/>
          <w:sz w:val="18"/>
          <w:szCs w:val="18"/>
        </w:rPr>
        <w:t>Con fundamento en los artículos 106, de la Ley General de Instituciones y Procedimientos Electorales; 17, base B</w:t>
      </w:r>
      <w:r w:rsidR="0050572D" w:rsidRPr="00942FE7">
        <w:rPr>
          <w:rFonts w:ascii="Arial" w:hAnsi="Arial" w:cs="Arial"/>
          <w:sz w:val="18"/>
          <w:szCs w:val="18"/>
        </w:rPr>
        <w:t xml:space="preserve"> párrafo quinceavo,</w:t>
      </w:r>
      <w:r w:rsidRPr="00942FE7">
        <w:rPr>
          <w:rFonts w:ascii="Arial" w:hAnsi="Arial" w:cs="Arial"/>
          <w:sz w:val="18"/>
          <w:szCs w:val="18"/>
        </w:rPr>
        <w:t xml:space="preserve"> 58 Bis, párrafo tercero, fracción primera, de la Constitución Política del Estado de Aguascalientes; 3</w:t>
      </w:r>
      <w:r w:rsidR="0050572D" w:rsidRPr="00942FE7">
        <w:rPr>
          <w:rFonts w:ascii="Arial" w:hAnsi="Arial" w:cs="Arial"/>
          <w:sz w:val="18"/>
          <w:szCs w:val="18"/>
        </w:rPr>
        <w:t>16</w:t>
      </w:r>
      <w:r w:rsidR="00D92EBA" w:rsidRPr="00942FE7">
        <w:rPr>
          <w:rFonts w:ascii="Arial" w:hAnsi="Arial" w:cs="Arial"/>
          <w:sz w:val="18"/>
          <w:szCs w:val="18"/>
        </w:rPr>
        <w:t xml:space="preserve"> y</w:t>
      </w:r>
      <w:r w:rsidR="0050572D" w:rsidRPr="00942FE7">
        <w:rPr>
          <w:rFonts w:ascii="Arial" w:hAnsi="Arial" w:cs="Arial"/>
          <w:sz w:val="18"/>
          <w:szCs w:val="18"/>
        </w:rPr>
        <w:t xml:space="preserve"> </w:t>
      </w:r>
      <w:r w:rsidRPr="00942FE7">
        <w:rPr>
          <w:rFonts w:ascii="Arial" w:hAnsi="Arial" w:cs="Arial"/>
          <w:sz w:val="18"/>
          <w:szCs w:val="18"/>
        </w:rPr>
        <w:t xml:space="preserve">357, fracción I, del Código Electoral del Estado de Aguascalientes; </w:t>
      </w:r>
      <w:r w:rsidR="00D9425D" w:rsidRPr="00942FE7">
        <w:rPr>
          <w:rFonts w:ascii="Arial" w:hAnsi="Arial" w:cs="Arial"/>
          <w:sz w:val="18"/>
          <w:szCs w:val="18"/>
        </w:rPr>
        <w:t xml:space="preserve">18, fracción I,  21 fracción I, inciso a) y 116 del Reglamento Interior del Tribunal Electoral; y, </w:t>
      </w:r>
      <w:r w:rsidR="00D92EBA" w:rsidRPr="00942FE7">
        <w:rPr>
          <w:rFonts w:ascii="Arial" w:hAnsi="Arial" w:cs="Arial"/>
          <w:sz w:val="18"/>
          <w:szCs w:val="18"/>
        </w:rPr>
        <w:t>TERCERO</w:t>
      </w:r>
      <w:r w:rsidR="00D9425D" w:rsidRPr="00942FE7">
        <w:rPr>
          <w:rFonts w:ascii="Arial" w:hAnsi="Arial" w:cs="Arial"/>
          <w:sz w:val="18"/>
          <w:szCs w:val="18"/>
        </w:rPr>
        <w:t xml:space="preserve"> de los Lineamientos de Organización y Desarrollo de las </w:t>
      </w:r>
      <w:r w:rsidR="00F15A09" w:rsidRPr="00942FE7">
        <w:rPr>
          <w:rFonts w:ascii="Arial" w:hAnsi="Arial" w:cs="Arial"/>
          <w:sz w:val="18"/>
          <w:szCs w:val="18"/>
        </w:rPr>
        <w:t>S</w:t>
      </w:r>
      <w:r w:rsidR="00D9425D" w:rsidRPr="00942FE7">
        <w:rPr>
          <w:rFonts w:ascii="Arial" w:hAnsi="Arial" w:cs="Arial"/>
          <w:sz w:val="18"/>
          <w:szCs w:val="18"/>
        </w:rPr>
        <w:t>esiones del Tribunal Electoral del Estado de Aguascalientes</w:t>
      </w:r>
      <w:r w:rsidRPr="00942FE7">
        <w:rPr>
          <w:rFonts w:ascii="Arial" w:hAnsi="Arial" w:cs="Arial"/>
          <w:bCs/>
          <w:sz w:val="18"/>
          <w:szCs w:val="18"/>
        </w:rPr>
        <w:t>,</w:t>
      </w:r>
      <w:r w:rsidR="00D9425D" w:rsidRPr="00942FE7">
        <w:rPr>
          <w:rFonts w:ascii="Arial" w:hAnsi="Arial" w:cs="Arial"/>
          <w:bCs/>
          <w:sz w:val="18"/>
          <w:szCs w:val="18"/>
        </w:rPr>
        <w:t xml:space="preserve"> </w:t>
      </w:r>
      <w:r w:rsidRPr="00942FE7">
        <w:rPr>
          <w:rFonts w:ascii="Arial" w:hAnsi="Arial" w:cs="Arial"/>
          <w:b/>
          <w:sz w:val="18"/>
          <w:szCs w:val="18"/>
        </w:rPr>
        <w:t>se hace del conocimiento público que el día</w:t>
      </w:r>
      <w:r w:rsidR="00F514D0" w:rsidRPr="00942FE7">
        <w:rPr>
          <w:rFonts w:ascii="Arial" w:hAnsi="Arial" w:cs="Arial"/>
          <w:b/>
          <w:sz w:val="18"/>
          <w:szCs w:val="18"/>
        </w:rPr>
        <w:t xml:space="preserve"> </w:t>
      </w:r>
      <w:r w:rsidR="00157C24" w:rsidRPr="00942FE7">
        <w:rPr>
          <w:rFonts w:ascii="Arial" w:hAnsi="Arial" w:cs="Arial"/>
          <w:b/>
          <w:sz w:val="18"/>
          <w:szCs w:val="18"/>
        </w:rPr>
        <w:t>nueve</w:t>
      </w:r>
      <w:r w:rsidRPr="00942FE7">
        <w:rPr>
          <w:rFonts w:ascii="Arial" w:hAnsi="Arial" w:cs="Arial"/>
          <w:b/>
          <w:sz w:val="18"/>
          <w:szCs w:val="18"/>
        </w:rPr>
        <w:t xml:space="preserve"> de</w:t>
      </w:r>
      <w:r w:rsidR="009F5CF5" w:rsidRPr="00942FE7">
        <w:rPr>
          <w:rFonts w:ascii="Arial" w:hAnsi="Arial" w:cs="Arial"/>
          <w:b/>
          <w:sz w:val="18"/>
          <w:szCs w:val="18"/>
        </w:rPr>
        <w:t xml:space="preserve"> </w:t>
      </w:r>
      <w:r w:rsidR="00157C24" w:rsidRPr="00942FE7">
        <w:rPr>
          <w:rFonts w:ascii="Arial" w:hAnsi="Arial" w:cs="Arial"/>
          <w:b/>
          <w:sz w:val="18"/>
          <w:szCs w:val="18"/>
        </w:rPr>
        <w:t>mayo</w:t>
      </w:r>
      <w:r w:rsidRPr="00942FE7">
        <w:rPr>
          <w:rFonts w:ascii="Arial" w:hAnsi="Arial" w:cs="Arial"/>
          <w:b/>
          <w:sz w:val="18"/>
          <w:szCs w:val="18"/>
        </w:rPr>
        <w:t xml:space="preserve"> del año en curso, a las </w:t>
      </w:r>
      <w:r w:rsidR="00157C24" w:rsidRPr="00942FE7">
        <w:rPr>
          <w:rFonts w:ascii="Arial" w:hAnsi="Arial" w:cs="Arial"/>
          <w:b/>
          <w:sz w:val="18"/>
          <w:szCs w:val="18"/>
        </w:rPr>
        <w:t xml:space="preserve">doce </w:t>
      </w:r>
      <w:r w:rsidRPr="00942FE7">
        <w:rPr>
          <w:rFonts w:ascii="Arial" w:hAnsi="Arial" w:cs="Arial"/>
          <w:b/>
          <w:sz w:val="18"/>
          <w:szCs w:val="18"/>
        </w:rPr>
        <w:t>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X="-435" w:tblpY="-30"/>
        <w:tblW w:w="9922" w:type="dxa"/>
        <w:tblLayout w:type="fixed"/>
        <w:tblLook w:val="04A0" w:firstRow="1" w:lastRow="0" w:firstColumn="1" w:lastColumn="0" w:noHBand="0" w:noVBand="1"/>
      </w:tblPr>
      <w:tblGrid>
        <w:gridCol w:w="997"/>
        <w:gridCol w:w="1701"/>
        <w:gridCol w:w="2552"/>
        <w:gridCol w:w="1559"/>
        <w:gridCol w:w="1559"/>
        <w:gridCol w:w="1554"/>
      </w:tblGrid>
      <w:tr w:rsidR="00BC60D9" w:rsidRPr="0084625C" w14:paraId="27EDE438" w14:textId="77777777" w:rsidTr="009A1B2E">
        <w:trPr>
          <w:trHeight w:val="48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BC60D9" w:rsidRPr="0084625C" w14:paraId="10F08A01" w14:textId="77777777" w:rsidTr="009A1B2E">
        <w:trPr>
          <w:trHeight w:val="4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84625C" w:rsidRDefault="00BC60D9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49026F81" w:rsidR="00BC60D9" w:rsidRPr="009A1B2E" w:rsidRDefault="00BC60D9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>TEEA-</w:t>
            </w:r>
            <w:r w:rsidR="00157C24" w:rsidRPr="009A1B2E">
              <w:rPr>
                <w:rFonts w:ascii="Arial" w:hAnsi="Arial" w:cs="Arial"/>
                <w:sz w:val="18"/>
                <w:szCs w:val="18"/>
              </w:rPr>
              <w:t>PES</w:t>
            </w:r>
            <w:r w:rsidRPr="009A1B2E">
              <w:rPr>
                <w:rFonts w:ascii="Arial" w:hAnsi="Arial" w:cs="Arial"/>
                <w:sz w:val="18"/>
                <w:szCs w:val="18"/>
              </w:rPr>
              <w:t>-00</w:t>
            </w:r>
            <w:r w:rsidR="00157C24" w:rsidRPr="009A1B2E">
              <w:rPr>
                <w:rFonts w:ascii="Arial" w:hAnsi="Arial" w:cs="Arial"/>
                <w:sz w:val="18"/>
                <w:szCs w:val="18"/>
              </w:rPr>
              <w:t>1</w:t>
            </w:r>
            <w:r w:rsidRPr="009A1B2E">
              <w:rPr>
                <w:rFonts w:ascii="Arial" w:hAnsi="Arial" w:cs="Arial"/>
                <w:sz w:val="18"/>
                <w:szCs w:val="18"/>
              </w:rPr>
              <w:t>/2024</w:t>
            </w:r>
            <w:r w:rsidR="00F514D0" w:rsidRPr="009A1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5E8F7196" w14:textId="1724809D" w:rsidR="00F514D0" w:rsidRPr="009A1B2E" w:rsidRDefault="00157C24" w:rsidP="009A1B2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1B2E">
              <w:rPr>
                <w:rFonts w:ascii="Arial" w:hAnsi="Arial" w:cs="Arial"/>
                <w:color w:val="000000"/>
                <w:sz w:val="18"/>
                <w:szCs w:val="18"/>
              </w:rPr>
              <w:t>Violación a las normas relativas a propaganda electoral impresa que no contenga el Símbolo Internacional de Reciclaje</w:t>
            </w:r>
            <w:r w:rsidR="00F514D0" w:rsidRPr="009A1B2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E86D97E" w14:textId="4D5D0802" w:rsidR="00BC60D9" w:rsidRPr="009A1B2E" w:rsidRDefault="00BC60D9" w:rsidP="009A1B2E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526E5F" w14:textId="7CBF4AF2" w:rsidR="00BC60D9" w:rsidRPr="009A1B2E" w:rsidRDefault="00BC60D9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157C24" w:rsidRPr="009A1B2E">
              <w:rPr>
                <w:rFonts w:ascii="Arial" w:hAnsi="Arial" w:cs="Arial"/>
                <w:sz w:val="18"/>
                <w:szCs w:val="18"/>
              </w:rPr>
              <w:t xml:space="preserve">Juan Pablo Ortiz Calzada, en su calidad de representante propietario de MORENA, ante el Consejo Municipal </w:t>
            </w:r>
            <w:r w:rsidR="00BD65E4" w:rsidRPr="009A1B2E">
              <w:rPr>
                <w:rFonts w:ascii="Arial" w:hAnsi="Arial" w:cs="Arial"/>
                <w:sz w:val="18"/>
                <w:szCs w:val="18"/>
              </w:rPr>
              <w:t xml:space="preserve">Electoral </w:t>
            </w:r>
            <w:r w:rsidR="00157C24" w:rsidRPr="009A1B2E">
              <w:rPr>
                <w:rFonts w:ascii="Arial" w:hAnsi="Arial" w:cs="Arial"/>
                <w:sz w:val="18"/>
                <w:szCs w:val="18"/>
              </w:rPr>
              <w:t>de Rincón de Romos del IEE.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6103D0" w14:textId="079B9E97" w:rsidR="00F514D0" w:rsidRPr="009A1B2E" w:rsidRDefault="00157C24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eastAsia="Times New Roman" w:hAnsi="Arial" w:cs="Arial"/>
                <w:sz w:val="18"/>
                <w:szCs w:val="18"/>
              </w:rPr>
              <w:t xml:space="preserve">Pedro Marmolejo García, Candidato Independiente para la Alcaldía del Municipio de Rincón de Romos, </w:t>
            </w:r>
            <w:proofErr w:type="spellStart"/>
            <w:r w:rsidRPr="009A1B2E">
              <w:rPr>
                <w:rFonts w:ascii="Arial" w:eastAsia="Times New Roman" w:hAnsi="Arial" w:cs="Arial"/>
                <w:sz w:val="18"/>
                <w:szCs w:val="18"/>
              </w:rPr>
              <w:t>Ags</w:t>
            </w:r>
            <w:proofErr w:type="spellEnd"/>
            <w:r w:rsidR="00F514D0" w:rsidRPr="009A1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796C9BA8" w:rsidR="00BC60D9" w:rsidRPr="009A1B2E" w:rsidRDefault="00157C24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>Néstor Enrique Rivera López</w:t>
            </w:r>
            <w:r w:rsidR="00BC60D9" w:rsidRPr="009A1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514D0" w:rsidRPr="0084625C" w14:paraId="20744EBD" w14:textId="77777777" w:rsidTr="009A1B2E">
        <w:trPr>
          <w:trHeight w:val="4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0BF" w14:textId="412D588E" w:rsidR="00F514D0" w:rsidRPr="0084625C" w:rsidRDefault="00F514D0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1EAEC87" w14:textId="101E87F7" w:rsidR="00F514D0" w:rsidRPr="009A1B2E" w:rsidRDefault="00F514D0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>TEEA-</w:t>
            </w:r>
            <w:r w:rsidR="00157C24" w:rsidRPr="009A1B2E">
              <w:rPr>
                <w:rFonts w:ascii="Arial" w:hAnsi="Arial" w:cs="Arial"/>
                <w:sz w:val="18"/>
                <w:szCs w:val="18"/>
              </w:rPr>
              <w:t>PES-003/2024</w:t>
            </w:r>
            <w:r w:rsidRPr="009A1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5C80D946" w14:textId="2F8F8462" w:rsidR="00F514D0" w:rsidRPr="009A1B2E" w:rsidRDefault="004C43CE" w:rsidP="009A1B2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  <w:lang w:eastAsia="es-MX"/>
              </w:rPr>
              <w:t>Uso indebido de recursos públicos, coacción, culpa in vigilando, infracción al principio de imparcialidad al llevar a cabo el uso de recursos públicos y difusión de propaganda electoral gubernamental prohibida.</w:t>
            </w:r>
          </w:p>
        </w:tc>
        <w:tc>
          <w:tcPr>
            <w:tcW w:w="1559" w:type="dxa"/>
            <w:vAlign w:val="center"/>
          </w:tcPr>
          <w:p w14:paraId="561C315D" w14:textId="41858D4B" w:rsidR="00F514D0" w:rsidRPr="009A1B2E" w:rsidRDefault="00F514D0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157C24" w:rsidRPr="009A1B2E">
              <w:rPr>
                <w:rFonts w:ascii="Arial" w:hAnsi="Arial" w:cs="Arial"/>
                <w:sz w:val="18"/>
                <w:szCs w:val="18"/>
              </w:rPr>
              <w:t xml:space="preserve">Miguel </w:t>
            </w:r>
            <w:proofErr w:type="spellStart"/>
            <w:r w:rsidR="00157C24" w:rsidRPr="009A1B2E">
              <w:rPr>
                <w:rFonts w:ascii="Arial" w:hAnsi="Arial" w:cs="Arial"/>
                <w:sz w:val="18"/>
                <w:szCs w:val="18"/>
              </w:rPr>
              <w:t>Bess</w:t>
            </w:r>
            <w:proofErr w:type="spellEnd"/>
            <w:r w:rsidR="00157C24" w:rsidRPr="009A1B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7C24" w:rsidRPr="009A1B2E">
              <w:rPr>
                <w:rFonts w:ascii="Arial" w:hAnsi="Arial" w:cs="Arial"/>
                <w:sz w:val="18"/>
                <w:szCs w:val="18"/>
              </w:rPr>
              <w:t>Oberto</w:t>
            </w:r>
            <w:proofErr w:type="spellEnd"/>
            <w:r w:rsidR="00157C24" w:rsidRPr="009A1B2E">
              <w:rPr>
                <w:rFonts w:ascii="Arial" w:hAnsi="Arial" w:cs="Arial"/>
                <w:sz w:val="18"/>
                <w:szCs w:val="18"/>
              </w:rPr>
              <w:t xml:space="preserve"> Díaz, en su calidad de representante propietario </w:t>
            </w:r>
            <w:r w:rsidR="00BD65E4" w:rsidRPr="009A1B2E">
              <w:rPr>
                <w:rFonts w:ascii="Arial" w:hAnsi="Arial" w:cs="Arial"/>
                <w:sz w:val="18"/>
                <w:szCs w:val="18"/>
              </w:rPr>
              <w:t>de MORENA, ante el Consejo Municipal Electoral de Aguascaliente</w:t>
            </w:r>
            <w:r w:rsidR="005B0481">
              <w:rPr>
                <w:rFonts w:ascii="Arial" w:hAnsi="Arial" w:cs="Arial"/>
                <w:sz w:val="18"/>
                <w:szCs w:val="18"/>
              </w:rPr>
              <w:t>s</w:t>
            </w:r>
            <w:r w:rsidRPr="009A1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D63985" w14:textId="77777777" w:rsidR="00F514D0" w:rsidRPr="009A1B2E" w:rsidRDefault="00F514D0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BF2" w14:textId="19515A82" w:rsidR="00BD65E4" w:rsidRPr="009A1B2E" w:rsidRDefault="00BD65E4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>Leonardo Montañez Castro, Candidato a la presidencia Municipal de Aguascalientes, por la coalición “Fuerza y Corazón por Aguascalientes</w:t>
            </w:r>
            <w:r w:rsidR="000808B8">
              <w:rPr>
                <w:rFonts w:ascii="Arial" w:hAnsi="Arial" w:cs="Arial"/>
                <w:sz w:val="18"/>
                <w:szCs w:val="18"/>
              </w:rPr>
              <w:t>”</w:t>
            </w:r>
            <w:r w:rsidRPr="009A1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09D" w14:textId="560C7D47" w:rsidR="00F514D0" w:rsidRPr="009A1B2E" w:rsidRDefault="00F514D0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B2E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9A1B2E" w:rsidRPr="0084625C" w14:paraId="590A012D" w14:textId="77777777" w:rsidTr="009A1B2E">
        <w:trPr>
          <w:trHeight w:val="4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9A4" w14:textId="53B835A0" w:rsidR="009A1B2E" w:rsidRDefault="009A1B2E" w:rsidP="009A1B2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995AFCD" w14:textId="20B1BE00" w:rsidR="009A1B2E" w:rsidRDefault="006D26DD" w:rsidP="009A1B2E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143">
              <w:rPr>
                <w:rFonts w:ascii="Arial" w:hAnsi="Arial" w:cs="Arial"/>
                <w:bCs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bCs/>
                <w:sz w:val="20"/>
                <w:szCs w:val="20"/>
              </w:rPr>
              <w:t>RAP-010/2024.</w:t>
            </w:r>
          </w:p>
        </w:tc>
        <w:tc>
          <w:tcPr>
            <w:tcW w:w="2552" w:type="dxa"/>
            <w:vAlign w:val="center"/>
          </w:tcPr>
          <w:p w14:paraId="6E86204A" w14:textId="4816861D" w:rsidR="009A1B2E" w:rsidRPr="00FA5E10" w:rsidRDefault="006D26DD" w:rsidP="00FA5E1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Resolución CG-R-37/24, de fecha diecinueve de abril del dos mil veinticuatro, mediante la cual, el Consejo General del Instituto Estat</w:t>
            </w:r>
            <w:r w:rsidR="00942FE7">
              <w:rPr>
                <w:rFonts w:ascii="Arial" w:hAnsi="Arial" w:cs="Arial"/>
                <w:sz w:val="18"/>
                <w:szCs w:val="18"/>
                <w:lang w:eastAsia="es-MX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l Electoral de Aguascalientes, resolvió el recurso de inconformidad identificado bajo el número de expediente IEE/RI/021/2024, promovido por el Partido Político denominado Partido Acción Nacional, en contra de la Resolución identificada con la clave CME-LLANO-R-07/24, emitida por el Consejo Municipal Electoral de El Llano </w:t>
            </w:r>
            <w:r w:rsidR="00942FE7">
              <w:rPr>
                <w:rFonts w:ascii="Arial" w:hAnsi="Arial" w:cs="Arial"/>
                <w:sz w:val="18"/>
                <w:szCs w:val="18"/>
                <w:lang w:eastAsia="es-MX"/>
              </w:rPr>
              <w:t>del Instituto Estatal Electoral de Aguascalientes.</w:t>
            </w:r>
          </w:p>
        </w:tc>
        <w:tc>
          <w:tcPr>
            <w:tcW w:w="1559" w:type="dxa"/>
            <w:vAlign w:val="center"/>
          </w:tcPr>
          <w:p w14:paraId="2A91A867" w14:textId="2323DD14" w:rsidR="009A1B2E" w:rsidRPr="009A1B2E" w:rsidRDefault="00942FE7" w:rsidP="009A1B2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77B">
              <w:rPr>
                <w:rFonts w:ascii="Arial" w:eastAsia="Verdana" w:hAnsi="Arial" w:cs="Arial"/>
                <w:sz w:val="19"/>
                <w:szCs w:val="19"/>
              </w:rPr>
              <w:t>Partido Acción Nacional, por conducto de su representante suplente ante el Consejo General del Instituto Estatal Electoral de Aguascalientes, Israel Ángel Ramírez</w:t>
            </w:r>
            <w:r w:rsidRPr="0017177B">
              <w:rPr>
                <w:rFonts w:ascii="Arial" w:eastAsia="Arial" w:hAnsi="Arial" w:cs="Arial"/>
                <w:bCs/>
                <w:sz w:val="19"/>
                <w:szCs w:val="19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F63217" w14:textId="31E51A3D" w:rsidR="009A1B2E" w:rsidRDefault="00942FE7" w:rsidP="009A1B2E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77B">
              <w:rPr>
                <w:rFonts w:ascii="Arial" w:hAnsi="Arial" w:cs="Arial"/>
                <w:bCs/>
                <w:sz w:val="19"/>
                <w:szCs w:val="19"/>
              </w:rPr>
              <w:t>Consejo General del Instituto Estatal Electoral de Aguascalientes.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72" w14:textId="38454D4D" w:rsidR="009A1B2E" w:rsidRDefault="009A1B2E" w:rsidP="009A1B2E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0D4">
              <w:rPr>
                <w:rFonts w:ascii="Arial" w:hAnsi="Arial" w:cs="Arial"/>
                <w:sz w:val="19"/>
                <w:szCs w:val="19"/>
              </w:rPr>
              <w:t>Héctor Salvador Hernández Gallegos.</w:t>
            </w:r>
          </w:p>
        </w:tc>
      </w:tr>
      <w:bookmarkEnd w:id="0"/>
    </w:tbl>
    <w:p w14:paraId="58C24703" w14:textId="77777777" w:rsidR="00402802" w:rsidRDefault="00402802" w:rsidP="00942FE7">
      <w:pPr>
        <w:spacing w:line="240" w:lineRule="auto"/>
        <w:rPr>
          <w:rFonts w:ascii="Arial" w:hAnsi="Arial" w:cs="Arial"/>
          <w:b/>
        </w:rPr>
      </w:pPr>
    </w:p>
    <w:p w14:paraId="7C015F71" w14:textId="09FA0C9B" w:rsidR="00BC60D9" w:rsidRPr="00942FE7" w:rsidRDefault="00BC60D9" w:rsidP="009A1B2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2FE7">
        <w:rPr>
          <w:rFonts w:ascii="Arial" w:hAnsi="Arial" w:cs="Arial"/>
          <w:b/>
          <w:sz w:val="20"/>
          <w:szCs w:val="20"/>
        </w:rPr>
        <w:t>A t e n t a m e n t e</w:t>
      </w:r>
    </w:p>
    <w:p w14:paraId="59253D08" w14:textId="77777777" w:rsidR="00DE78F1" w:rsidRPr="00942FE7" w:rsidRDefault="00DE78F1" w:rsidP="00DE78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F495F2" w14:textId="77777777" w:rsidR="00BC60D9" w:rsidRPr="00942FE7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2929B2" w14:textId="77777777" w:rsidR="00BC60D9" w:rsidRPr="00942FE7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2FE7"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5F318820" w14:textId="77777777" w:rsidR="00BC60D9" w:rsidRPr="00942FE7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2FE7">
        <w:rPr>
          <w:rFonts w:ascii="Arial" w:hAnsi="Arial" w:cs="Arial"/>
          <w:b/>
          <w:sz w:val="20"/>
          <w:szCs w:val="20"/>
        </w:rPr>
        <w:t xml:space="preserve">Magistrado </w:t>
      </w:r>
      <w:proofErr w:type="gramStart"/>
      <w:r w:rsidRPr="00942FE7">
        <w:rPr>
          <w:rFonts w:ascii="Arial" w:hAnsi="Arial" w:cs="Arial"/>
          <w:b/>
          <w:sz w:val="20"/>
          <w:szCs w:val="20"/>
        </w:rPr>
        <w:t>Presidente</w:t>
      </w:r>
      <w:proofErr w:type="gramEnd"/>
      <w:r w:rsidRPr="00942FE7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3B0769CA" w14:textId="2364A86C" w:rsidR="00E7356E" w:rsidRPr="00942FE7" w:rsidRDefault="00BC60D9" w:rsidP="007C65B2">
      <w:pPr>
        <w:spacing w:after="0" w:line="240" w:lineRule="auto"/>
        <w:jc w:val="center"/>
        <w:rPr>
          <w:sz w:val="20"/>
          <w:szCs w:val="20"/>
        </w:rPr>
      </w:pPr>
      <w:r w:rsidRPr="00942FE7">
        <w:rPr>
          <w:rFonts w:ascii="Arial" w:hAnsi="Arial" w:cs="Arial"/>
          <w:b/>
          <w:sz w:val="20"/>
          <w:szCs w:val="20"/>
        </w:rPr>
        <w:t>Estado de Aguascalientes</w:t>
      </w:r>
    </w:p>
    <w:sectPr w:rsidR="00E7356E" w:rsidRPr="00942FE7" w:rsidSect="00BC60D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510E" w14:textId="77777777" w:rsidR="009F5CF5" w:rsidRDefault="009F5CF5">
      <w:pPr>
        <w:spacing w:after="0" w:line="240" w:lineRule="auto"/>
      </w:pPr>
      <w:r>
        <w:separator/>
      </w:r>
    </w:p>
  </w:endnote>
  <w:endnote w:type="continuationSeparator" w:id="0">
    <w:p w14:paraId="5BAC840A" w14:textId="77777777" w:rsidR="009F5CF5" w:rsidRDefault="009F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8379" w14:textId="77777777" w:rsidR="009F5CF5" w:rsidRDefault="009F5CF5">
      <w:pPr>
        <w:spacing w:after="0" w:line="240" w:lineRule="auto"/>
      </w:pPr>
      <w:r>
        <w:separator/>
      </w:r>
    </w:p>
  </w:footnote>
  <w:footnote w:type="continuationSeparator" w:id="0">
    <w:p w14:paraId="3865F7E4" w14:textId="77777777" w:rsidR="009F5CF5" w:rsidRDefault="009F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9"/>
    <w:rsid w:val="000305B4"/>
    <w:rsid w:val="000808B8"/>
    <w:rsid w:val="00157C24"/>
    <w:rsid w:val="00402802"/>
    <w:rsid w:val="004C43CE"/>
    <w:rsid w:val="0050572D"/>
    <w:rsid w:val="005B0481"/>
    <w:rsid w:val="0060240D"/>
    <w:rsid w:val="006D26DD"/>
    <w:rsid w:val="007C65B2"/>
    <w:rsid w:val="007F1D19"/>
    <w:rsid w:val="008B77A5"/>
    <w:rsid w:val="00923B48"/>
    <w:rsid w:val="00935CC0"/>
    <w:rsid w:val="00942FE7"/>
    <w:rsid w:val="009A1B2E"/>
    <w:rsid w:val="009F0A95"/>
    <w:rsid w:val="009F5CF5"/>
    <w:rsid w:val="00BC60D9"/>
    <w:rsid w:val="00BD65E4"/>
    <w:rsid w:val="00C115CB"/>
    <w:rsid w:val="00CC6FC3"/>
    <w:rsid w:val="00D92EBA"/>
    <w:rsid w:val="00D9425D"/>
    <w:rsid w:val="00DE78F1"/>
    <w:rsid w:val="00E7356E"/>
    <w:rsid w:val="00F15A09"/>
    <w:rsid w:val="00F514D0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18</cp:revision>
  <cp:lastPrinted>2024-05-08T16:09:00Z</cp:lastPrinted>
  <dcterms:created xsi:type="dcterms:W3CDTF">2024-03-28T16:51:00Z</dcterms:created>
  <dcterms:modified xsi:type="dcterms:W3CDTF">2024-05-08T16:29:00Z</dcterms:modified>
</cp:coreProperties>
</file>