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409DA7C2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86FE1" w:rsidRPr="00AB5D9F">
        <w:rPr>
          <w:rFonts w:ascii="Arial" w:hAnsi="Arial" w:cs="Arial"/>
          <w:b/>
          <w:sz w:val="24"/>
          <w:szCs w:val="24"/>
        </w:rPr>
        <w:t>DÉCIMA</w:t>
      </w:r>
      <w:r w:rsidR="00CB3FBC" w:rsidRPr="00AB5D9F">
        <w:rPr>
          <w:rFonts w:ascii="Arial" w:hAnsi="Arial" w:cs="Arial"/>
          <w:b/>
          <w:sz w:val="24"/>
          <w:szCs w:val="24"/>
        </w:rPr>
        <w:t xml:space="preserve"> </w:t>
      </w:r>
      <w:r w:rsidR="00723F0F" w:rsidRPr="00AB5D9F">
        <w:rPr>
          <w:rFonts w:ascii="Arial" w:hAnsi="Arial" w:cs="Arial"/>
          <w:b/>
          <w:sz w:val="24"/>
          <w:szCs w:val="24"/>
        </w:rPr>
        <w:t>TERCERA</w:t>
      </w:r>
      <w:r w:rsidR="008628C2" w:rsidRPr="00AB5D9F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723F0F" w:rsidRPr="00AB5D9F">
        <w:rPr>
          <w:rFonts w:ascii="Arial" w:hAnsi="Arial" w:cs="Arial"/>
          <w:b/>
          <w:sz w:val="24"/>
          <w:szCs w:val="24"/>
        </w:rPr>
        <w:t>veintiocho de noviembre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686FE1" w:rsidRPr="00AB5D9F">
        <w:rPr>
          <w:rFonts w:ascii="Arial" w:hAnsi="Arial" w:cs="Arial"/>
          <w:b/>
          <w:sz w:val="24"/>
          <w:szCs w:val="24"/>
        </w:rPr>
        <w:t>1</w:t>
      </w:r>
      <w:r w:rsidR="009965EE" w:rsidRPr="00AB5D9F">
        <w:rPr>
          <w:rFonts w:ascii="Arial" w:hAnsi="Arial" w:cs="Arial"/>
          <w:b/>
          <w:sz w:val="24"/>
          <w:szCs w:val="24"/>
        </w:rPr>
        <w:t>1</w:t>
      </w:r>
      <w:r w:rsidR="00CB3FBC" w:rsidRPr="00AB5D9F">
        <w:rPr>
          <w:rFonts w:ascii="Arial" w:hAnsi="Arial" w:cs="Arial"/>
          <w:b/>
          <w:sz w:val="24"/>
          <w:szCs w:val="24"/>
        </w:rPr>
        <w:t>:00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69160B20" w:rsidR="00AA11C5" w:rsidRPr="00AB5D9F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030989D1" w14:textId="77777777" w:rsidR="00723F0F" w:rsidRPr="00AB5D9F" w:rsidRDefault="00723F0F" w:rsidP="00723F0F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B5D9F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bookmarkEnd w:id="4"/>
    <w:p w14:paraId="7CE96772" w14:textId="0BB2ABAF" w:rsidR="00AB5D9F" w:rsidRPr="00AB5D9F" w:rsidRDefault="00AB5D9F" w:rsidP="00AB5D9F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Proyecto de resolución del Juicio para la Protección de los Derechos Político Electorales de la Ciudadanía, identificado con el número de expediente TEEA-JDC-047/2025, propuesto por la ponencia del Magistrado Óscar Guillermo Montoya Contreras.</w:t>
      </w:r>
    </w:p>
    <w:p w14:paraId="21327587" w14:textId="77777777" w:rsidR="00AB5D9F" w:rsidRPr="00AB5D9F" w:rsidRDefault="00AB5D9F" w:rsidP="00AB5D9F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Proyecto de resolución del Procedimiento Especial Sancionador, identificado con el número de expediente TEEA-PES-001/2025, propuesto por la ponencia de la Magistrada Laura Hortensia Llamas Hernández.</w:t>
      </w:r>
    </w:p>
    <w:p w14:paraId="27D3924A" w14:textId="77777777" w:rsidR="00AB5D9F" w:rsidRPr="00AB5D9F" w:rsidRDefault="00AB5D9F" w:rsidP="00AB5D9F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Proyecto de resolución del Procedimiento Especial Sancionador, identificado con el número de expediente TEEA-PES-003/2025, propuesto por la ponencia del Magistrado Horacio José Ricardo López Castañeda.</w:t>
      </w:r>
    </w:p>
    <w:p w14:paraId="7A9FD6FA" w14:textId="77777777" w:rsidR="00AB5D9F" w:rsidRPr="00AB5D9F" w:rsidRDefault="00AB5D9F" w:rsidP="00AB5D9F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Proyecto de resolución del Procedimiento Especial Sancionador, identificado con el número de expediente TEEA-PES-004/2025, propuesto por la ponencia de la Magistrada Laura Hortensia Llamas Hernández.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167E02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1CB9A456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723F0F">
      <w:rPr>
        <w:rFonts w:ascii="Arial" w:hAnsi="Arial" w:cs="Arial"/>
        <w:b/>
        <w:szCs w:val="18"/>
      </w:rPr>
      <w:t>veintisiete de noviembre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84186"/>
    <w:rsid w:val="0029253C"/>
    <w:rsid w:val="002D76C2"/>
    <w:rsid w:val="002E60D6"/>
    <w:rsid w:val="002E70BB"/>
    <w:rsid w:val="002E7ED8"/>
    <w:rsid w:val="003045B6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56386"/>
    <w:rsid w:val="008628C2"/>
    <w:rsid w:val="008C159A"/>
    <w:rsid w:val="008F2D02"/>
    <w:rsid w:val="00902ABC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838A0"/>
    <w:rsid w:val="00EA0029"/>
    <w:rsid w:val="00EC0E59"/>
    <w:rsid w:val="00EC3571"/>
    <w:rsid w:val="00F23D58"/>
    <w:rsid w:val="00FC30F7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53</cp:revision>
  <cp:lastPrinted>2025-11-27T15:50:00Z</cp:lastPrinted>
  <dcterms:created xsi:type="dcterms:W3CDTF">2024-07-17T15:10:00Z</dcterms:created>
  <dcterms:modified xsi:type="dcterms:W3CDTF">2025-11-27T15:52:00Z</dcterms:modified>
</cp:coreProperties>
</file>