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668" w:rsidRPr="00ED62B7" w:rsidRDefault="00134668" w:rsidP="00134668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:rsidR="00ED62B7" w:rsidRPr="00ED62B7" w:rsidRDefault="00ED62B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CA2CBA" w:rsidRPr="00ED62B7" w:rsidRDefault="00CA2CBA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224B05" w:rsidRPr="00ED62B7" w:rsidRDefault="00224B05" w:rsidP="00224B05">
      <w:pPr>
        <w:spacing w:after="0" w:line="360" w:lineRule="auto"/>
        <w:jc w:val="both"/>
        <w:rPr>
          <w:rFonts w:ascii="Arial" w:hAnsi="Arial" w:cs="Arial"/>
        </w:rPr>
      </w:pPr>
      <w:r w:rsidRPr="00ED62B7">
        <w:rPr>
          <w:rFonts w:ascii="Arial" w:eastAsia="Times New Roman" w:hAnsi="Arial" w:cs="Arial"/>
          <w:b/>
          <w:lang w:eastAsia="es-ES"/>
        </w:rPr>
        <w:t xml:space="preserve">V I S T O </w:t>
      </w:r>
      <w:r w:rsidRPr="00ED62B7">
        <w:rPr>
          <w:rFonts w:ascii="Arial" w:eastAsia="Times New Roman" w:hAnsi="Arial" w:cs="Arial"/>
          <w:lang w:eastAsia="es-ES"/>
        </w:rPr>
        <w:t xml:space="preserve">el estado actual que guarda </w:t>
      </w:r>
      <w:r w:rsidR="00414DD1">
        <w:rPr>
          <w:rFonts w:ascii="Arial" w:eastAsia="Times New Roman" w:hAnsi="Arial" w:cs="Arial"/>
          <w:lang w:eastAsia="es-ES"/>
        </w:rPr>
        <w:t>la propuesta de Informe de Labores del Pleno del Tribunal del Estado de Aguascalientes correspondiente a su intervención en el Proceso Electoral de 2017- 2018, que se debe rendir a los poderes del Estado, y c</w:t>
      </w:r>
      <w:r w:rsidR="00414DD1" w:rsidRPr="00414DD1">
        <w:rPr>
          <w:rFonts w:ascii="Arial" w:eastAsia="Times New Roman" w:hAnsi="Arial" w:cs="Arial"/>
          <w:lang w:eastAsia="es-ES"/>
        </w:rPr>
        <w:t>on fundamento en los artículos 357, fracción I</w:t>
      </w:r>
      <w:r w:rsidR="00414DD1">
        <w:rPr>
          <w:rFonts w:ascii="Arial" w:eastAsia="Times New Roman" w:hAnsi="Arial" w:cs="Arial"/>
          <w:lang w:eastAsia="es-ES"/>
        </w:rPr>
        <w:t xml:space="preserve"> y</w:t>
      </w:r>
      <w:r w:rsidR="00414DD1" w:rsidRPr="00414DD1">
        <w:rPr>
          <w:rFonts w:ascii="Arial" w:eastAsia="Times New Roman" w:hAnsi="Arial" w:cs="Arial"/>
          <w:lang w:eastAsia="es-ES"/>
        </w:rPr>
        <w:t xml:space="preserve"> VIII inciso b), del Código Electoral del Estado de Aguascalientes; 13, fracción XI</w:t>
      </w:r>
      <w:r w:rsidR="00414DD1">
        <w:rPr>
          <w:rFonts w:ascii="Arial" w:eastAsia="Times New Roman" w:hAnsi="Arial" w:cs="Arial"/>
          <w:lang w:eastAsia="es-ES"/>
        </w:rPr>
        <w:t>;</w:t>
      </w:r>
      <w:r w:rsidR="00414DD1" w:rsidRPr="00414DD1">
        <w:rPr>
          <w:rFonts w:ascii="Arial" w:eastAsia="Times New Roman" w:hAnsi="Arial" w:cs="Arial"/>
          <w:lang w:eastAsia="es-ES"/>
        </w:rPr>
        <w:t xml:space="preserve"> 18, fracción I</w:t>
      </w:r>
      <w:r w:rsidR="00414DD1">
        <w:rPr>
          <w:rFonts w:ascii="Arial" w:eastAsia="Times New Roman" w:hAnsi="Arial" w:cs="Arial"/>
          <w:lang w:eastAsia="es-ES"/>
        </w:rPr>
        <w:t>,</w:t>
      </w:r>
      <w:r w:rsidR="00414DD1" w:rsidRPr="00414DD1">
        <w:rPr>
          <w:rFonts w:ascii="Arial" w:eastAsia="Times New Roman" w:hAnsi="Arial" w:cs="Arial"/>
          <w:lang w:eastAsia="es-ES"/>
        </w:rPr>
        <w:t xml:space="preserve"> XII, inciso b) y 21, fracción I, inciso a), del Reglamento Interior del Tribunal Electoral</w:t>
      </w:r>
      <w:r w:rsidRPr="00ED62B7">
        <w:rPr>
          <w:rFonts w:ascii="Arial" w:eastAsia="Times New Roman" w:hAnsi="Arial" w:cs="Arial"/>
          <w:lang w:eastAsia="es-ES"/>
        </w:rPr>
        <w:t>,</w:t>
      </w:r>
      <w:r w:rsidRPr="00ED62B7">
        <w:rPr>
          <w:rFonts w:ascii="Arial" w:eastAsia="Times New Roman" w:hAnsi="Arial" w:cs="Arial"/>
          <w:b/>
          <w:lang w:eastAsia="es-ES"/>
        </w:rPr>
        <w:t xml:space="preserve"> </w:t>
      </w:r>
      <w:r w:rsidR="00ED62B7" w:rsidRPr="00ED62B7">
        <w:rPr>
          <w:rFonts w:ascii="Arial" w:eastAsia="Times New Roman" w:hAnsi="Arial" w:cs="Arial"/>
          <w:b/>
          <w:lang w:eastAsia="es-ES"/>
        </w:rPr>
        <w:t>se acuerda:</w:t>
      </w:r>
    </w:p>
    <w:p w:rsidR="00AB7274" w:rsidRPr="00ED62B7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224B05" w:rsidRPr="00ED62B7" w:rsidRDefault="00ED62B7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  <w:r w:rsidRPr="00ED62B7">
        <w:rPr>
          <w:rFonts w:ascii="Arial" w:eastAsia="Times New Roman" w:hAnsi="Arial" w:cs="Arial"/>
          <w:b/>
          <w:lang w:eastAsia="es-ES"/>
        </w:rPr>
        <w:t>Primero. -</w:t>
      </w:r>
      <w:r w:rsidRPr="00ED62B7">
        <w:rPr>
          <w:rFonts w:ascii="Arial" w:eastAsia="Times New Roman" w:hAnsi="Arial" w:cs="Arial"/>
          <w:lang w:eastAsia="es-ES"/>
        </w:rPr>
        <w:t xml:space="preserve"> se señalan</w:t>
      </w:r>
      <w:r w:rsidRPr="00ED62B7">
        <w:rPr>
          <w:rFonts w:ascii="Arial" w:eastAsia="Times New Roman" w:hAnsi="Arial" w:cs="Arial"/>
          <w:color w:val="000000"/>
          <w:lang w:eastAsia="es-ES"/>
        </w:rPr>
        <w:t xml:space="preserve"> las</w:t>
      </w:r>
      <w:r w:rsidRPr="00ED62B7">
        <w:rPr>
          <w:rFonts w:ascii="Arial" w:eastAsia="Times New Roman" w:hAnsi="Arial" w:cs="Arial"/>
          <w:b/>
          <w:color w:val="000000"/>
          <w:lang w:eastAsia="es-ES"/>
        </w:rPr>
        <w:t xml:space="preserve"> doce horas</w:t>
      </w:r>
      <w:r w:rsidRPr="00ED62B7">
        <w:rPr>
          <w:rFonts w:ascii="Arial" w:eastAsia="Times New Roman" w:hAnsi="Arial" w:cs="Arial"/>
          <w:b/>
          <w:lang w:eastAsia="es-ES"/>
        </w:rPr>
        <w:t>,</w:t>
      </w:r>
      <w:r w:rsidRPr="00ED62B7">
        <w:rPr>
          <w:rFonts w:ascii="Arial" w:eastAsia="Times New Roman" w:hAnsi="Arial" w:cs="Arial"/>
          <w:lang w:eastAsia="es-ES"/>
        </w:rPr>
        <w:t xml:space="preserve"> del día </w:t>
      </w:r>
      <w:r w:rsidR="00414DD1">
        <w:rPr>
          <w:rFonts w:ascii="Arial" w:eastAsia="Times New Roman" w:hAnsi="Arial" w:cs="Arial"/>
          <w:b/>
          <w:lang w:eastAsia="es-ES"/>
        </w:rPr>
        <w:t>veintiséis</w:t>
      </w:r>
      <w:r w:rsidRPr="00ED62B7">
        <w:rPr>
          <w:rFonts w:ascii="Arial" w:eastAsia="Times New Roman" w:hAnsi="Arial" w:cs="Arial"/>
          <w:b/>
          <w:lang w:eastAsia="es-ES"/>
        </w:rPr>
        <w:t xml:space="preserve"> de octubre de dos mil dieciocho</w:t>
      </w:r>
      <w:r w:rsidRPr="00ED62B7">
        <w:rPr>
          <w:rFonts w:ascii="Arial" w:eastAsia="Times New Roman" w:hAnsi="Arial" w:cs="Arial"/>
          <w:lang w:eastAsia="es-ES"/>
        </w:rPr>
        <w:t xml:space="preserve"> para que tenga verificativo la </w:t>
      </w:r>
      <w:r w:rsidRPr="00ED62B7">
        <w:rPr>
          <w:rFonts w:ascii="Arial" w:eastAsia="Times New Roman" w:hAnsi="Arial" w:cs="Arial"/>
          <w:b/>
          <w:lang w:eastAsia="es-ES"/>
        </w:rPr>
        <w:t xml:space="preserve">trigésima </w:t>
      </w:r>
      <w:r w:rsidR="00414DD1">
        <w:rPr>
          <w:rFonts w:ascii="Arial" w:eastAsia="Times New Roman" w:hAnsi="Arial" w:cs="Arial"/>
          <w:b/>
          <w:lang w:eastAsia="es-ES"/>
        </w:rPr>
        <w:t>tercera</w:t>
      </w:r>
      <w:r w:rsidRPr="00ED62B7">
        <w:rPr>
          <w:rFonts w:ascii="Arial" w:eastAsia="Times New Roman" w:hAnsi="Arial" w:cs="Arial"/>
          <w:b/>
          <w:lang w:eastAsia="es-ES"/>
        </w:rPr>
        <w:t xml:space="preserve"> sesión pública</w:t>
      </w:r>
      <w:r w:rsidRPr="00ED62B7">
        <w:rPr>
          <w:rFonts w:ascii="Arial" w:eastAsia="Times New Roman" w:hAnsi="Arial" w:cs="Arial"/>
          <w:lang w:eastAsia="es-ES"/>
        </w:rPr>
        <w:t xml:space="preserve"> </w:t>
      </w:r>
      <w:r w:rsidR="00414DD1">
        <w:rPr>
          <w:rFonts w:ascii="Arial" w:eastAsia="Times New Roman" w:hAnsi="Arial" w:cs="Arial"/>
          <w:lang w:eastAsia="es-ES"/>
        </w:rPr>
        <w:t>con carácter de</w:t>
      </w:r>
      <w:r w:rsidR="00414DD1" w:rsidRPr="00414DD1">
        <w:rPr>
          <w:rFonts w:ascii="Arial" w:eastAsia="Times New Roman" w:hAnsi="Arial" w:cs="Arial"/>
          <w:b/>
          <w:lang w:eastAsia="es-ES"/>
        </w:rPr>
        <w:t xml:space="preserve"> </w:t>
      </w:r>
      <w:r w:rsidR="00414DD1">
        <w:rPr>
          <w:rFonts w:ascii="Arial" w:eastAsia="Times New Roman" w:hAnsi="Arial" w:cs="Arial"/>
          <w:b/>
          <w:lang w:eastAsia="es-ES"/>
        </w:rPr>
        <w:t>s</w:t>
      </w:r>
      <w:r w:rsidR="00414DD1" w:rsidRPr="00414DD1">
        <w:rPr>
          <w:rFonts w:ascii="Arial" w:eastAsia="Times New Roman" w:hAnsi="Arial" w:cs="Arial"/>
          <w:b/>
          <w:lang w:eastAsia="es-ES"/>
        </w:rPr>
        <w:t>olemne</w:t>
      </w:r>
      <w:r w:rsidR="00414DD1">
        <w:rPr>
          <w:rFonts w:ascii="Arial" w:eastAsia="Times New Roman" w:hAnsi="Arial" w:cs="Arial"/>
          <w:lang w:eastAsia="es-ES"/>
        </w:rPr>
        <w:t xml:space="preserve"> para que se lleve a cabo la p</w:t>
      </w:r>
      <w:r w:rsidR="00414DD1" w:rsidRPr="00414DD1">
        <w:rPr>
          <w:rFonts w:ascii="Arial" w:eastAsia="Times New Roman" w:hAnsi="Arial" w:cs="Arial"/>
          <w:lang w:eastAsia="es-ES"/>
        </w:rPr>
        <w:t xml:space="preserve">resentación y en su caso </w:t>
      </w:r>
      <w:r w:rsidR="00414DD1">
        <w:rPr>
          <w:rFonts w:ascii="Arial" w:eastAsia="Times New Roman" w:hAnsi="Arial" w:cs="Arial"/>
          <w:lang w:eastAsia="es-ES"/>
        </w:rPr>
        <w:t xml:space="preserve">la </w:t>
      </w:r>
      <w:r w:rsidR="00414DD1" w:rsidRPr="00414DD1">
        <w:rPr>
          <w:rFonts w:ascii="Arial" w:eastAsia="Times New Roman" w:hAnsi="Arial" w:cs="Arial"/>
          <w:lang w:eastAsia="es-ES"/>
        </w:rPr>
        <w:t xml:space="preserve">aprobación por el Pleno </w:t>
      </w:r>
      <w:r w:rsidR="00414DD1">
        <w:rPr>
          <w:rFonts w:ascii="Arial" w:eastAsia="Times New Roman" w:hAnsi="Arial" w:cs="Arial"/>
          <w:lang w:eastAsia="es-ES"/>
        </w:rPr>
        <w:t xml:space="preserve">de este Tribunal, </w:t>
      </w:r>
      <w:r w:rsidR="00414DD1" w:rsidRPr="00414DD1">
        <w:rPr>
          <w:rFonts w:ascii="Arial" w:eastAsia="Times New Roman" w:hAnsi="Arial" w:cs="Arial"/>
          <w:lang w:eastAsia="es-ES"/>
        </w:rPr>
        <w:t>del Informe que pone a consideración el Magistrado Presidente Héctor Salvador Hernández Gallegos, que se debe rendir a los poderes del Estado, sobre la intervención de este órgano jurisdiccional electoral en el desarrollo del Proceso Electoral Local de 2017- 2018</w:t>
      </w:r>
      <w:r w:rsidR="00414DD1">
        <w:rPr>
          <w:rFonts w:ascii="Arial" w:eastAsia="Times New Roman" w:hAnsi="Arial" w:cs="Arial"/>
          <w:lang w:eastAsia="es-ES"/>
        </w:rPr>
        <w:t xml:space="preserve"> </w:t>
      </w:r>
      <w:r w:rsidRPr="00ED62B7">
        <w:rPr>
          <w:rFonts w:ascii="Arial" w:eastAsia="Times New Roman" w:hAnsi="Arial" w:cs="Arial"/>
          <w:lang w:eastAsia="es-ES"/>
        </w:rPr>
        <w:t xml:space="preserve">. </w:t>
      </w:r>
    </w:p>
    <w:p w:rsidR="00224B05" w:rsidRPr="00ED62B7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  <w:bookmarkStart w:id="0" w:name="_GoBack"/>
      <w:bookmarkEnd w:id="0"/>
    </w:p>
    <w:p w:rsidR="00224B05" w:rsidRPr="00ED62B7" w:rsidRDefault="00ED62B7" w:rsidP="00224B05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ED62B7">
        <w:rPr>
          <w:rFonts w:ascii="Arial" w:eastAsia="Times New Roman" w:hAnsi="Arial" w:cs="Arial"/>
          <w:b/>
          <w:lang w:eastAsia="es-ES"/>
        </w:rPr>
        <w:t>Segundo. -</w:t>
      </w:r>
      <w:r w:rsidRPr="00ED62B7">
        <w:rPr>
          <w:rFonts w:ascii="Arial" w:eastAsia="Times New Roman" w:hAnsi="Arial" w:cs="Arial"/>
          <w:lang w:eastAsia="es-ES"/>
        </w:rPr>
        <w:t xml:space="preserve"> convóquese y córraseles traslado con copia del referido proyecto a la magistrada y al magistrado del Tribunal Electoral de este Estado.</w:t>
      </w:r>
    </w:p>
    <w:p w:rsidR="00224B05" w:rsidRPr="00ED62B7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AB7274" w:rsidRPr="00ED62B7" w:rsidRDefault="00ED62B7" w:rsidP="00ED62B7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ED62B7">
        <w:rPr>
          <w:rFonts w:ascii="Arial" w:eastAsia="Times New Roman" w:hAnsi="Arial" w:cs="Arial"/>
          <w:b/>
          <w:lang w:eastAsia="es-ES"/>
        </w:rPr>
        <w:t>Tercero. -</w:t>
      </w:r>
      <w:r w:rsidRPr="00ED62B7">
        <w:rPr>
          <w:rFonts w:ascii="Arial" w:eastAsia="Times New Roman" w:hAnsi="Arial" w:cs="Arial"/>
          <w:lang w:eastAsia="es-ES"/>
        </w:rPr>
        <w:t xml:space="preserve"> publíquese en los estrados físicos y electrónicos de esta autoridad, una lista de los asuntos a tratar en la sesión de referencia. </w:t>
      </w:r>
    </w:p>
    <w:p w:rsidR="00ED62B7" w:rsidRPr="00ED62B7" w:rsidRDefault="00ED62B7" w:rsidP="00224B0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eastAsia="es-ES"/>
        </w:rPr>
      </w:pPr>
      <w:r w:rsidRPr="00ED62B7">
        <w:rPr>
          <w:rFonts w:ascii="Arial" w:eastAsia="Times New Roman" w:hAnsi="Arial" w:cs="Arial"/>
          <w:b/>
          <w:lang w:eastAsia="es-ES"/>
        </w:rPr>
        <w:t>Notifíquese por estrados y cúmplase.</w:t>
      </w:r>
    </w:p>
    <w:p w:rsidR="00224B05" w:rsidRPr="00ED62B7" w:rsidRDefault="00224B05" w:rsidP="00224B05">
      <w:pPr>
        <w:spacing w:line="360" w:lineRule="auto"/>
        <w:jc w:val="both"/>
        <w:rPr>
          <w:rFonts w:ascii="Arial" w:eastAsia="Times New Roman" w:hAnsi="Arial" w:cs="Arial"/>
          <w:lang w:eastAsia="es-ES"/>
        </w:rPr>
      </w:pPr>
      <w:r w:rsidRPr="00ED62B7">
        <w:rPr>
          <w:rFonts w:ascii="Arial" w:eastAsia="Times New Roman" w:hAnsi="Arial" w:cs="Arial"/>
          <w:lang w:eastAsia="es-ES"/>
        </w:rPr>
        <w:t xml:space="preserve">Así lo acordó y firma el Magistrado Presidente del Tribunal del Estado de Aguascalientes, asistido del Secretario General de Acuerdos, quien da fe. </w:t>
      </w:r>
      <w:r w:rsidRPr="00ED62B7">
        <w:rPr>
          <w:rFonts w:ascii="Arial" w:eastAsia="Times New Roman" w:hAnsi="Arial" w:cs="Arial"/>
          <w:b/>
          <w:lang w:eastAsia="es-ES"/>
        </w:rPr>
        <w:t>DOY FE.</w:t>
      </w:r>
    </w:p>
    <w:tbl>
      <w:tblPr>
        <w:tblW w:w="9166" w:type="dxa"/>
        <w:jc w:val="center"/>
        <w:tblLook w:val="04A0" w:firstRow="1" w:lastRow="0" w:firstColumn="1" w:lastColumn="0" w:noHBand="0" w:noVBand="1"/>
      </w:tblPr>
      <w:tblGrid>
        <w:gridCol w:w="4678"/>
        <w:gridCol w:w="4488"/>
      </w:tblGrid>
      <w:tr w:rsidR="00224B05" w:rsidRPr="00ED62B7" w:rsidTr="00224B05">
        <w:trPr>
          <w:trHeight w:val="2119"/>
          <w:jc w:val="center"/>
        </w:trPr>
        <w:tc>
          <w:tcPr>
            <w:tcW w:w="4678" w:type="dxa"/>
            <w:shd w:val="clear" w:color="auto" w:fill="auto"/>
          </w:tcPr>
          <w:p w:rsidR="00224B05" w:rsidRPr="00ED62B7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224B05" w:rsidRPr="00ED62B7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ED62B7">
              <w:rPr>
                <w:rFonts w:ascii="Arial" w:eastAsia="Calibri" w:hAnsi="Arial" w:cs="Arial"/>
                <w:b/>
              </w:rPr>
              <w:t>_____________________</w:t>
            </w:r>
          </w:p>
          <w:p w:rsidR="00224B05" w:rsidRPr="00ED62B7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ED62B7">
              <w:rPr>
                <w:rFonts w:ascii="Arial" w:eastAsia="Calibri" w:hAnsi="Arial" w:cs="Arial"/>
                <w:b/>
              </w:rPr>
              <w:t xml:space="preserve">Magistrado </w:t>
            </w:r>
            <w:proofErr w:type="gramStart"/>
            <w:r w:rsidRPr="00ED62B7">
              <w:rPr>
                <w:rFonts w:ascii="Arial" w:eastAsia="Calibri" w:hAnsi="Arial" w:cs="Arial"/>
                <w:b/>
              </w:rPr>
              <w:t>Presidente</w:t>
            </w:r>
            <w:proofErr w:type="gramEnd"/>
          </w:p>
          <w:p w:rsidR="00224B05" w:rsidRPr="00ED62B7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ED62B7">
              <w:rPr>
                <w:rFonts w:ascii="Arial" w:eastAsia="Calibri" w:hAnsi="Arial" w:cs="Arial"/>
                <w:b/>
              </w:rPr>
              <w:t>Héctor Salvador Hernández Gallegos</w:t>
            </w:r>
          </w:p>
        </w:tc>
        <w:tc>
          <w:tcPr>
            <w:tcW w:w="4488" w:type="dxa"/>
            <w:shd w:val="clear" w:color="auto" w:fill="auto"/>
          </w:tcPr>
          <w:p w:rsidR="00224B05" w:rsidRPr="00ED62B7" w:rsidRDefault="00224B05" w:rsidP="00EE60E8">
            <w:pPr>
              <w:spacing w:after="0" w:line="360" w:lineRule="auto"/>
              <w:rPr>
                <w:rFonts w:ascii="Arial" w:eastAsia="Calibri" w:hAnsi="Arial" w:cs="Arial"/>
                <w:b/>
              </w:rPr>
            </w:pPr>
          </w:p>
          <w:p w:rsidR="00224B05" w:rsidRPr="00ED62B7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ED62B7">
              <w:rPr>
                <w:rFonts w:ascii="Arial" w:eastAsia="Calibri" w:hAnsi="Arial" w:cs="Arial"/>
                <w:b/>
              </w:rPr>
              <w:t>________________________________</w:t>
            </w:r>
          </w:p>
          <w:p w:rsidR="00224B05" w:rsidRPr="00ED62B7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ED62B7">
              <w:rPr>
                <w:rFonts w:ascii="Arial" w:eastAsia="Calibri" w:hAnsi="Arial" w:cs="Arial"/>
                <w:b/>
              </w:rPr>
              <w:t>Jesús Ociel Baena Saucedo Secretario General de Acuerdos</w:t>
            </w:r>
          </w:p>
        </w:tc>
      </w:tr>
    </w:tbl>
    <w:p w:rsidR="00134668" w:rsidRPr="00ED62B7" w:rsidRDefault="00134668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lang w:eastAsia="es-ES"/>
        </w:rPr>
      </w:pPr>
    </w:p>
    <w:sectPr w:rsidR="00134668" w:rsidRPr="00ED62B7" w:rsidSect="00BC2C48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6F0" w:rsidRDefault="008A26F0" w:rsidP="00134668">
      <w:pPr>
        <w:spacing w:after="0" w:line="240" w:lineRule="auto"/>
      </w:pPr>
      <w:r>
        <w:separator/>
      </w:r>
    </w:p>
  </w:endnote>
  <w:endnote w:type="continuationSeparator" w:id="0">
    <w:p w:rsidR="008A26F0" w:rsidRDefault="008A26F0" w:rsidP="0013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ABF" w:rsidRDefault="008A26F0">
    <w:pPr>
      <w:pStyle w:val="Piedepgina"/>
      <w:jc w:val="right"/>
    </w:pPr>
  </w:p>
  <w:p w:rsidR="005F3ABF" w:rsidRDefault="008A26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6F0" w:rsidRDefault="008A26F0" w:rsidP="00134668">
      <w:pPr>
        <w:spacing w:after="0" w:line="240" w:lineRule="auto"/>
      </w:pPr>
      <w:r>
        <w:separator/>
      </w:r>
    </w:p>
  </w:footnote>
  <w:footnote w:type="continuationSeparator" w:id="0">
    <w:p w:rsidR="008A26F0" w:rsidRDefault="008A26F0" w:rsidP="0013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2C" w:rsidRDefault="008A26F0" w:rsidP="00AF502C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672489363"/>
        <w:docPartObj>
          <w:docPartGallery w:val="Page Numbers (Margins)"/>
          <w:docPartUnique/>
        </w:docPartObj>
      </w:sdtPr>
      <w:sdtEndPr/>
      <w:sdtContent>
        <w:r w:rsidR="00E76216" w:rsidRPr="00E76216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E76216" w:rsidRDefault="00E7621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E76216" w:rsidRDefault="00E762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75441">
      <w:rPr>
        <w:rFonts w:ascii="Century Gothic" w:hAnsi="Century Gothic"/>
      </w:rPr>
      <w:t xml:space="preserve"> </w:t>
    </w:r>
    <w:r w:rsidR="00C75441" w:rsidRPr="00A46BD3">
      <w:rPr>
        <w:rFonts w:ascii="Century Gothic" w:hAnsi="Century Gothic"/>
      </w:rPr>
      <w:t xml:space="preserve">                                                               </w:t>
    </w:r>
    <w:r w:rsidR="00C75441">
      <w:rPr>
        <w:rFonts w:ascii="Century Gothic" w:hAnsi="Century Gothic"/>
      </w:rPr>
      <w:t xml:space="preserve">                  </w:t>
    </w:r>
  </w:p>
  <w:p w:rsidR="00AF502C" w:rsidRPr="00A46BD3" w:rsidRDefault="00C75441" w:rsidP="00A46BD3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36EABBC" wp14:editId="07BF207E">
          <wp:simplePos x="0" y="0"/>
          <wp:positionH relativeFrom="margin">
            <wp:posOffset>-73133</wp:posOffset>
          </wp:positionH>
          <wp:positionV relativeFrom="paragraph">
            <wp:posOffset>179358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83232F" w:rsidRDefault="00C75441" w:rsidP="00A46BD3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:rsidR="0083232F" w:rsidRDefault="008A26F0" w:rsidP="00A46BD3">
    <w:pPr>
      <w:pStyle w:val="Encabezado"/>
      <w:rPr>
        <w:rFonts w:ascii="Century Gothic" w:hAnsi="Century Gothic"/>
        <w:b/>
      </w:rPr>
    </w:pPr>
  </w:p>
  <w:p w:rsidR="0083232F" w:rsidRDefault="00C75441" w:rsidP="0083232F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</w:t>
    </w:r>
    <w:r w:rsidRPr="00A46BD3">
      <w:rPr>
        <w:rFonts w:ascii="Century Gothic" w:hAnsi="Century Gothic"/>
        <w:b/>
      </w:rPr>
      <w:t xml:space="preserve"> </w:t>
    </w:r>
  </w:p>
  <w:p w:rsidR="0083232F" w:rsidRDefault="008A26F0" w:rsidP="0083232F">
    <w:pPr>
      <w:pStyle w:val="Encabezado"/>
      <w:jc w:val="right"/>
      <w:rPr>
        <w:rFonts w:ascii="Century Gothic" w:hAnsi="Century Gothic"/>
        <w:b/>
      </w:rPr>
    </w:pPr>
  </w:p>
  <w:p w:rsidR="00AF502C" w:rsidRDefault="00C75441" w:rsidP="00846190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Aguascalientes, Aguascalientes a </w:t>
    </w:r>
    <w:r w:rsidR="00414DD1">
      <w:rPr>
        <w:rFonts w:ascii="Century Gothic" w:hAnsi="Century Gothic"/>
        <w:b/>
      </w:rPr>
      <w:t>25</w:t>
    </w:r>
    <w:r w:rsidR="00C93B20">
      <w:rPr>
        <w:rFonts w:ascii="Century Gothic" w:hAnsi="Century Gothic"/>
        <w:b/>
      </w:rPr>
      <w:t xml:space="preserve"> </w:t>
    </w:r>
    <w:r>
      <w:rPr>
        <w:rFonts w:ascii="Century Gothic" w:hAnsi="Century Gothic"/>
        <w:b/>
      </w:rPr>
      <w:t xml:space="preserve">de </w:t>
    </w:r>
    <w:r w:rsidR="00ED62B7">
      <w:rPr>
        <w:rFonts w:ascii="Century Gothic" w:hAnsi="Century Gothic"/>
        <w:b/>
      </w:rPr>
      <w:t>octubre</w:t>
    </w:r>
    <w:r>
      <w:rPr>
        <w:rFonts w:ascii="Century Gothic" w:hAnsi="Century Gothic"/>
        <w:b/>
      </w:rPr>
      <w:t xml:space="preserve"> de 2018</w:t>
    </w:r>
  </w:p>
  <w:p w:rsidR="0083232F" w:rsidRDefault="008A26F0" w:rsidP="0083232F">
    <w:pPr>
      <w:pStyle w:val="Encabezado"/>
      <w:jc w:val="right"/>
      <w:rPr>
        <w:rFonts w:ascii="Century Gothic" w:hAnsi="Century Gothic"/>
      </w:rPr>
    </w:pPr>
  </w:p>
  <w:p w:rsidR="0083232F" w:rsidRDefault="008A26F0" w:rsidP="0083232F">
    <w:pPr>
      <w:pStyle w:val="Encabezado"/>
      <w:jc w:val="right"/>
      <w:rPr>
        <w:rFonts w:ascii="Century Gothic" w:hAnsi="Century Gothic"/>
      </w:rPr>
    </w:pPr>
  </w:p>
  <w:p w:rsidR="0083232F" w:rsidRPr="0065413A" w:rsidRDefault="00C75441" w:rsidP="0083232F">
    <w:pPr>
      <w:pStyle w:val="Encabezado"/>
      <w:jc w:val="right"/>
      <w:rPr>
        <w:rFonts w:ascii="Century Gothic" w:hAnsi="Century Gothic"/>
        <w:b/>
      </w:rPr>
    </w:pPr>
    <w:r w:rsidRPr="0065413A">
      <w:rPr>
        <w:rFonts w:ascii="Century Gothic" w:hAnsi="Century Gothic"/>
        <w:b/>
      </w:rPr>
      <w:t xml:space="preserve">Convocatoria </w:t>
    </w:r>
    <w:r w:rsidR="00414DD1">
      <w:rPr>
        <w:rFonts w:ascii="Century Gothic" w:hAnsi="Century Gothic"/>
        <w:b/>
      </w:rPr>
      <w:t>por</w:t>
    </w:r>
    <w:r w:rsidR="00414DD1" w:rsidRPr="0065413A">
      <w:rPr>
        <w:rFonts w:ascii="Century Gothic" w:hAnsi="Century Gothic"/>
        <w:b/>
      </w:rPr>
      <w:t xml:space="preserve"> estrados</w:t>
    </w:r>
    <w:r w:rsidR="00414DD1">
      <w:rPr>
        <w:rFonts w:ascii="Century Gothic" w:hAnsi="Century Gothic"/>
        <w:b/>
      </w:rPr>
      <w:t xml:space="preserve"> </w:t>
    </w:r>
    <w:r>
      <w:rPr>
        <w:rFonts w:ascii="Century Gothic" w:hAnsi="Century Gothic"/>
        <w:b/>
      </w:rPr>
      <w:t xml:space="preserve">a </w:t>
    </w:r>
    <w:r w:rsidR="00414DD1">
      <w:rPr>
        <w:rFonts w:ascii="Century Gothic" w:hAnsi="Century Gothic"/>
        <w:b/>
      </w:rPr>
      <w:t>S</w:t>
    </w:r>
    <w:r>
      <w:rPr>
        <w:rFonts w:ascii="Century Gothic" w:hAnsi="Century Gothic"/>
        <w:b/>
      </w:rPr>
      <w:t xml:space="preserve">esión </w:t>
    </w:r>
    <w:r w:rsidR="00414DD1">
      <w:rPr>
        <w:rFonts w:ascii="Century Gothic" w:hAnsi="Century Gothic"/>
        <w:b/>
      </w:rPr>
      <w:t xml:space="preserve">Solemne </w:t>
    </w:r>
  </w:p>
  <w:p w:rsidR="0083232F" w:rsidRDefault="008A26F0" w:rsidP="0083232F">
    <w:pPr>
      <w:pStyle w:val="Encabezado"/>
      <w:jc w:val="right"/>
      <w:rPr>
        <w:rFonts w:ascii="Century Gothic" w:hAnsi="Century Gothic"/>
      </w:rPr>
    </w:pPr>
  </w:p>
  <w:p w:rsidR="0083232F" w:rsidRPr="00A46BD3" w:rsidRDefault="008A26F0" w:rsidP="0083232F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68"/>
    <w:rsid w:val="00093A92"/>
    <w:rsid w:val="00122B52"/>
    <w:rsid w:val="00134668"/>
    <w:rsid w:val="00134873"/>
    <w:rsid w:val="001E31EE"/>
    <w:rsid w:val="001E346F"/>
    <w:rsid w:val="00224B05"/>
    <w:rsid w:val="002669D0"/>
    <w:rsid w:val="00294705"/>
    <w:rsid w:val="00297E74"/>
    <w:rsid w:val="002B0B44"/>
    <w:rsid w:val="003F3384"/>
    <w:rsid w:val="00414645"/>
    <w:rsid w:val="00414DD1"/>
    <w:rsid w:val="00447BAE"/>
    <w:rsid w:val="00502BDD"/>
    <w:rsid w:val="005539AA"/>
    <w:rsid w:val="005B46CE"/>
    <w:rsid w:val="005E3779"/>
    <w:rsid w:val="00627C41"/>
    <w:rsid w:val="00661797"/>
    <w:rsid w:val="006F49DB"/>
    <w:rsid w:val="006F591D"/>
    <w:rsid w:val="007554DF"/>
    <w:rsid w:val="00756427"/>
    <w:rsid w:val="00757D9D"/>
    <w:rsid w:val="0078333D"/>
    <w:rsid w:val="007A58D8"/>
    <w:rsid w:val="00837E85"/>
    <w:rsid w:val="008A1E57"/>
    <w:rsid w:val="008A26F0"/>
    <w:rsid w:val="009455F2"/>
    <w:rsid w:val="009651A1"/>
    <w:rsid w:val="009708AF"/>
    <w:rsid w:val="00984513"/>
    <w:rsid w:val="00984F07"/>
    <w:rsid w:val="009C3F1D"/>
    <w:rsid w:val="00A1078C"/>
    <w:rsid w:val="00A108F5"/>
    <w:rsid w:val="00A71C07"/>
    <w:rsid w:val="00A870E0"/>
    <w:rsid w:val="00AB6939"/>
    <w:rsid w:val="00AB7274"/>
    <w:rsid w:val="00B65692"/>
    <w:rsid w:val="00BC7533"/>
    <w:rsid w:val="00C75441"/>
    <w:rsid w:val="00C865B2"/>
    <w:rsid w:val="00C93B20"/>
    <w:rsid w:val="00CA2CBA"/>
    <w:rsid w:val="00CB7E11"/>
    <w:rsid w:val="00D16914"/>
    <w:rsid w:val="00D30DA1"/>
    <w:rsid w:val="00D545EB"/>
    <w:rsid w:val="00DB3BAE"/>
    <w:rsid w:val="00DC7058"/>
    <w:rsid w:val="00DD074D"/>
    <w:rsid w:val="00DD342B"/>
    <w:rsid w:val="00DD651B"/>
    <w:rsid w:val="00E057FA"/>
    <w:rsid w:val="00E1194F"/>
    <w:rsid w:val="00E12716"/>
    <w:rsid w:val="00E76216"/>
    <w:rsid w:val="00ED62B7"/>
    <w:rsid w:val="00EE0E30"/>
    <w:rsid w:val="00F3438E"/>
    <w:rsid w:val="00F625AC"/>
    <w:rsid w:val="00FA7C01"/>
    <w:rsid w:val="00FC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3CDD4"/>
  <w15:chartTrackingRefBased/>
  <w15:docId w15:val="{37804FF7-8FA3-4ED6-B8AA-C8B1FA02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668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668"/>
  </w:style>
  <w:style w:type="paragraph" w:styleId="Piedepgina">
    <w:name w:val="footer"/>
    <w:basedOn w:val="Normal"/>
    <w:link w:val="Piedepgina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668"/>
  </w:style>
  <w:style w:type="character" w:styleId="nfasis">
    <w:name w:val="Emphasis"/>
    <w:basedOn w:val="Fuentedeprrafopredeter"/>
    <w:uiPriority w:val="20"/>
    <w:qFormat/>
    <w:rsid w:val="00093A9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jose castro vieyra</cp:lastModifiedBy>
  <cp:revision>22</cp:revision>
  <cp:lastPrinted>2018-07-03T14:48:00Z</cp:lastPrinted>
  <dcterms:created xsi:type="dcterms:W3CDTF">2018-07-04T15:49:00Z</dcterms:created>
  <dcterms:modified xsi:type="dcterms:W3CDTF">2018-10-23T15:33:00Z</dcterms:modified>
</cp:coreProperties>
</file>